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rFonts w:hint="eastAsia"/>
          <w:color w:val="000000"/>
          <w:kern w:val="0"/>
        </w:rPr>
      </w:pPr>
    </w:p>
    <w:p>
      <w:pPr>
        <w:ind w:firstLine="480"/>
        <w:rPr>
          <w:color w:val="000000"/>
          <w:kern w:val="0"/>
        </w:rPr>
      </w:pPr>
    </w:p>
    <w:p>
      <w:pPr>
        <w:ind w:firstLine="480"/>
        <w:rPr>
          <w:rFonts w:hint="eastAsia"/>
          <w:color w:val="000000"/>
          <w:kern w:val="0"/>
        </w:rPr>
      </w:pPr>
    </w:p>
    <w:p>
      <w:pPr>
        <w:ind w:firstLine="0" w:firstLineChars="0"/>
        <w:jc w:val="center"/>
        <w:rPr>
          <w:rFonts w:eastAsia="黑体"/>
          <w:b/>
          <w:color w:val="000000"/>
          <w:kern w:val="0"/>
          <w:sz w:val="40"/>
          <w:szCs w:val="40"/>
        </w:rPr>
      </w:pPr>
      <w:r>
        <w:rPr>
          <w:rFonts w:hint="eastAsia" w:eastAsia="黑体"/>
          <w:b/>
          <w:color w:val="000000"/>
          <w:kern w:val="0"/>
          <w:sz w:val="40"/>
          <w:szCs w:val="40"/>
        </w:rPr>
        <w:t>花垣县工业集中区重金属废水处理工程</w:t>
      </w:r>
    </w:p>
    <w:p>
      <w:pPr>
        <w:ind w:firstLine="0" w:firstLineChars="0"/>
        <w:jc w:val="center"/>
        <w:rPr>
          <w:rFonts w:eastAsia="黑体"/>
          <w:b/>
          <w:color w:val="000000"/>
          <w:kern w:val="0"/>
          <w:sz w:val="72"/>
          <w:szCs w:val="72"/>
        </w:rPr>
      </w:pPr>
      <w:r>
        <w:rPr>
          <w:rFonts w:hint="eastAsia" w:eastAsia="黑体"/>
          <w:b/>
          <w:color w:val="000000"/>
          <w:kern w:val="0"/>
          <w:sz w:val="72"/>
          <w:szCs w:val="72"/>
        </w:rPr>
        <w:t>环境影响报告书</w:t>
      </w:r>
    </w:p>
    <w:p>
      <w:pPr>
        <w:ind w:firstLine="155" w:firstLineChars="35"/>
        <w:jc w:val="center"/>
        <w:rPr>
          <w:rFonts w:eastAsia="黑体"/>
          <w:b/>
          <w:color w:val="000000"/>
          <w:kern w:val="0"/>
          <w:sz w:val="44"/>
          <w:szCs w:val="44"/>
        </w:rPr>
      </w:pPr>
      <w:r>
        <w:rPr>
          <w:rFonts w:hint="eastAsia" w:eastAsia="黑体"/>
          <w:b/>
          <w:color w:val="000000"/>
          <w:kern w:val="0"/>
          <w:sz w:val="44"/>
          <w:szCs w:val="44"/>
        </w:rPr>
        <w:t>（</w:t>
      </w:r>
      <w:r>
        <w:rPr>
          <w:rFonts w:hint="eastAsia" w:eastAsia="黑体"/>
          <w:b/>
          <w:color w:val="000000"/>
          <w:kern w:val="0"/>
          <w:sz w:val="44"/>
          <w:szCs w:val="44"/>
          <w:lang w:eastAsia="zh-CN"/>
        </w:rPr>
        <w:t>报批</w:t>
      </w:r>
      <w:r>
        <w:rPr>
          <w:rFonts w:hint="eastAsia" w:eastAsia="黑体"/>
          <w:b/>
          <w:color w:val="000000"/>
          <w:kern w:val="0"/>
          <w:sz w:val="44"/>
          <w:szCs w:val="44"/>
        </w:rPr>
        <w:t>稿）</w:t>
      </w:r>
    </w:p>
    <w:p>
      <w:pPr>
        <w:ind w:firstLine="1120"/>
        <w:rPr>
          <w:color w:val="000000"/>
          <w:kern w:val="0"/>
          <w:sz w:val="56"/>
          <w:szCs w:val="56"/>
        </w:rPr>
      </w:pPr>
    </w:p>
    <w:p>
      <w:pPr>
        <w:ind w:firstLine="1120"/>
        <w:rPr>
          <w:color w:val="000000"/>
          <w:kern w:val="0"/>
          <w:sz w:val="56"/>
          <w:szCs w:val="56"/>
        </w:rPr>
      </w:pPr>
    </w:p>
    <w:p>
      <w:pPr>
        <w:tabs>
          <w:tab w:val="left" w:pos="2391"/>
        </w:tabs>
        <w:ind w:firstLine="1120"/>
        <w:rPr>
          <w:rFonts w:hint="eastAsia"/>
          <w:color w:val="000000"/>
          <w:kern w:val="0"/>
          <w:sz w:val="56"/>
          <w:szCs w:val="56"/>
        </w:rPr>
      </w:pPr>
    </w:p>
    <w:p>
      <w:pPr>
        <w:tabs>
          <w:tab w:val="left" w:pos="2391"/>
        </w:tabs>
        <w:ind w:firstLine="643"/>
        <w:jc w:val="center"/>
        <w:rPr>
          <w:rFonts w:hint="eastAsia" w:eastAsia="黑体"/>
          <w:b/>
          <w:color w:val="000000"/>
          <w:kern w:val="0"/>
          <w:sz w:val="32"/>
          <w:szCs w:val="32"/>
        </w:rPr>
      </w:pPr>
    </w:p>
    <w:p>
      <w:pPr>
        <w:tabs>
          <w:tab w:val="left" w:pos="2391"/>
        </w:tabs>
        <w:ind w:firstLine="643"/>
        <w:jc w:val="center"/>
        <w:rPr>
          <w:rFonts w:hint="eastAsia" w:eastAsia="黑体"/>
          <w:b/>
          <w:color w:val="000000"/>
          <w:kern w:val="0"/>
          <w:sz w:val="32"/>
          <w:szCs w:val="32"/>
        </w:rPr>
      </w:pPr>
      <w:r>
        <w:rPr>
          <w:rFonts w:hint="eastAsia" w:eastAsia="黑体"/>
          <w:b/>
          <w:color w:val="000000"/>
          <w:kern w:val="0"/>
          <w:sz w:val="32"/>
          <w:szCs w:val="32"/>
          <w:lang w:eastAsia="zh-CN"/>
        </w:rPr>
        <w:t>花垣县城乡农业综合开发投资有限公司</w:t>
      </w:r>
    </w:p>
    <w:p>
      <w:pPr>
        <w:tabs>
          <w:tab w:val="left" w:pos="2391"/>
        </w:tabs>
        <w:ind w:firstLine="643"/>
        <w:jc w:val="center"/>
        <w:rPr>
          <w:rFonts w:hint="eastAsia" w:eastAsia="黑体"/>
          <w:b/>
          <w:color w:val="000000"/>
          <w:kern w:val="0"/>
          <w:sz w:val="32"/>
          <w:szCs w:val="32"/>
        </w:rPr>
      </w:pPr>
    </w:p>
    <w:p>
      <w:pPr>
        <w:tabs>
          <w:tab w:val="left" w:pos="2391"/>
        </w:tabs>
        <w:ind w:firstLine="643"/>
        <w:jc w:val="center"/>
        <w:rPr>
          <w:rFonts w:eastAsia="黑体"/>
          <w:b/>
          <w:color w:val="000000"/>
          <w:kern w:val="0"/>
          <w:sz w:val="32"/>
          <w:szCs w:val="32"/>
        </w:rPr>
      </w:pPr>
      <w:r>
        <w:rPr>
          <w:rFonts w:hint="eastAsia" w:eastAsia="黑体"/>
          <w:b/>
          <w:color w:val="000000"/>
          <w:kern w:val="0"/>
          <w:sz w:val="32"/>
          <w:szCs w:val="32"/>
        </w:rPr>
        <w:t>长沙博大环保科技有限公司</w:t>
      </w:r>
    </w:p>
    <w:p>
      <w:pPr>
        <w:tabs>
          <w:tab w:val="left" w:pos="3138"/>
        </w:tabs>
        <w:ind w:firstLine="643"/>
        <w:jc w:val="center"/>
        <w:rPr>
          <w:rFonts w:eastAsia="黑体"/>
          <w:b/>
          <w:color w:val="000000"/>
          <w:kern w:val="0"/>
          <w:sz w:val="32"/>
          <w:szCs w:val="32"/>
        </w:rPr>
        <w:sectPr>
          <w:headerReference r:id="rId7" w:type="first"/>
          <w:footerReference r:id="rId10" w:type="first"/>
          <w:headerReference r:id="rId5" w:type="default"/>
          <w:footerReference r:id="rId8" w:type="default"/>
          <w:headerReference r:id="rId6" w:type="even"/>
          <w:footerReference r:id="rId9" w:type="even"/>
          <w:pgSz w:w="11850" w:h="16790"/>
          <w:pgMar w:top="1800" w:right="1440" w:bottom="1800" w:left="1440" w:header="720" w:footer="720" w:gutter="0"/>
          <w:pgBorders>
            <w:top w:val="none" w:sz="0" w:space="0"/>
            <w:left w:val="none" w:sz="0" w:space="0"/>
            <w:bottom w:val="none" w:sz="0" w:space="0"/>
            <w:right w:val="none" w:sz="0" w:space="0"/>
          </w:pgBorders>
          <w:pgNumType w:fmt="upperRoman" w:start="1"/>
          <w:cols w:space="720" w:num="1"/>
          <w:docGrid w:linePitch="326" w:charSpace="0"/>
        </w:sectPr>
      </w:pPr>
      <w:r>
        <w:rPr>
          <w:rFonts w:hint="eastAsia" w:eastAsia="黑体"/>
          <w:b/>
          <w:color w:val="000000"/>
          <w:kern w:val="0"/>
          <w:sz w:val="32"/>
          <w:szCs w:val="32"/>
        </w:rPr>
        <w:t>二〇二二年</w:t>
      </w:r>
      <w:r>
        <w:rPr>
          <w:rFonts w:hint="eastAsia" w:eastAsia="黑体"/>
          <w:b/>
          <w:color w:val="000000"/>
          <w:kern w:val="0"/>
          <w:sz w:val="32"/>
          <w:szCs w:val="32"/>
          <w:lang w:eastAsia="zh-CN"/>
        </w:rPr>
        <w:t>九</w:t>
      </w:r>
      <w:r>
        <w:rPr>
          <w:rFonts w:hint="eastAsia" w:eastAsia="黑体"/>
          <w:b/>
          <w:color w:val="000000"/>
          <w:kern w:val="0"/>
          <w:sz w:val="32"/>
          <w:szCs w:val="32"/>
        </w:rPr>
        <w:t>月</w:t>
      </w:r>
    </w:p>
    <w:p>
      <w:pPr>
        <w:ind w:firstLine="562"/>
        <w:jc w:val="center"/>
        <w:rPr>
          <w:rFonts w:hint="eastAsia"/>
          <w:b/>
          <w:color w:val="000000"/>
          <w:kern w:val="0"/>
          <w:sz w:val="28"/>
          <w:szCs w:val="28"/>
        </w:rPr>
        <w:sectPr>
          <w:footerReference r:id="rId11" w:type="default"/>
          <w:pgSz w:w="11850" w:h="16790"/>
          <w:pgMar w:top="1440" w:right="1644" w:bottom="1440" w:left="1800" w:header="720" w:footer="720" w:gutter="0"/>
          <w:pgBorders>
            <w:top w:val="none" w:sz="0" w:space="0"/>
            <w:left w:val="none" w:sz="0" w:space="0"/>
            <w:bottom w:val="none" w:sz="0" w:space="0"/>
            <w:right w:val="none" w:sz="0" w:space="0"/>
          </w:pgBorders>
          <w:pgNumType w:fmt="upperRoman" w:start="1"/>
          <w:cols w:space="720" w:num="1"/>
          <w:docGrid w:linePitch="326" w:charSpace="0"/>
        </w:sectPr>
      </w:pPr>
    </w:p>
    <w:p>
      <w:pPr>
        <w:pStyle w:val="2"/>
        <w:jc w:val="center"/>
        <w:rPr>
          <w:rFonts w:hint="eastAsia" w:ascii="新宋体" w:hAnsi="新宋体" w:eastAsia="新宋体" w:cs="新宋体"/>
          <w:b/>
          <w:bCs/>
          <w:lang w:eastAsia="zh-CN"/>
        </w:rPr>
      </w:pPr>
      <w:r>
        <w:rPr>
          <w:rFonts w:hint="eastAsia" w:ascii="新宋体" w:hAnsi="新宋体" w:eastAsia="新宋体" w:cs="新宋体"/>
          <w:b/>
          <w:bCs/>
          <w:lang w:eastAsia="zh-CN"/>
        </w:rPr>
        <w:t>修改说明</w:t>
      </w:r>
    </w:p>
    <w:tbl>
      <w:tblPr>
        <w:tblStyle w:val="38"/>
        <w:tblW w:w="138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
        <w:gridCol w:w="9060"/>
        <w:gridCol w:w="4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65"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序号</w:t>
            </w:r>
          </w:p>
        </w:tc>
        <w:tc>
          <w:tcPr>
            <w:tcW w:w="9060"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专家意见</w:t>
            </w:r>
          </w:p>
        </w:tc>
        <w:tc>
          <w:tcPr>
            <w:tcW w:w="4144"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3869" w:type="dxa"/>
            <w:gridSpan w:val="3"/>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（一）总则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665"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9060"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完善项目由来，根据最新噪声、生态导则重新核实评价等级，完善三线一单符合性分析，校核编制依据；</w:t>
            </w:r>
          </w:p>
        </w:tc>
        <w:tc>
          <w:tcPr>
            <w:tcW w:w="4144"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已完善，详见P1、P39-P40、P9-P12、P37</w:t>
            </w:r>
            <w:r>
              <w:rPr>
                <w:rFonts w:hint="eastAsia" w:ascii="Times New Roman" w:hAnsi="Times New Roman" w:eastAsia="宋体" w:cs="Times New Roman"/>
                <w:sz w:val="21"/>
                <w:szCs w:val="21"/>
                <w:vertAlign w:val="baseline"/>
                <w:lang w:val="en-US" w:eastAsia="zh-CN"/>
              </w:rPr>
              <w:t>、P145-P149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3869" w:type="dxa"/>
            <w:gridSpan w:val="3"/>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（二）工程概况及工程分析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5"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9060"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进本项目废水处理站的涉重废水量、水质应结合园区产业定位、规划及园区现有涉重废水外排企业，给出近期、远期涉重废水量、水质估算；</w:t>
            </w:r>
          </w:p>
        </w:tc>
        <w:tc>
          <w:tcPr>
            <w:tcW w:w="4144"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已补充完善，详见P64-P66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65"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9060"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细化项目工艺流程描述，完善工艺流程的可行性分析，完善本项目依托的工业园污水处理厂衔接性调查，并给出过度期间处理达标的涉重废水去向，处置方式；</w:t>
            </w:r>
          </w:p>
        </w:tc>
        <w:tc>
          <w:tcPr>
            <w:tcW w:w="4144"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已细化，详见P72-P74、P129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665"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9060"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废气需考虑营运期酸性气体的无组织挥发，完善提升泵站、污水管网等配套工程建设内容，加强提升泵站周边环境现状调查；</w:t>
            </w:r>
          </w:p>
        </w:tc>
        <w:tc>
          <w:tcPr>
            <w:tcW w:w="4144"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已补充，详见P85、P61-P62、P120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3869" w:type="dxa"/>
            <w:gridSpan w:val="3"/>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（三）环境保护目标及环境质量现状调查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jc w:val="center"/>
        </w:trPr>
        <w:tc>
          <w:tcPr>
            <w:tcW w:w="665"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9060"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细化项目泵站设置情况及泵站周边敏感点调查，细化纳污水体水文情况调查，项目纳污水体上下游国省监控断面调查、取排水口调查、饮用水源调查，细化园区规划及产业定位情况</w:t>
            </w:r>
          </w:p>
        </w:tc>
        <w:tc>
          <w:tcPr>
            <w:tcW w:w="4144"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已细化，详见P91、P92、P94、P57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665"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9060"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完善现有园区污水处理厂建设进度情况调查</w:t>
            </w:r>
          </w:p>
        </w:tc>
        <w:tc>
          <w:tcPr>
            <w:tcW w:w="4144"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已完善，详见P96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13869" w:type="dxa"/>
            <w:gridSpan w:val="3"/>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（四）环境影响分析及污染防治措施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665"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9060"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施工期回顾性评价应交代施工期是否有投诉或者现场遗留环境问题，进一步梳理项目存在的问题、整改措施、整改时限</w:t>
            </w:r>
          </w:p>
        </w:tc>
        <w:tc>
          <w:tcPr>
            <w:tcW w:w="4144"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已完善，详见P79-P81、P124-P125</w:t>
            </w:r>
            <w:r>
              <w:rPr>
                <w:rFonts w:hint="eastAsia" w:ascii="Times New Roman" w:hAnsi="Times New Roman" w:eastAsia="宋体" w:cs="Times New Roman"/>
                <w:sz w:val="21"/>
                <w:szCs w:val="21"/>
                <w:vertAlign w:val="baseline"/>
                <w:lang w:val="en-US" w:eastAsia="zh-CN"/>
              </w:rPr>
              <w:t>、P72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5"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9060"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核实总量控制因子及排放总量</w:t>
            </w:r>
          </w:p>
        </w:tc>
        <w:tc>
          <w:tcPr>
            <w:tcW w:w="4144"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已核实，详见P119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665"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p>
        </w:tc>
        <w:tc>
          <w:tcPr>
            <w:tcW w:w="9060"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完善环境风险分析及风险防范措施分析：完善进水水质不达标、设备故障及检修造成出水水质不达标、暴雨的风险防范措施分析，从实际建设情况和应采取的改进措施角度，完善非正常排放的应急措施要求，完善污水监控要求及管理要求等</w:t>
            </w:r>
          </w:p>
        </w:tc>
        <w:tc>
          <w:tcPr>
            <w:tcW w:w="4144"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已完善，详见P159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3869" w:type="dxa"/>
            <w:gridSpan w:val="3"/>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（五）其他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65"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9060"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eastAsia" w:ascii="宋体" w:hAnsi="宋体" w:eastAsia="宋体" w:cs="宋体"/>
                <w:color w:val="auto"/>
                <w:sz w:val="21"/>
                <w:szCs w:val="21"/>
                <w:vertAlign w:val="baseline"/>
                <w:lang w:eastAsia="zh-CN"/>
              </w:rPr>
            </w:pPr>
            <w:r>
              <w:rPr>
                <w:rFonts w:hint="eastAsia" w:ascii="宋体" w:hAnsi="宋体" w:eastAsia="宋体" w:cs="宋体"/>
                <w:color w:val="auto"/>
                <w:sz w:val="21"/>
                <w:szCs w:val="21"/>
                <w:vertAlign w:val="baseline"/>
                <w:lang w:eastAsia="zh-CN"/>
              </w:rPr>
              <w:t>核实项目环保投资、竣工验收一览表、监测一览表，补充声环境、生态环境自查表、补充项目用地文件、完善附图附件，校核文本</w:t>
            </w:r>
          </w:p>
        </w:tc>
        <w:tc>
          <w:tcPr>
            <w:tcW w:w="4144" w:type="dxa"/>
            <w:noWrap w:val="0"/>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已核实，详见P186、P192、P194、P149、P153</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附图附件</w:t>
            </w:r>
          </w:p>
        </w:tc>
      </w:tr>
    </w:tbl>
    <w:p>
      <w:pPr>
        <w:jc w:val="center"/>
        <w:rPr>
          <w:rFonts w:hint="eastAsia"/>
          <w:b/>
          <w:bCs/>
          <w:sz w:val="28"/>
          <w:szCs w:val="28"/>
          <w:lang w:eastAsia="zh-CN"/>
        </w:rPr>
        <w:sectPr>
          <w:pgSz w:w="16790" w:h="11850" w:orient="landscape"/>
          <w:pgMar w:top="1800" w:right="1440" w:bottom="1644" w:left="1440" w:header="720" w:footer="720" w:gutter="0"/>
          <w:pgBorders>
            <w:top w:val="none" w:sz="0" w:space="0"/>
            <w:left w:val="none" w:sz="0" w:space="0"/>
            <w:bottom w:val="none" w:sz="0" w:space="0"/>
            <w:right w:val="none" w:sz="0" w:space="0"/>
          </w:pgBorders>
          <w:pgNumType w:fmt="upperRoman" w:start="1"/>
          <w:cols w:space="720" w:num="1"/>
          <w:docGrid w:linePitch="326" w:charSpace="0"/>
        </w:sectPr>
      </w:pPr>
    </w:p>
    <w:p>
      <w:pPr>
        <w:jc w:val="center"/>
        <w:rPr>
          <w:rFonts w:hint="eastAsia"/>
          <w:b/>
          <w:bCs/>
          <w:sz w:val="28"/>
          <w:szCs w:val="28"/>
          <w:lang w:eastAsia="zh-CN"/>
        </w:rPr>
      </w:pPr>
      <w:r>
        <w:rPr>
          <w:rFonts w:hint="eastAsia"/>
          <w:b/>
          <w:bCs/>
          <w:sz w:val="28"/>
          <w:szCs w:val="28"/>
          <w:lang w:eastAsia="zh-CN"/>
        </w:rPr>
        <w:t>修改说明（专家复核）</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0521"/>
        <w:gridCol w:w="2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序号</w:t>
            </w:r>
          </w:p>
        </w:tc>
        <w:tc>
          <w:tcPr>
            <w:tcW w:w="1052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专家复核意见</w:t>
            </w:r>
          </w:p>
        </w:tc>
        <w:tc>
          <w:tcPr>
            <w:tcW w:w="2864"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1052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P5《湖南省重金属污染综合防治“十四五”规划》应为《湖南省“十四五”重金属污染防治规划》，完善相符性分析</w:t>
            </w:r>
          </w:p>
        </w:tc>
        <w:tc>
          <w:tcPr>
            <w:tcW w:w="2864"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已完善，详见P5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1052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完善P14表2“三线一单”符合性分析：项目所在地为重点管控单元，因此只要保留重点管控单元生态环境总体管控要求符合性分析，建议删除优先保护单元、一般管控单元的相关内容</w:t>
            </w:r>
          </w:p>
        </w:tc>
        <w:tc>
          <w:tcPr>
            <w:tcW w:w="2864"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已完善，详见P14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1052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P30“废水处理后总钒指标达到钒工业污染物排放标准》GB26452-2011中表1的规定，”，根据GB26452-2011的相关要求，废水处理后总钒应达到表2的规定即1.0mg/l，请核实</w:t>
            </w:r>
          </w:p>
        </w:tc>
        <w:tc>
          <w:tcPr>
            <w:tcW w:w="2864"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已全文修改为1.0，详见P81以及其他文中红色字体标注区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w:t>
            </w:r>
          </w:p>
        </w:tc>
        <w:tc>
          <w:tcPr>
            <w:tcW w:w="1052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30“根据项目用地规划许可证可知，项目用地位于花垣产业开发区，属于二类工业用地。根据花垣县工业集中区土地总体规划可知，本项目规划用地属于市政公共设施用地，”，核实项目用地规划究竟是二类工业用地，还是市政公共设施用地？完善报告前后关于项目用地性质描述。</w:t>
            </w:r>
          </w:p>
        </w:tc>
        <w:tc>
          <w:tcPr>
            <w:tcW w:w="2864"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已完善，详见28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w:t>
            </w:r>
          </w:p>
        </w:tc>
        <w:tc>
          <w:tcPr>
            <w:tcW w:w="1052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P32应说明花垣工业集中区污水处理厂建设投运进度</w:t>
            </w:r>
          </w:p>
        </w:tc>
        <w:tc>
          <w:tcPr>
            <w:tcW w:w="2864"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已补充说明，详见P30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w:t>
            </w:r>
          </w:p>
        </w:tc>
        <w:tc>
          <w:tcPr>
            <w:tcW w:w="1052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完善编制依据：删除</w:t>
            </w:r>
            <w:r>
              <w:rPr>
                <w:rFonts w:hint="default" w:ascii="Times New Roman" w:hAnsi="Times New Roman" w:eastAsia="宋体" w:cs="Times New Roman"/>
                <w:sz w:val="21"/>
                <w:szCs w:val="21"/>
                <w:vertAlign w:val="baseline"/>
                <w:lang w:val="zh-CN" w:eastAsia="zh-CN"/>
              </w:rPr>
              <w:t>《关于深入推进重点企业清洁生产的通知》，环发[2010]54 号；印发《关于加强工业节水工作的意见》的通知，国家经贸委等六部委国经贸资源[2000]1015 号</w:t>
            </w:r>
            <w:r>
              <w:rPr>
                <w:rFonts w:hint="default"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zh-CN" w:eastAsia="zh-CN"/>
              </w:rPr>
              <w:t>《关于进一步加强环境影响评价管理防范环境风险的通知》，环境保护部，环发[2012]77号；</w:t>
            </w:r>
            <w:r>
              <w:rPr>
                <w:rFonts w:hint="default" w:ascii="Times New Roman" w:hAnsi="Times New Roman" w:eastAsia="宋体" w:cs="Times New Roman"/>
                <w:sz w:val="21"/>
                <w:szCs w:val="21"/>
                <w:vertAlign w:val="baseline"/>
                <w:lang w:val="en-US" w:eastAsia="zh-CN"/>
              </w:rPr>
              <w:t>《国务院关于加强城市供水节水和水污染防治工作的通知》，国发（2000）36号；《湖南省国家重点生态功能区产业准入负面清单》（试行）。《环境影响评价技术导则-声环境》（HJ 2.4-2009）应为（HJ 2.4-2021)，《环境影响评价技术导则-生态影响》（HJ 19-2011）应为（HJ 19-2022）。</w:t>
            </w:r>
          </w:p>
        </w:tc>
        <w:tc>
          <w:tcPr>
            <w:tcW w:w="2864"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已完善编制依据，详见P37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4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w:t>
            </w:r>
          </w:p>
        </w:tc>
        <w:tc>
          <w:tcPr>
            <w:tcW w:w="1052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P65</w:t>
            </w:r>
            <w:r>
              <w:rPr>
                <w:rFonts w:hint="default" w:ascii="Times New Roman" w:hAnsi="Times New Roman" w:eastAsia="宋体" w:cs="Times New Roman"/>
                <w:sz w:val="21"/>
                <w:szCs w:val="21"/>
                <w:vertAlign w:val="baseline"/>
                <w:lang w:val="zh-CN" w:eastAsia="zh-CN"/>
              </w:rPr>
              <w:t xml:space="preserve">表 </w:t>
            </w:r>
            <w:r>
              <w:rPr>
                <w:rFonts w:hint="default" w:ascii="Times New Roman" w:hAnsi="Times New Roman" w:eastAsia="宋体" w:cs="Times New Roman"/>
                <w:sz w:val="21"/>
                <w:szCs w:val="21"/>
                <w:vertAlign w:val="baseline"/>
                <w:lang w:val="en-US" w:eastAsia="zh-CN"/>
              </w:rPr>
              <w:t>2</w:t>
            </w:r>
            <w:r>
              <w:rPr>
                <w:rFonts w:hint="default" w:ascii="Times New Roman" w:hAnsi="Times New Roman" w:eastAsia="宋体" w:cs="Times New Roman"/>
                <w:sz w:val="21"/>
                <w:szCs w:val="21"/>
                <w:vertAlign w:val="baseline"/>
                <w:lang w:val="zh-CN" w:eastAsia="zh-CN"/>
              </w:rPr>
              <w:t>.1-</w:t>
            </w:r>
            <w:r>
              <w:rPr>
                <w:rFonts w:hint="default" w:ascii="Times New Roman" w:hAnsi="Times New Roman" w:eastAsia="宋体" w:cs="Times New Roman"/>
                <w:sz w:val="21"/>
                <w:szCs w:val="21"/>
                <w:vertAlign w:val="baseline"/>
                <w:lang w:val="en-US" w:eastAsia="zh-CN"/>
              </w:rPr>
              <w:t>4应给出总铬、六价铬 GB 8978-1996标准限值，分别为1.5mg/l、0.5mg/l，六价铬的出水浓度达到标准限值要求？应完善表 2.1-6 哪个数据是进水哪个数据是出水？</w:t>
            </w:r>
          </w:p>
        </w:tc>
        <w:tc>
          <w:tcPr>
            <w:tcW w:w="2864"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已补充，详见P63、P64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w:t>
            </w:r>
          </w:p>
        </w:tc>
        <w:tc>
          <w:tcPr>
            <w:tcW w:w="1052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应图示提升泵站位置和周边环保目标分布情况，并且在2.1项目概况中补充泵站建设内容，在报告相应位置补充提升泵站污染源、污染防治措施和环境影响分析，并补充泵站选址环境合理性分析。</w:t>
            </w:r>
          </w:p>
        </w:tc>
        <w:tc>
          <w:tcPr>
            <w:tcW w:w="2864"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已补充，详见附图11提升泵站周边环保目标图、P57、P59、P81—P83、P143、P176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w:t>
            </w:r>
          </w:p>
        </w:tc>
        <w:tc>
          <w:tcPr>
            <w:tcW w:w="1052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应收集评价花垣河河段的常规水质监测资料（即上下游的国控或省控断面），标出常规断面位置、跟花垣工业集中区污水处理厂排污口位置关系，调查花垣工业集中区污水处理厂排污口下游最近的取水口及饮用水源保护区分布情况</w:t>
            </w:r>
          </w:p>
        </w:tc>
        <w:tc>
          <w:tcPr>
            <w:tcW w:w="2864"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已补充，详见附图10项目周边水系图，P105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w:t>
            </w:r>
          </w:p>
        </w:tc>
        <w:tc>
          <w:tcPr>
            <w:tcW w:w="1052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强化项目的风险防范措施分析：项目实际未按照当初的实施方案单独建设一座1500m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的事故池，实际的风险防范措施怎么保证，除了有专家论证会议纪要，是否有相关部门意见？</w:t>
            </w:r>
          </w:p>
        </w:tc>
        <w:tc>
          <w:tcPr>
            <w:tcW w:w="2864"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已补充完善，详见P155，附件17（只有湘西州环境局出具的同意取消的批复）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4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11</w:t>
            </w:r>
          </w:p>
        </w:tc>
        <w:tc>
          <w:tcPr>
            <w:tcW w:w="10521" w:type="dxa"/>
            <w:vAlign w:val="center"/>
          </w:tcPr>
          <w:p>
            <w:pPr>
              <w:pStyle w:val="2"/>
              <w:keepNext w:val="0"/>
              <w:keepLines w:val="0"/>
              <w:pageBreakBefore w:val="0"/>
              <w:widowControl w:val="0"/>
              <w:kinsoku w:val="0"/>
              <w:wordWrap w:val="0"/>
              <w:overflowPunct w:val="0"/>
              <w:topLinePunct/>
              <w:autoSpaceDE w:val="0"/>
              <w:autoSpaceDN w:val="0"/>
              <w:bidi w:val="0"/>
              <w:adjustRightInd w:val="0"/>
              <w:snapToGrid/>
              <w:spacing w:line="240" w:lineRule="auto"/>
              <w:ind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简化施工期环境影响分析</w:t>
            </w:r>
          </w:p>
        </w:tc>
        <w:tc>
          <w:tcPr>
            <w:tcW w:w="2864" w:type="dxa"/>
            <w:vAlign w:val="center"/>
          </w:tcPr>
          <w:p>
            <w:pPr>
              <w:ind w:firstLine="480" w:firstLineChars="20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cs="Times New Roman"/>
                <w:color w:val="auto"/>
                <w:vertAlign w:val="baseline"/>
                <w:lang w:eastAsia="zh-CN"/>
              </w:rPr>
              <w:t>已完善，详见</w:t>
            </w:r>
            <w:r>
              <w:rPr>
                <w:rFonts w:hint="eastAsia" w:ascii="Times New Roman" w:hAnsi="Times New Roman" w:cs="Times New Roman"/>
                <w:color w:val="auto"/>
                <w:vertAlign w:val="baseline"/>
                <w:lang w:val="en-US" w:eastAsia="zh-CN"/>
              </w:rPr>
              <w:t>P78、P120、P160</w:t>
            </w:r>
          </w:p>
        </w:tc>
      </w:tr>
    </w:tbl>
    <w:p>
      <w:pPr>
        <w:ind w:firstLine="562"/>
        <w:jc w:val="center"/>
        <w:rPr>
          <w:rFonts w:hint="eastAsia" w:eastAsia="宋体"/>
          <w:b/>
          <w:color w:val="000000"/>
          <w:kern w:val="0"/>
          <w:sz w:val="28"/>
          <w:szCs w:val="28"/>
          <w:lang w:eastAsia="zh-CN"/>
        </w:rPr>
        <w:sectPr>
          <w:pgSz w:w="16790" w:h="11850" w:orient="landscape"/>
          <w:pgMar w:top="1293" w:right="1440" w:bottom="1474" w:left="1440" w:header="720" w:footer="720" w:gutter="0"/>
          <w:pgBorders>
            <w:top w:val="none" w:sz="0" w:space="0"/>
            <w:left w:val="none" w:sz="0" w:space="0"/>
            <w:bottom w:val="none" w:sz="0" w:space="0"/>
            <w:right w:val="none" w:sz="0" w:space="0"/>
          </w:pgBorders>
          <w:pgNumType w:fmt="upperRoman" w:start="1"/>
          <w:cols w:space="720" w:num="1"/>
          <w:docGrid w:linePitch="326" w:charSpace="0"/>
        </w:sectPr>
      </w:pP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eastAsia="宋体"/>
          <w:b/>
          <w:color w:val="000000"/>
          <w:kern w:val="0"/>
          <w:sz w:val="28"/>
          <w:szCs w:val="28"/>
          <w:lang w:eastAsia="zh-CN"/>
        </w:rPr>
        <w:sectPr>
          <w:pgSz w:w="11850" w:h="16790"/>
          <w:pgMar w:top="720" w:right="720" w:bottom="720" w:left="720" w:header="720" w:footer="720" w:gutter="0"/>
          <w:pgBorders>
            <w:top w:val="none" w:sz="0" w:space="0"/>
            <w:left w:val="none" w:sz="0" w:space="0"/>
            <w:bottom w:val="none" w:sz="0" w:space="0"/>
            <w:right w:val="none" w:sz="0" w:space="0"/>
          </w:pgBorders>
          <w:pgNumType w:fmt="upperRoman" w:start="1"/>
          <w:cols w:space="720" w:num="1"/>
          <w:docGrid w:linePitch="326" w:charSpace="0"/>
        </w:sectPr>
      </w:pPr>
      <w:r>
        <w:rPr>
          <w:rFonts w:hint="eastAsia" w:eastAsia="宋体"/>
          <w:b/>
          <w:color w:val="000000"/>
          <w:kern w:val="0"/>
          <w:sz w:val="28"/>
          <w:szCs w:val="28"/>
          <w:lang w:eastAsia="zh-CN"/>
        </w:rPr>
        <w:drawing>
          <wp:inline distT="0" distB="0" distL="114300" distR="114300">
            <wp:extent cx="6094730" cy="8370570"/>
            <wp:effectExtent l="0" t="0" r="1270" b="11430"/>
            <wp:docPr id="18" name="图片 18" descr="a02cb649cff347be7a0f32ea9a0ae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a02cb649cff347be7a0f32ea9a0ae59"/>
                    <pic:cNvPicPr>
                      <a:picLocks noChangeAspect="true"/>
                    </pic:cNvPicPr>
                  </pic:nvPicPr>
                  <pic:blipFill>
                    <a:blip r:embed="rId24"/>
                    <a:stretch>
                      <a:fillRect/>
                    </a:stretch>
                  </pic:blipFill>
                  <pic:spPr>
                    <a:xfrm>
                      <a:off x="0" y="0"/>
                      <a:ext cx="6094730" cy="8370570"/>
                    </a:xfrm>
                    <a:prstGeom prst="rect">
                      <a:avLst/>
                    </a:prstGeom>
                  </pic:spPr>
                </pic:pic>
              </a:graphicData>
            </a:graphic>
          </wp:inline>
        </w:drawing>
      </w:r>
    </w:p>
    <w:p>
      <w:pPr>
        <w:pStyle w:val="2"/>
        <w:jc w:val="center"/>
        <w:rPr>
          <w:rFonts w:hint="eastAsia"/>
          <w:lang w:eastAsia="zh-CN"/>
        </w:rPr>
        <w:sectPr>
          <w:pgSz w:w="16790" w:h="11850" w:orient="landscape"/>
          <w:pgMar w:top="720" w:right="720" w:bottom="720" w:left="720" w:header="720" w:footer="720" w:gutter="0"/>
          <w:pgBorders>
            <w:top w:val="none" w:sz="0" w:space="0"/>
            <w:left w:val="none" w:sz="0" w:space="0"/>
            <w:bottom w:val="none" w:sz="0" w:space="0"/>
            <w:right w:val="none" w:sz="0" w:space="0"/>
          </w:pgBorders>
          <w:pgNumType w:fmt="upperRoman" w:start="1"/>
          <w:cols w:space="720" w:num="1"/>
          <w:docGrid w:linePitch="326" w:charSpace="0"/>
        </w:sectPr>
      </w:pPr>
      <w:r>
        <w:rPr>
          <w:rFonts w:hint="eastAsia"/>
          <w:lang w:eastAsia="zh-CN"/>
        </w:rPr>
        <w:drawing>
          <wp:inline distT="0" distB="0" distL="114300" distR="114300">
            <wp:extent cx="8195310" cy="6082665"/>
            <wp:effectExtent l="0" t="0" r="15240" b="13335"/>
            <wp:docPr id="19" name="图片 19" descr="扫描全能王 2022-08-25 15.35_2_pro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扫描全能王 2022-08-25 15.35_2_proc"/>
                    <pic:cNvPicPr>
                      <a:picLocks noChangeAspect="true"/>
                    </pic:cNvPicPr>
                  </pic:nvPicPr>
                  <pic:blipFill>
                    <a:blip r:embed="rId25"/>
                    <a:stretch>
                      <a:fillRect/>
                    </a:stretch>
                  </pic:blipFill>
                  <pic:spPr>
                    <a:xfrm>
                      <a:off x="0" y="0"/>
                      <a:ext cx="8195310" cy="6082665"/>
                    </a:xfrm>
                    <a:prstGeom prst="rect">
                      <a:avLst/>
                    </a:prstGeom>
                  </pic:spPr>
                </pic:pic>
              </a:graphicData>
            </a:graphic>
          </wp:inline>
        </w:drawing>
      </w:r>
      <w:r>
        <w:rPr>
          <w:rFonts w:hint="eastAsia"/>
          <w:lang w:eastAsia="zh-CN"/>
        </w:rPr>
        <w:drawing>
          <wp:inline distT="0" distB="0" distL="114300" distR="114300">
            <wp:extent cx="8169910" cy="6069965"/>
            <wp:effectExtent l="0" t="0" r="2540" b="6985"/>
            <wp:docPr id="20" name="图片 20" descr="扫描全能王 2022-08-25 15.35_1_pro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扫描全能王 2022-08-25 15.35_1_proc"/>
                    <pic:cNvPicPr>
                      <a:picLocks noChangeAspect="true"/>
                    </pic:cNvPicPr>
                  </pic:nvPicPr>
                  <pic:blipFill>
                    <a:blip r:embed="rId26"/>
                    <a:stretch>
                      <a:fillRect/>
                    </a:stretch>
                  </pic:blipFill>
                  <pic:spPr>
                    <a:xfrm>
                      <a:off x="0" y="0"/>
                      <a:ext cx="8169910" cy="6069965"/>
                    </a:xfrm>
                    <a:prstGeom prst="rect">
                      <a:avLst/>
                    </a:prstGeom>
                  </pic:spPr>
                </pic:pic>
              </a:graphicData>
            </a:graphic>
          </wp:inline>
        </w:drawing>
      </w:r>
    </w:p>
    <w:p>
      <w:pPr>
        <w:adjustRightInd w:val="0"/>
        <w:spacing w:line="240" w:lineRule="auto"/>
        <w:ind w:firstLine="0"/>
        <w:jc w:val="left"/>
        <w:rPr>
          <w:rFonts w:hint="default" w:ascii="Times New Roman" w:hAnsi="Times New Roman" w:eastAsia="黑体" w:cs="Times New Roman"/>
        </w:rPr>
      </w:pPr>
      <w:r>
        <w:rPr>
          <w:rFonts w:hint="default" w:ascii="Times New Roman" w:hAnsi="Times New Roman" w:eastAsia="黑体" w:cs="Times New Roman"/>
        </w:rPr>
        <w:t>附1</w:t>
      </w:r>
    </w:p>
    <w:p>
      <w:pPr>
        <w:adjustRightInd w:val="0"/>
        <w:spacing w:line="408" w:lineRule="auto"/>
        <w:ind w:firstLine="0"/>
        <w:jc w:val="left"/>
        <w:rPr>
          <w:rFonts w:hint="default" w:ascii="Times New Roman" w:hAnsi="Times New Roman" w:eastAsia="黑体" w:cs="Times New Roman"/>
        </w:rPr>
      </w:pPr>
    </w:p>
    <w:p>
      <w:pPr>
        <w:adjustRightInd w:val="0"/>
        <w:spacing w:line="240" w:lineRule="auto"/>
        <w:ind w:firstLine="0"/>
        <w:jc w:val="center"/>
        <w:rPr>
          <w:rFonts w:hint="default" w:ascii="Times New Roman" w:hAnsi="Times New Roman" w:eastAsia="方正小标宋_GBK" w:cs="Times New Roman"/>
          <w:sz w:val="38"/>
          <w:szCs w:val="38"/>
        </w:rPr>
      </w:pPr>
      <w:r>
        <w:rPr>
          <w:rFonts w:hint="default" w:ascii="Times New Roman" w:hAnsi="Times New Roman" w:eastAsia="方正小标宋_GBK" w:cs="Times New Roman"/>
          <w:sz w:val="38"/>
          <w:szCs w:val="38"/>
        </w:rPr>
        <w:t>编 制 单 位 承 诺 书</w:t>
      </w:r>
    </w:p>
    <w:p>
      <w:pPr>
        <w:adjustRightInd w:val="0"/>
        <w:spacing w:line="408" w:lineRule="auto"/>
        <w:ind w:firstLine="0"/>
        <w:jc w:val="left"/>
        <w:rPr>
          <w:rFonts w:hint="default" w:ascii="Times New Roman" w:hAnsi="Times New Roman" w:eastAsia="黑体" w:cs="Times New Roman"/>
        </w:rPr>
      </w:pPr>
    </w:p>
    <w:p>
      <w:pPr>
        <w:adjustRightInd w:val="0"/>
        <w:spacing w:line="360" w:lineRule="auto"/>
        <w:ind w:firstLine="480" w:firstLineChars="200"/>
        <w:rPr>
          <w:rFonts w:hint="default" w:ascii="Times New Roman" w:hAnsi="Times New Roman" w:eastAsia="仿宋_GB2312" w:cs="Times New Roman"/>
          <w:sz w:val="30"/>
          <w:szCs w:val="30"/>
        </w:rPr>
      </w:pP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-180340</wp:posOffset>
                </wp:positionH>
                <wp:positionV relativeFrom="paragraph">
                  <wp:posOffset>2463165</wp:posOffset>
                </wp:positionV>
                <wp:extent cx="5901690" cy="3332480"/>
                <wp:effectExtent l="4445" t="4445" r="18415" b="15875"/>
                <wp:wrapSquare wrapText="bothSides"/>
                <wp:docPr id="21" name="文本框 21"/>
                <wp:cNvGraphicFramePr/>
                <a:graphic xmlns:a="http://schemas.openxmlformats.org/drawingml/2006/main">
                  <a:graphicData uri="http://schemas.microsoft.com/office/word/2010/wordprocessingShape">
                    <wps:wsp>
                      <wps:cNvSpPr txBox="true"/>
                      <wps:spPr>
                        <a:xfrm>
                          <a:off x="0" y="0"/>
                          <a:ext cx="5901690" cy="333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before="72" w:beforeLines="30" w:line="336" w:lineRule="auto"/>
                              <w:ind w:firstLine="0"/>
                              <w:rPr>
                                <w:rFonts w:ascii="仿宋_GB2312" w:hAnsi="仿宋" w:eastAsia="仿宋_GB2312"/>
                                <w:sz w:val="30"/>
                                <w:szCs w:val="30"/>
                              </w:rPr>
                            </w:pPr>
                            <w:r>
                              <w:rPr>
                                <w:rFonts w:ascii="仿宋_GB2312" w:hAnsi="仿宋" w:eastAsia="仿宋_GB2312" w:cs="仿宋_GB2312"/>
                                <w:sz w:val="30"/>
                                <w:szCs w:val="30"/>
                              </w:rPr>
                              <w:t>1.</w:t>
                            </w:r>
                            <w:r>
                              <w:rPr>
                                <w:rFonts w:hint="eastAsia" w:ascii="仿宋_GB2312" w:hAnsi="仿宋" w:eastAsia="仿宋_GB2312" w:cs="仿宋_GB2312"/>
                                <w:sz w:val="30"/>
                                <w:szCs w:val="30"/>
                              </w:rPr>
                              <w:t>首次提交基本情况信息</w:t>
                            </w:r>
                          </w:p>
                          <w:p>
                            <w:pPr>
                              <w:adjustRightInd w:val="0"/>
                              <w:spacing w:line="336" w:lineRule="auto"/>
                              <w:ind w:firstLine="0"/>
                              <w:rPr>
                                <w:rFonts w:ascii="仿宋_GB2312" w:hAnsi="仿宋" w:eastAsia="仿宋_GB2312"/>
                                <w:sz w:val="30"/>
                                <w:szCs w:val="30"/>
                              </w:rPr>
                            </w:pPr>
                            <w:r>
                              <w:rPr>
                                <w:rFonts w:ascii="仿宋_GB2312" w:hAnsi="仿宋" w:eastAsia="仿宋_GB2312" w:cs="仿宋_GB2312"/>
                                <w:sz w:val="30"/>
                                <w:szCs w:val="30"/>
                              </w:rPr>
                              <w:t>2.</w:t>
                            </w:r>
                            <w:r>
                              <w:rPr>
                                <w:rFonts w:hint="eastAsia" w:ascii="仿宋_GB2312" w:hAnsi="仿宋" w:eastAsia="仿宋_GB2312" w:cs="仿宋_GB2312"/>
                                <w:sz w:val="30"/>
                                <w:szCs w:val="30"/>
                              </w:rPr>
                              <w:t>单位名称、住所或者法定代表人（负责人）变更的</w:t>
                            </w:r>
                          </w:p>
                          <w:p>
                            <w:pPr>
                              <w:adjustRightInd w:val="0"/>
                              <w:spacing w:line="336" w:lineRule="auto"/>
                              <w:ind w:firstLine="0"/>
                              <w:rPr>
                                <w:rFonts w:ascii="仿宋_GB2312" w:hAnsi="仿宋" w:eastAsia="仿宋_GB2312"/>
                                <w:sz w:val="30"/>
                                <w:szCs w:val="30"/>
                              </w:rPr>
                            </w:pPr>
                            <w:r>
                              <w:rPr>
                                <w:rFonts w:ascii="仿宋_GB2312" w:hAnsi="仿宋" w:eastAsia="仿宋_GB2312" w:cs="仿宋_GB2312"/>
                                <w:sz w:val="30"/>
                                <w:szCs w:val="30"/>
                              </w:rPr>
                              <w:t>3.</w:t>
                            </w:r>
                            <w:r>
                              <w:rPr>
                                <w:rFonts w:hint="eastAsia" w:ascii="仿宋_GB2312" w:hAnsi="仿宋" w:eastAsia="仿宋_GB2312" w:cs="仿宋_GB2312"/>
                                <w:sz w:val="30"/>
                                <w:szCs w:val="30"/>
                              </w:rPr>
                              <w:t>出资人、举办单位、业务主管部门或者挂靠单位等变更的</w:t>
                            </w:r>
                          </w:p>
                          <w:p>
                            <w:pPr>
                              <w:adjustRightInd w:val="0"/>
                              <w:spacing w:line="336" w:lineRule="auto"/>
                              <w:ind w:firstLine="0"/>
                              <w:rPr>
                                <w:rFonts w:ascii="仿宋_GB2312" w:hAnsi="仿宋" w:eastAsia="仿宋_GB2312"/>
                                <w:sz w:val="30"/>
                                <w:szCs w:val="30"/>
                              </w:rPr>
                            </w:pPr>
                            <w:r>
                              <w:rPr>
                                <w:rFonts w:ascii="仿宋_GB2312" w:hAnsi="仿宋" w:eastAsia="仿宋_GB2312" w:cs="仿宋_GB2312"/>
                                <w:sz w:val="30"/>
                                <w:szCs w:val="30"/>
                              </w:rPr>
                              <w:t>4.</w:t>
                            </w:r>
                            <w:r>
                              <w:rPr>
                                <w:rFonts w:hint="eastAsia" w:ascii="仿宋_GB2312" w:hAnsi="仿宋" w:eastAsia="仿宋_GB2312" w:cs="仿宋_GB2312"/>
                                <w:sz w:val="30"/>
                                <w:szCs w:val="30"/>
                              </w:rPr>
                              <w:t>未发生第</w:t>
                            </w:r>
                            <w:r>
                              <w:rPr>
                                <w:rFonts w:ascii="仿宋_GB2312" w:hAnsi="仿宋" w:eastAsia="仿宋_GB2312" w:cs="仿宋_GB2312"/>
                                <w:sz w:val="30"/>
                                <w:szCs w:val="30"/>
                              </w:rPr>
                              <w:t>3</w:t>
                            </w:r>
                            <w:r>
                              <w:rPr>
                                <w:rFonts w:hint="eastAsia" w:ascii="仿宋_GB2312" w:hAnsi="仿宋" w:eastAsia="仿宋_GB2312" w:cs="仿宋_GB2312"/>
                                <w:sz w:val="30"/>
                                <w:szCs w:val="30"/>
                              </w:rPr>
                              <w:t>项所列情形、与《建设项目环境影响报告书（表）编制监督管理办法》第九条规定的符合性发生变更的</w:t>
                            </w:r>
                          </w:p>
                          <w:p>
                            <w:pPr>
                              <w:autoSpaceDE/>
                              <w:adjustRightInd w:val="0"/>
                              <w:spacing w:line="336" w:lineRule="auto"/>
                              <w:ind w:firstLine="0"/>
                              <w:rPr>
                                <w:rFonts w:ascii="仿宋_GB2312" w:hAnsi="仿宋" w:eastAsia="仿宋_GB2312"/>
                                <w:sz w:val="30"/>
                                <w:szCs w:val="30"/>
                              </w:rPr>
                            </w:pPr>
                            <w:r>
                              <w:rPr>
                                <w:rFonts w:ascii="仿宋_GB2312" w:hAnsi="仿宋" w:eastAsia="仿宋_GB2312" w:cs="仿宋_GB2312"/>
                                <w:sz w:val="30"/>
                                <w:szCs w:val="30"/>
                              </w:rPr>
                              <w:t>5.</w:t>
                            </w:r>
                            <w:r>
                              <w:rPr>
                                <w:rFonts w:hint="eastAsia" w:ascii="仿宋_GB2312" w:hAnsi="仿宋" w:eastAsia="仿宋_GB2312" w:cs="仿宋_GB2312"/>
                                <w:sz w:val="30"/>
                                <w:szCs w:val="30"/>
                              </w:rPr>
                              <w:t>编制人员从业单位已变更或者已调离从业单位的</w:t>
                            </w:r>
                          </w:p>
                          <w:p>
                            <w:pPr>
                              <w:autoSpaceDE/>
                              <w:adjustRightInd w:val="0"/>
                              <w:spacing w:line="336" w:lineRule="auto"/>
                              <w:ind w:firstLine="0"/>
                              <w:rPr>
                                <w:rFonts w:ascii="仿宋_GB2312" w:hAnsi="仿宋" w:eastAsia="仿宋_GB2312"/>
                                <w:sz w:val="30"/>
                                <w:szCs w:val="30"/>
                              </w:rPr>
                            </w:pPr>
                            <w:r>
                              <w:rPr>
                                <w:rFonts w:ascii="仿宋_GB2312" w:hAnsi="仿宋" w:eastAsia="仿宋_GB2312" w:cs="仿宋_GB2312"/>
                                <w:sz w:val="30"/>
                                <w:szCs w:val="30"/>
                              </w:rPr>
                              <w:t>6.</w:t>
                            </w:r>
                            <w:r>
                              <w:rPr>
                                <w:rFonts w:hint="eastAsia" w:ascii="仿宋_GB2312" w:hAnsi="仿宋" w:eastAsia="仿宋_GB2312" w:cs="仿宋_GB2312"/>
                                <w:sz w:val="30"/>
                                <w:szCs w:val="30"/>
                              </w:rPr>
                              <w:t>编制人员未发生第</w:t>
                            </w:r>
                            <w:r>
                              <w:rPr>
                                <w:rFonts w:ascii="仿宋_GB2312" w:hAnsi="仿宋" w:eastAsia="仿宋_GB2312" w:cs="仿宋_GB2312"/>
                                <w:sz w:val="30"/>
                                <w:szCs w:val="30"/>
                              </w:rPr>
                              <w:t>5</w:t>
                            </w:r>
                            <w:r>
                              <w:rPr>
                                <w:rFonts w:hint="eastAsia" w:ascii="仿宋_GB2312" w:hAnsi="仿宋" w:eastAsia="仿宋_GB2312" w:cs="仿宋_GB2312"/>
                                <w:sz w:val="30"/>
                                <w:szCs w:val="30"/>
                              </w:rPr>
                              <w:t>项所列情形，全职情况发生变更、不再属于本单位全职人员的</w:t>
                            </w:r>
                          </w:p>
                          <w:p>
                            <w:pPr>
                              <w:adjustRightInd w:val="0"/>
                              <w:spacing w:line="336" w:lineRule="auto"/>
                              <w:ind w:firstLine="0"/>
                              <w:rPr>
                                <w:rFonts w:ascii="仿宋_GB2312" w:hAnsi="仿宋" w:eastAsia="仿宋_GB2312"/>
                                <w:sz w:val="30"/>
                                <w:szCs w:val="30"/>
                              </w:rPr>
                            </w:pPr>
                            <w:r>
                              <w:rPr>
                                <w:rFonts w:ascii="仿宋_GB2312" w:hAnsi="仿宋" w:eastAsia="仿宋_GB2312" w:cs="仿宋_GB2312"/>
                                <w:sz w:val="30"/>
                                <w:szCs w:val="30"/>
                              </w:rPr>
                              <w:t>7.</w:t>
                            </w:r>
                            <w:r>
                              <w:rPr>
                                <w:rFonts w:hint="eastAsia" w:ascii="仿宋_GB2312" w:hAnsi="仿宋" w:eastAsia="仿宋_GB2312" w:cs="仿宋_GB2312"/>
                                <w:sz w:val="30"/>
                                <w:szCs w:val="30"/>
                              </w:rPr>
                              <w:t>补正基本情况信息</w:t>
                            </w:r>
                          </w:p>
                        </w:txbxContent>
                      </wps:txbx>
                      <wps:bodyPr upright="true"/>
                    </wps:wsp>
                  </a:graphicData>
                </a:graphic>
              </wp:anchor>
            </w:drawing>
          </mc:Choice>
          <mc:Fallback>
            <w:pict>
              <v:shape id="_x0000_s1026" o:spid="_x0000_s1026" o:spt="202" type="#_x0000_t202" style="position:absolute;left:0pt;margin-left:-14.2pt;margin-top:193.95pt;height:262.4pt;width:464.7pt;mso-wrap-distance-bottom:0pt;mso-wrap-distance-left:9pt;mso-wrap-distance-right:9pt;mso-wrap-distance-top:0pt;z-index:251662336;mso-width-relative:page;mso-height-relative:page;" fillcolor="#FFFFFF" filled="t" stroked="t" coordsize="21600,21600" o:gfxdata="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6Ic/l9oAAAALAQAADwAAAAAAAAAB&#10;ACAAAAA4AAAAZHJzL2Rvd25yZXYueG1sUEsBAhQAFAAAAAgAh07iQN8BSAv4AQAA8QMAAA4AAAAA&#10;AAAAAQAgAAAAPwEAAGRycy9lMm9Eb2MueG1sUEsFBgAAAAAGAAYAWQEAAKkFAAAAAA==&#10;">
                <v:fill on="t" focussize="0,0"/>
                <v:stroke color="#000000" joinstyle="miter"/>
                <v:imagedata o:title=""/>
                <o:lock v:ext="edit" aspectratio="f"/>
                <v:textbox>
                  <w:txbxContent>
                    <w:p>
                      <w:pPr>
                        <w:adjustRightInd w:val="0"/>
                        <w:spacing w:before="72" w:beforeLines="30" w:line="336" w:lineRule="auto"/>
                        <w:ind w:firstLine="0"/>
                        <w:rPr>
                          <w:rFonts w:ascii="仿宋_GB2312" w:hAnsi="仿宋" w:eastAsia="仿宋_GB2312"/>
                          <w:sz w:val="30"/>
                          <w:szCs w:val="30"/>
                        </w:rPr>
                      </w:pPr>
                      <w:r>
                        <w:rPr>
                          <w:rFonts w:ascii="仿宋_GB2312" w:hAnsi="仿宋" w:eastAsia="仿宋_GB2312" w:cs="仿宋_GB2312"/>
                          <w:sz w:val="30"/>
                          <w:szCs w:val="30"/>
                        </w:rPr>
                        <w:t>1.</w:t>
                      </w:r>
                      <w:r>
                        <w:rPr>
                          <w:rFonts w:hint="eastAsia" w:ascii="仿宋_GB2312" w:hAnsi="仿宋" w:eastAsia="仿宋_GB2312" w:cs="仿宋_GB2312"/>
                          <w:sz w:val="30"/>
                          <w:szCs w:val="30"/>
                        </w:rPr>
                        <w:t>首次提交基本情况信息</w:t>
                      </w:r>
                    </w:p>
                    <w:p>
                      <w:pPr>
                        <w:adjustRightInd w:val="0"/>
                        <w:spacing w:line="336" w:lineRule="auto"/>
                        <w:ind w:firstLine="0"/>
                        <w:rPr>
                          <w:rFonts w:ascii="仿宋_GB2312" w:hAnsi="仿宋" w:eastAsia="仿宋_GB2312"/>
                          <w:sz w:val="30"/>
                          <w:szCs w:val="30"/>
                        </w:rPr>
                      </w:pPr>
                      <w:r>
                        <w:rPr>
                          <w:rFonts w:ascii="仿宋_GB2312" w:hAnsi="仿宋" w:eastAsia="仿宋_GB2312" w:cs="仿宋_GB2312"/>
                          <w:sz w:val="30"/>
                          <w:szCs w:val="30"/>
                        </w:rPr>
                        <w:t>2.</w:t>
                      </w:r>
                      <w:r>
                        <w:rPr>
                          <w:rFonts w:hint="eastAsia" w:ascii="仿宋_GB2312" w:hAnsi="仿宋" w:eastAsia="仿宋_GB2312" w:cs="仿宋_GB2312"/>
                          <w:sz w:val="30"/>
                          <w:szCs w:val="30"/>
                        </w:rPr>
                        <w:t>单位名称、住所或者法定代表人（负责人）变更的</w:t>
                      </w:r>
                    </w:p>
                    <w:p>
                      <w:pPr>
                        <w:adjustRightInd w:val="0"/>
                        <w:spacing w:line="336" w:lineRule="auto"/>
                        <w:ind w:firstLine="0"/>
                        <w:rPr>
                          <w:rFonts w:ascii="仿宋_GB2312" w:hAnsi="仿宋" w:eastAsia="仿宋_GB2312"/>
                          <w:sz w:val="30"/>
                          <w:szCs w:val="30"/>
                        </w:rPr>
                      </w:pPr>
                      <w:r>
                        <w:rPr>
                          <w:rFonts w:ascii="仿宋_GB2312" w:hAnsi="仿宋" w:eastAsia="仿宋_GB2312" w:cs="仿宋_GB2312"/>
                          <w:sz w:val="30"/>
                          <w:szCs w:val="30"/>
                        </w:rPr>
                        <w:t>3.</w:t>
                      </w:r>
                      <w:r>
                        <w:rPr>
                          <w:rFonts w:hint="eastAsia" w:ascii="仿宋_GB2312" w:hAnsi="仿宋" w:eastAsia="仿宋_GB2312" w:cs="仿宋_GB2312"/>
                          <w:sz w:val="30"/>
                          <w:szCs w:val="30"/>
                        </w:rPr>
                        <w:t>出资人、举办单位、业务主管部门或者挂靠单位等变更的</w:t>
                      </w:r>
                    </w:p>
                    <w:p>
                      <w:pPr>
                        <w:adjustRightInd w:val="0"/>
                        <w:spacing w:line="336" w:lineRule="auto"/>
                        <w:ind w:firstLine="0"/>
                        <w:rPr>
                          <w:rFonts w:ascii="仿宋_GB2312" w:hAnsi="仿宋" w:eastAsia="仿宋_GB2312"/>
                          <w:sz w:val="30"/>
                          <w:szCs w:val="30"/>
                        </w:rPr>
                      </w:pPr>
                      <w:r>
                        <w:rPr>
                          <w:rFonts w:ascii="仿宋_GB2312" w:hAnsi="仿宋" w:eastAsia="仿宋_GB2312" w:cs="仿宋_GB2312"/>
                          <w:sz w:val="30"/>
                          <w:szCs w:val="30"/>
                        </w:rPr>
                        <w:t>4.</w:t>
                      </w:r>
                      <w:r>
                        <w:rPr>
                          <w:rFonts w:hint="eastAsia" w:ascii="仿宋_GB2312" w:hAnsi="仿宋" w:eastAsia="仿宋_GB2312" w:cs="仿宋_GB2312"/>
                          <w:sz w:val="30"/>
                          <w:szCs w:val="30"/>
                        </w:rPr>
                        <w:t>未发生第</w:t>
                      </w:r>
                      <w:r>
                        <w:rPr>
                          <w:rFonts w:ascii="仿宋_GB2312" w:hAnsi="仿宋" w:eastAsia="仿宋_GB2312" w:cs="仿宋_GB2312"/>
                          <w:sz w:val="30"/>
                          <w:szCs w:val="30"/>
                        </w:rPr>
                        <w:t>3</w:t>
                      </w:r>
                      <w:r>
                        <w:rPr>
                          <w:rFonts w:hint="eastAsia" w:ascii="仿宋_GB2312" w:hAnsi="仿宋" w:eastAsia="仿宋_GB2312" w:cs="仿宋_GB2312"/>
                          <w:sz w:val="30"/>
                          <w:szCs w:val="30"/>
                        </w:rPr>
                        <w:t>项所列情形、与《建设项目环境影响报告书（表）编制监督管理办法》第九条规定的符合性发生变更的</w:t>
                      </w:r>
                    </w:p>
                    <w:p>
                      <w:pPr>
                        <w:autoSpaceDE/>
                        <w:adjustRightInd w:val="0"/>
                        <w:spacing w:line="336" w:lineRule="auto"/>
                        <w:ind w:firstLine="0"/>
                        <w:rPr>
                          <w:rFonts w:ascii="仿宋_GB2312" w:hAnsi="仿宋" w:eastAsia="仿宋_GB2312"/>
                          <w:sz w:val="30"/>
                          <w:szCs w:val="30"/>
                        </w:rPr>
                      </w:pPr>
                      <w:r>
                        <w:rPr>
                          <w:rFonts w:ascii="仿宋_GB2312" w:hAnsi="仿宋" w:eastAsia="仿宋_GB2312" w:cs="仿宋_GB2312"/>
                          <w:sz w:val="30"/>
                          <w:szCs w:val="30"/>
                        </w:rPr>
                        <w:t>5.</w:t>
                      </w:r>
                      <w:r>
                        <w:rPr>
                          <w:rFonts w:hint="eastAsia" w:ascii="仿宋_GB2312" w:hAnsi="仿宋" w:eastAsia="仿宋_GB2312" w:cs="仿宋_GB2312"/>
                          <w:sz w:val="30"/>
                          <w:szCs w:val="30"/>
                        </w:rPr>
                        <w:t>编制人员从业单位已变更或者已调离从业单位的</w:t>
                      </w:r>
                    </w:p>
                    <w:p>
                      <w:pPr>
                        <w:autoSpaceDE/>
                        <w:adjustRightInd w:val="0"/>
                        <w:spacing w:line="336" w:lineRule="auto"/>
                        <w:ind w:firstLine="0"/>
                        <w:rPr>
                          <w:rFonts w:ascii="仿宋_GB2312" w:hAnsi="仿宋" w:eastAsia="仿宋_GB2312"/>
                          <w:sz w:val="30"/>
                          <w:szCs w:val="30"/>
                        </w:rPr>
                      </w:pPr>
                      <w:r>
                        <w:rPr>
                          <w:rFonts w:ascii="仿宋_GB2312" w:hAnsi="仿宋" w:eastAsia="仿宋_GB2312" w:cs="仿宋_GB2312"/>
                          <w:sz w:val="30"/>
                          <w:szCs w:val="30"/>
                        </w:rPr>
                        <w:t>6.</w:t>
                      </w:r>
                      <w:r>
                        <w:rPr>
                          <w:rFonts w:hint="eastAsia" w:ascii="仿宋_GB2312" w:hAnsi="仿宋" w:eastAsia="仿宋_GB2312" w:cs="仿宋_GB2312"/>
                          <w:sz w:val="30"/>
                          <w:szCs w:val="30"/>
                        </w:rPr>
                        <w:t>编制人员未发生第</w:t>
                      </w:r>
                      <w:r>
                        <w:rPr>
                          <w:rFonts w:ascii="仿宋_GB2312" w:hAnsi="仿宋" w:eastAsia="仿宋_GB2312" w:cs="仿宋_GB2312"/>
                          <w:sz w:val="30"/>
                          <w:szCs w:val="30"/>
                        </w:rPr>
                        <w:t>5</w:t>
                      </w:r>
                      <w:r>
                        <w:rPr>
                          <w:rFonts w:hint="eastAsia" w:ascii="仿宋_GB2312" w:hAnsi="仿宋" w:eastAsia="仿宋_GB2312" w:cs="仿宋_GB2312"/>
                          <w:sz w:val="30"/>
                          <w:szCs w:val="30"/>
                        </w:rPr>
                        <w:t>项所列情形，全职情况发生变更、不再属于本单位全职人员的</w:t>
                      </w:r>
                    </w:p>
                    <w:p>
                      <w:pPr>
                        <w:adjustRightInd w:val="0"/>
                        <w:spacing w:line="336" w:lineRule="auto"/>
                        <w:ind w:firstLine="0"/>
                        <w:rPr>
                          <w:rFonts w:ascii="仿宋_GB2312" w:hAnsi="仿宋" w:eastAsia="仿宋_GB2312"/>
                          <w:sz w:val="30"/>
                          <w:szCs w:val="30"/>
                        </w:rPr>
                      </w:pPr>
                      <w:r>
                        <w:rPr>
                          <w:rFonts w:ascii="仿宋_GB2312" w:hAnsi="仿宋" w:eastAsia="仿宋_GB2312" w:cs="仿宋_GB2312"/>
                          <w:sz w:val="30"/>
                          <w:szCs w:val="30"/>
                        </w:rPr>
                        <w:t>7.</w:t>
                      </w:r>
                      <w:r>
                        <w:rPr>
                          <w:rFonts w:hint="eastAsia" w:ascii="仿宋_GB2312" w:hAnsi="仿宋" w:eastAsia="仿宋_GB2312" w:cs="仿宋_GB2312"/>
                          <w:sz w:val="30"/>
                          <w:szCs w:val="30"/>
                        </w:rPr>
                        <w:t>补正基本情况信息</w:t>
                      </w:r>
                    </w:p>
                  </w:txbxContent>
                </v:textbox>
                <w10:wrap type="square"/>
              </v:shape>
            </w:pict>
          </mc:Fallback>
        </mc:AlternateContent>
      </w:r>
      <w:r>
        <w:rPr>
          <w:rFonts w:hint="default" w:ascii="Times New Roman" w:hAnsi="Times New Roman" w:eastAsia="仿宋_GB2312" w:cs="Times New Roman"/>
          <w:sz w:val="30"/>
          <w:szCs w:val="30"/>
        </w:rPr>
        <w:t>本单位</w:t>
      </w:r>
      <w:r>
        <w:rPr>
          <w:rFonts w:hint="default" w:ascii="Times New Roman" w:hAnsi="Times New Roman" w:eastAsia="仿宋_GB2312" w:cs="Times New Roman"/>
          <w:sz w:val="30"/>
          <w:szCs w:val="30"/>
          <w:u w:val="single"/>
        </w:rPr>
        <w:t xml:space="preserve">  </w:t>
      </w:r>
      <w:r>
        <w:rPr>
          <w:rFonts w:hint="eastAsia" w:ascii="Times New Roman" w:hAnsi="Times New Roman" w:eastAsia="仿宋_GB2312" w:cs="Times New Roman"/>
          <w:sz w:val="30"/>
          <w:szCs w:val="30"/>
          <w:u w:val="single"/>
          <w:lang w:eastAsia="zh-CN"/>
        </w:rPr>
        <w:t>长沙博大环保科技有限公司</w:t>
      </w:r>
      <w:r>
        <w:rPr>
          <w:rFonts w:hint="default" w:ascii="Times New Roman" w:hAnsi="Times New Roman" w:eastAsia="仿宋_GB2312" w:cs="Times New Roman"/>
          <w:sz w:val="30"/>
          <w:szCs w:val="30"/>
          <w:u w:val="single"/>
        </w:rPr>
        <w:t xml:space="preserve"> </w:t>
      </w:r>
      <w:r>
        <w:rPr>
          <w:rFonts w:hint="default" w:ascii="Times New Roman" w:hAnsi="Times New Roman" w:eastAsia="仿宋_GB2312" w:cs="Times New Roman"/>
          <w:sz w:val="30"/>
          <w:szCs w:val="30"/>
        </w:rPr>
        <w:t>（统一社会信用代码</w:t>
      </w:r>
      <w:r>
        <w:rPr>
          <w:rFonts w:hint="default" w:ascii="Times New Roman" w:hAnsi="Times New Roman" w:eastAsia="仿宋_GB2312" w:cs="Times New Roman"/>
          <w:sz w:val="30"/>
          <w:szCs w:val="30"/>
          <w:u w:val="single"/>
        </w:rPr>
        <w:t xml:space="preserve">        91430111344823182Y </w:t>
      </w:r>
      <w:r>
        <w:rPr>
          <w:rFonts w:hint="default" w:ascii="Times New Roman" w:hAnsi="Times New Roman" w:eastAsia="仿宋_GB2312" w:cs="Times New Roman"/>
          <w:sz w:val="30"/>
          <w:szCs w:val="30"/>
        </w:rPr>
        <w:t>）郑重承诺：本单位符合《建设项目环境影响报告书（表）编制监督管理办法》第九条第一款规定，无该条第三款所列情形，</w:t>
      </w:r>
      <w:r>
        <w:rPr>
          <w:rFonts w:hint="default" w:ascii="Times New Roman" w:hAnsi="Times New Roman" w:eastAsia="仿宋_GB2312" w:cs="Times New Roman"/>
          <w:sz w:val="30"/>
          <w:szCs w:val="30"/>
          <w:u w:val="single"/>
        </w:rPr>
        <w:t xml:space="preserve">  </w:t>
      </w:r>
      <w:r>
        <w:rPr>
          <w:rFonts w:hint="default" w:ascii="Times New Roman" w:hAnsi="Times New Roman" w:eastAsia="仿宋_GB2312" w:cs="Times New Roman"/>
          <w:sz w:val="30"/>
          <w:szCs w:val="30"/>
          <w:u w:val="single"/>
          <w:lang w:eastAsia="zh-CN"/>
        </w:rPr>
        <w:t>不属于</w:t>
      </w:r>
      <w:r>
        <w:rPr>
          <w:rFonts w:hint="default" w:ascii="Times New Roman" w:hAnsi="Times New Roman" w:eastAsia="仿宋_GB2312" w:cs="Times New Roman"/>
          <w:sz w:val="30"/>
          <w:szCs w:val="30"/>
          <w:u w:val="single"/>
        </w:rPr>
        <w:t xml:space="preserve">  </w:t>
      </w:r>
      <w:r>
        <w:rPr>
          <w:rFonts w:hint="default" w:ascii="Times New Roman" w:hAnsi="Times New Roman" w:eastAsia="仿宋_GB2312" w:cs="Times New Roman"/>
          <w:sz w:val="30"/>
          <w:szCs w:val="30"/>
        </w:rPr>
        <w:t>（属于/不属于）该条第二款所列单位；本次在环境影响评价信用平台提交的下列第</w:t>
      </w:r>
      <w:r>
        <w:rPr>
          <w:rFonts w:hint="default" w:ascii="Times New Roman" w:hAnsi="Times New Roman" w:eastAsia="仿宋_GB2312" w:cs="Times New Roman"/>
          <w:sz w:val="30"/>
          <w:szCs w:val="30"/>
          <w:u w:val="single"/>
        </w:rPr>
        <w:t xml:space="preserve"> </w:t>
      </w:r>
      <w:r>
        <w:rPr>
          <w:rFonts w:hint="eastAsia" w:ascii="Times New Roman" w:hAnsi="Times New Roman" w:eastAsia="仿宋_GB2312" w:cs="Times New Roman"/>
          <w:sz w:val="30"/>
          <w:szCs w:val="30"/>
          <w:u w:val="single"/>
          <w:lang w:val="en-US" w:eastAsia="zh-CN"/>
        </w:rPr>
        <w:t>2</w:t>
      </w:r>
      <w:r>
        <w:rPr>
          <w:rFonts w:hint="default" w:ascii="Times New Roman" w:hAnsi="Times New Roman" w:eastAsia="仿宋_GB2312" w:cs="Times New Roman"/>
          <w:sz w:val="30"/>
          <w:szCs w:val="30"/>
          <w:u w:val="single"/>
        </w:rPr>
        <w:t xml:space="preserve"> </w:t>
      </w:r>
      <w:r>
        <w:rPr>
          <w:rFonts w:hint="default" w:ascii="Times New Roman" w:hAnsi="Times New Roman" w:eastAsia="仿宋_GB2312" w:cs="Times New Roman"/>
          <w:sz w:val="30"/>
          <w:szCs w:val="30"/>
        </w:rPr>
        <w:t>项相关情况信息真实准确、完整有效。</w:t>
      </w:r>
    </w:p>
    <w:p>
      <w:pPr>
        <w:adjustRightInd w:val="0"/>
        <w:spacing w:line="360" w:lineRule="auto"/>
        <w:ind w:firstLine="0"/>
        <w:rPr>
          <w:rFonts w:hint="default" w:ascii="Times New Roman" w:hAnsi="Times New Roman" w:eastAsia="仿宋" w:cs="Times New Roman"/>
          <w:sz w:val="30"/>
          <w:szCs w:val="30"/>
        </w:rPr>
      </w:pPr>
    </w:p>
    <w:p>
      <w:pPr>
        <w:adjustRightInd w:val="0"/>
        <w:spacing w:line="360" w:lineRule="auto"/>
        <w:ind w:firstLine="0"/>
        <w:rPr>
          <w:rFonts w:hint="default" w:ascii="Times New Roman" w:hAnsi="Times New Roman" w:eastAsia="仿宋_GB2312" w:cs="Times New Roman"/>
          <w:sz w:val="30"/>
          <w:szCs w:val="30"/>
        </w:rPr>
      </w:pPr>
      <w:r>
        <w:rPr>
          <w:rFonts w:hint="default" w:ascii="Times New Roman" w:hAnsi="Times New Roman" w:eastAsia="仿宋" w:cs="Times New Roman"/>
          <w:sz w:val="30"/>
          <w:szCs w:val="30"/>
        </w:rPr>
        <w:t xml:space="preserve">                                </w:t>
      </w:r>
      <w:r>
        <w:rPr>
          <w:rFonts w:hint="default" w:ascii="Times New Roman" w:hAnsi="Times New Roman" w:eastAsia="仿宋_GB2312" w:cs="Times New Roman"/>
          <w:sz w:val="30"/>
          <w:szCs w:val="30"/>
        </w:rPr>
        <w:t xml:space="preserve"> 承诺单位(公章)：</w:t>
      </w:r>
    </w:p>
    <w:p>
      <w:pPr>
        <w:adjustRightInd w:val="0"/>
        <w:spacing w:line="360" w:lineRule="auto"/>
        <w:ind w:firstLine="200"/>
        <w:jc w:val="lef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 xml:space="preserve">                                     年 </w:t>
      </w:r>
      <w:r>
        <w:rPr>
          <w:rFonts w:hint="eastAsia" w:ascii="Times New Roman" w:hAnsi="Times New Roman" w:eastAsia="仿宋_GB2312" w:cs="Times New Roman"/>
          <w:sz w:val="30"/>
          <w:szCs w:val="30"/>
          <w:lang w:val="en-US" w:eastAsia="zh-CN"/>
        </w:rPr>
        <w:t xml:space="preserve"> </w:t>
      </w:r>
      <w:r>
        <w:rPr>
          <w:rFonts w:hint="default" w:ascii="Times New Roman" w:hAnsi="Times New Roman" w:eastAsia="仿宋_GB2312" w:cs="Times New Roman"/>
          <w:sz w:val="30"/>
          <w:szCs w:val="30"/>
        </w:rPr>
        <w:t xml:space="preserve"> 月</w:t>
      </w:r>
      <w:r>
        <w:rPr>
          <w:rFonts w:hint="eastAsia" w:ascii="Times New Roman" w:hAnsi="Times New Roman" w:eastAsia="仿宋_GB2312" w:cs="Times New Roman"/>
          <w:sz w:val="30"/>
          <w:szCs w:val="30"/>
          <w:lang w:val="en-US" w:eastAsia="zh-CN"/>
        </w:rPr>
        <w:t xml:space="preserve">   </w:t>
      </w:r>
      <w:r>
        <w:rPr>
          <w:rFonts w:hint="default" w:ascii="Times New Roman" w:hAnsi="Times New Roman" w:eastAsia="仿宋_GB2312" w:cs="Times New Roman"/>
          <w:sz w:val="30"/>
          <w:szCs w:val="30"/>
        </w:rPr>
        <w:t xml:space="preserve"> 日</w:t>
      </w:r>
    </w:p>
    <w:p>
      <w:pPr>
        <w:bidi w:val="0"/>
        <w:spacing w:line="240" w:lineRule="auto"/>
        <w:jc w:val="center"/>
        <w:rPr>
          <w:rFonts w:hint="eastAsia"/>
          <w:b/>
          <w:bCs/>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adjustRightInd w:val="0"/>
        <w:spacing w:line="240" w:lineRule="auto"/>
        <w:ind w:firstLine="0"/>
        <w:jc w:val="left"/>
        <w:rPr>
          <w:rFonts w:hint="default" w:ascii="Times New Roman" w:hAnsi="Times New Roman" w:eastAsia="黑体" w:cs="Times New Roman"/>
        </w:rPr>
      </w:pPr>
      <w:r>
        <w:rPr>
          <w:rFonts w:hint="default" w:ascii="Times New Roman" w:hAnsi="Times New Roman" w:eastAsia="黑体" w:cs="Times New Roman"/>
        </w:rPr>
        <w:t>附2</w:t>
      </w:r>
    </w:p>
    <w:p>
      <w:pPr>
        <w:adjustRightInd w:val="0"/>
        <w:spacing w:line="408" w:lineRule="auto"/>
        <w:ind w:firstLine="0"/>
        <w:jc w:val="left"/>
        <w:rPr>
          <w:rFonts w:hint="default" w:ascii="Times New Roman" w:hAnsi="Times New Roman" w:eastAsia="黑体" w:cs="Times New Roman"/>
        </w:rPr>
      </w:pPr>
    </w:p>
    <w:p>
      <w:pPr>
        <w:adjustRightInd w:val="0"/>
        <w:spacing w:line="240" w:lineRule="auto"/>
        <w:ind w:firstLine="0"/>
        <w:jc w:val="center"/>
        <w:rPr>
          <w:rFonts w:hint="default" w:ascii="Times New Roman" w:hAnsi="Times New Roman" w:eastAsia="方正小标宋_GBK" w:cs="Times New Roman"/>
          <w:sz w:val="38"/>
          <w:szCs w:val="38"/>
        </w:rPr>
      </w:pPr>
      <w:r>
        <w:rPr>
          <w:rFonts w:hint="default" w:ascii="Times New Roman" w:hAnsi="Times New Roman" w:eastAsia="方正小标宋_GBK" w:cs="Times New Roman"/>
          <w:sz w:val="38"/>
          <w:szCs w:val="38"/>
        </w:rPr>
        <w:t>编 制 人 员 承 诺 书</w:t>
      </w:r>
    </w:p>
    <w:p>
      <w:pPr>
        <w:adjustRightInd w:val="0"/>
        <w:spacing w:line="408" w:lineRule="auto"/>
        <w:ind w:firstLine="0"/>
        <w:jc w:val="left"/>
        <w:rPr>
          <w:rFonts w:hint="default" w:ascii="Times New Roman" w:hAnsi="Times New Roman" w:eastAsia="黑体" w:cs="Times New Roman"/>
        </w:rPr>
      </w:pPr>
    </w:p>
    <w:p>
      <w:pPr>
        <w:adjustRightInd w:val="0"/>
        <w:spacing w:line="360" w:lineRule="auto"/>
        <w:ind w:firstLine="480" w:firstLineChars="200"/>
        <w:rPr>
          <w:rFonts w:hint="default" w:ascii="Times New Roman" w:hAnsi="Times New Roman" w:eastAsia="仿宋_GB2312" w:cs="Times New Roman"/>
          <w:sz w:val="30"/>
          <w:szCs w:val="30"/>
        </w:rPr>
      </w:pPr>
      <w:r>
        <w:rPr>
          <w:rFonts w:hint="default"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1649730</wp:posOffset>
                </wp:positionV>
                <wp:extent cx="5649595" cy="2903220"/>
                <wp:effectExtent l="4445" t="4445" r="22860" b="6985"/>
                <wp:wrapSquare wrapText="bothSides"/>
                <wp:docPr id="9" name="文本框 9"/>
                <wp:cNvGraphicFramePr/>
                <a:graphic xmlns:a="http://schemas.openxmlformats.org/drawingml/2006/main">
                  <a:graphicData uri="http://schemas.microsoft.com/office/word/2010/wordprocessingShape">
                    <wps:wsp>
                      <wps:cNvSpPr txBox="true"/>
                      <wps:spPr>
                        <a:xfrm>
                          <a:off x="0" y="0"/>
                          <a:ext cx="5649595" cy="29032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pacing w:line="360" w:lineRule="auto"/>
                              <w:ind w:firstLine="0"/>
                              <w:rPr>
                                <w:rFonts w:ascii="仿宋" w:hAnsi="仿宋" w:eastAsia="仿宋"/>
                                <w:sz w:val="30"/>
                                <w:szCs w:val="30"/>
                              </w:rPr>
                            </w:pPr>
                            <w:r>
                              <w:rPr>
                                <w:rFonts w:ascii="仿宋" w:hAnsi="仿宋" w:eastAsia="仿宋" w:cs="仿宋"/>
                                <w:sz w:val="30"/>
                                <w:szCs w:val="30"/>
                              </w:rPr>
                              <w:t>1.</w:t>
                            </w:r>
                            <w:r>
                              <w:rPr>
                                <w:rFonts w:hint="eastAsia" w:ascii="仿宋" w:hAnsi="仿宋" w:eastAsia="仿宋" w:cs="仿宋"/>
                                <w:sz w:val="30"/>
                                <w:szCs w:val="30"/>
                              </w:rPr>
                              <w:t>首次提交基本情况信息</w:t>
                            </w:r>
                          </w:p>
                          <w:p>
                            <w:pPr>
                              <w:autoSpaceDE/>
                              <w:adjustRightInd w:val="0"/>
                              <w:spacing w:line="348" w:lineRule="auto"/>
                              <w:ind w:firstLine="0"/>
                              <w:rPr>
                                <w:rFonts w:ascii="仿宋" w:hAnsi="仿宋" w:eastAsia="仿宋"/>
                                <w:sz w:val="30"/>
                                <w:szCs w:val="30"/>
                              </w:rPr>
                            </w:pPr>
                            <w:r>
                              <w:rPr>
                                <w:rFonts w:ascii="仿宋" w:hAnsi="仿宋" w:eastAsia="仿宋" w:cs="仿宋"/>
                                <w:sz w:val="30"/>
                                <w:szCs w:val="30"/>
                              </w:rPr>
                              <w:t>2.</w:t>
                            </w:r>
                            <w:r>
                              <w:rPr>
                                <w:rFonts w:hint="eastAsia" w:ascii="仿宋" w:hAnsi="仿宋" w:eastAsia="仿宋" w:cs="仿宋"/>
                                <w:sz w:val="30"/>
                                <w:szCs w:val="30"/>
                              </w:rPr>
                              <w:t>从业单位变更的</w:t>
                            </w:r>
                          </w:p>
                          <w:p>
                            <w:pPr>
                              <w:autoSpaceDE/>
                              <w:adjustRightInd w:val="0"/>
                              <w:spacing w:line="348" w:lineRule="auto"/>
                              <w:ind w:firstLine="0"/>
                              <w:rPr>
                                <w:rFonts w:ascii="仿宋" w:hAnsi="仿宋" w:eastAsia="仿宋"/>
                                <w:sz w:val="30"/>
                                <w:szCs w:val="30"/>
                              </w:rPr>
                            </w:pPr>
                            <w:r>
                              <w:rPr>
                                <w:rFonts w:ascii="仿宋" w:hAnsi="仿宋" w:eastAsia="仿宋" w:cs="仿宋"/>
                                <w:sz w:val="30"/>
                                <w:szCs w:val="30"/>
                              </w:rPr>
                              <w:t>3.</w:t>
                            </w:r>
                            <w:r>
                              <w:rPr>
                                <w:rFonts w:hint="eastAsia" w:ascii="仿宋" w:hAnsi="仿宋" w:eastAsia="仿宋" w:cs="仿宋"/>
                                <w:sz w:val="30"/>
                                <w:szCs w:val="30"/>
                              </w:rPr>
                              <w:t>调离从业单位的</w:t>
                            </w:r>
                          </w:p>
                          <w:p>
                            <w:pPr>
                              <w:autoSpaceDE/>
                              <w:adjustRightInd w:val="0"/>
                              <w:spacing w:line="348" w:lineRule="auto"/>
                              <w:ind w:firstLine="0"/>
                              <w:rPr>
                                <w:rFonts w:ascii="仿宋" w:hAnsi="仿宋" w:eastAsia="仿宋"/>
                                <w:sz w:val="30"/>
                                <w:szCs w:val="30"/>
                              </w:rPr>
                            </w:pPr>
                            <w:r>
                              <w:rPr>
                                <w:rFonts w:ascii="仿宋" w:hAnsi="仿宋" w:eastAsia="仿宋" w:cs="仿宋"/>
                                <w:sz w:val="30"/>
                                <w:szCs w:val="30"/>
                              </w:rPr>
                              <w:t>4.</w:t>
                            </w:r>
                            <w:r>
                              <w:rPr>
                                <w:rFonts w:hint="eastAsia" w:ascii="仿宋" w:hAnsi="仿宋" w:eastAsia="仿宋" w:cs="仿宋"/>
                                <w:sz w:val="30"/>
                                <w:szCs w:val="30"/>
                              </w:rPr>
                              <w:t>建立诚信档案后取得环境影响评价工程师职业资格证书的</w:t>
                            </w:r>
                          </w:p>
                          <w:p>
                            <w:pPr>
                              <w:autoSpaceDE/>
                              <w:adjustRightInd w:val="0"/>
                              <w:spacing w:line="348" w:lineRule="auto"/>
                              <w:ind w:firstLine="0"/>
                              <w:rPr>
                                <w:rFonts w:ascii="仿宋" w:hAnsi="仿宋" w:eastAsia="仿宋"/>
                                <w:sz w:val="30"/>
                                <w:szCs w:val="30"/>
                              </w:rPr>
                            </w:pPr>
                            <w:r>
                              <w:rPr>
                                <w:rFonts w:hint="eastAsia" w:ascii="仿宋" w:hAnsi="仿宋" w:eastAsia="仿宋" w:cs="仿宋"/>
                                <w:sz w:val="30"/>
                                <w:szCs w:val="30"/>
                              </w:rPr>
                              <w:t>5</w:t>
                            </w:r>
                            <w:r>
                              <w:rPr>
                                <w:rFonts w:ascii="仿宋" w:hAnsi="仿宋" w:eastAsia="仿宋" w:cs="仿宋"/>
                                <w:sz w:val="30"/>
                                <w:szCs w:val="30"/>
                              </w:rPr>
                              <w:t>.</w:t>
                            </w:r>
                            <w:r>
                              <w:rPr>
                                <w:rFonts w:hint="eastAsia" w:ascii="仿宋" w:hAnsi="仿宋" w:eastAsia="仿宋" w:cs="仿宋"/>
                                <w:sz w:val="30"/>
                                <w:szCs w:val="30"/>
                              </w:rPr>
                              <w:t>被注销后从业单位变更的</w:t>
                            </w:r>
                          </w:p>
                          <w:p>
                            <w:pPr>
                              <w:autoSpaceDE/>
                              <w:adjustRightInd w:val="0"/>
                              <w:spacing w:line="348" w:lineRule="auto"/>
                              <w:ind w:firstLine="0"/>
                              <w:rPr>
                                <w:rFonts w:hint="eastAsia" w:ascii="仿宋" w:hAnsi="仿宋" w:eastAsia="仿宋" w:cs="仿宋"/>
                                <w:sz w:val="30"/>
                                <w:szCs w:val="30"/>
                              </w:rPr>
                            </w:pPr>
                            <w:r>
                              <w:rPr>
                                <w:rFonts w:hint="eastAsia" w:ascii="仿宋" w:hAnsi="仿宋" w:eastAsia="仿宋" w:cs="仿宋"/>
                                <w:sz w:val="30"/>
                                <w:szCs w:val="30"/>
                              </w:rPr>
                              <w:t>6.被注销后调回原从业单位的</w:t>
                            </w:r>
                          </w:p>
                          <w:p>
                            <w:pPr>
                              <w:autoSpaceDE/>
                              <w:adjustRightInd w:val="0"/>
                              <w:spacing w:line="348" w:lineRule="auto"/>
                              <w:ind w:firstLine="0"/>
                              <w:rPr>
                                <w:rFonts w:ascii="仿宋" w:hAnsi="仿宋" w:eastAsia="仿宋"/>
                                <w:sz w:val="30"/>
                                <w:szCs w:val="30"/>
                              </w:rPr>
                            </w:pPr>
                            <w:r>
                              <w:rPr>
                                <w:rFonts w:hint="eastAsia" w:ascii="仿宋" w:hAnsi="仿宋" w:eastAsia="仿宋" w:cs="仿宋"/>
                                <w:sz w:val="30"/>
                                <w:szCs w:val="30"/>
                              </w:rPr>
                              <w:t>7</w:t>
                            </w:r>
                            <w:r>
                              <w:rPr>
                                <w:rFonts w:ascii="仿宋" w:hAnsi="仿宋" w:eastAsia="仿宋" w:cs="仿宋"/>
                                <w:sz w:val="30"/>
                                <w:szCs w:val="30"/>
                              </w:rPr>
                              <w:t>.</w:t>
                            </w:r>
                            <w:r>
                              <w:rPr>
                                <w:rFonts w:hint="eastAsia" w:ascii="仿宋" w:hAnsi="仿宋" w:eastAsia="仿宋" w:cs="仿宋"/>
                                <w:sz w:val="30"/>
                                <w:szCs w:val="30"/>
                              </w:rPr>
                              <w:t>编制单位终止的</w:t>
                            </w:r>
                          </w:p>
                          <w:p>
                            <w:pPr>
                              <w:autoSpaceDE/>
                              <w:adjustRightInd w:val="0"/>
                              <w:spacing w:line="348" w:lineRule="auto"/>
                              <w:ind w:firstLine="0"/>
                              <w:rPr>
                                <w:rFonts w:ascii="仿宋" w:hAnsi="仿宋" w:eastAsia="仿宋"/>
                                <w:sz w:val="30"/>
                                <w:szCs w:val="30"/>
                              </w:rPr>
                            </w:pPr>
                            <w:r>
                              <w:rPr>
                                <w:rFonts w:hint="eastAsia" w:ascii="仿宋" w:hAnsi="仿宋" w:eastAsia="仿宋" w:cs="仿宋"/>
                                <w:sz w:val="30"/>
                                <w:szCs w:val="30"/>
                              </w:rPr>
                              <w:t>8.补正基本情况信息</w:t>
                            </w:r>
                          </w:p>
                        </w:txbxContent>
                      </wps:txbx>
                      <wps:bodyPr upright="true"/>
                    </wps:wsp>
                  </a:graphicData>
                </a:graphic>
              </wp:anchor>
            </w:drawing>
          </mc:Choice>
          <mc:Fallback>
            <w:pict>
              <v:shape id="_x0000_s1026" o:spid="_x0000_s1026" o:spt="202" type="#_x0000_t202" style="position:absolute;left:0pt;margin-left:0pt;margin-top:129.9pt;height:228.6pt;width:444.85pt;mso-wrap-distance-bottom:0pt;mso-wrap-distance-left:9pt;mso-wrap-distance-right:9pt;mso-wrap-distance-top:0pt;z-index:251663360;mso-width-relative:page;mso-height-relative:page;" fillcolor="#FFFFFF" filled="t" stroked="t" coordsize="21600,21600" o:gfxdata="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n5X462AAAAAgBAAAPAAAAAAAAAAEAIAAA&#10;ADgAAABkcnMvZG93bnJldi54bWxQSwECFAAUAAAACACHTuJATqHDcPYBAADvAwAADgAAAAAAAAAB&#10;ACAAAAA9AQAAZHJzL2Uyb0RvYy54bWxQSwUGAAAAAAYABgBZAQAApQUAAAAA&#10;">
                <v:fill on="t" focussize="0,0"/>
                <v:stroke color="#000000" joinstyle="miter"/>
                <v:imagedata o:title=""/>
                <o:lock v:ext="edit" aspectratio="f"/>
                <v:textbox>
                  <w:txbxContent>
                    <w:p>
                      <w:pPr>
                        <w:adjustRightInd w:val="0"/>
                        <w:spacing w:line="360" w:lineRule="auto"/>
                        <w:ind w:firstLine="0"/>
                        <w:rPr>
                          <w:rFonts w:ascii="仿宋" w:hAnsi="仿宋" w:eastAsia="仿宋"/>
                          <w:sz w:val="30"/>
                          <w:szCs w:val="30"/>
                        </w:rPr>
                      </w:pPr>
                      <w:r>
                        <w:rPr>
                          <w:rFonts w:ascii="仿宋" w:hAnsi="仿宋" w:eastAsia="仿宋" w:cs="仿宋"/>
                          <w:sz w:val="30"/>
                          <w:szCs w:val="30"/>
                        </w:rPr>
                        <w:t>1.</w:t>
                      </w:r>
                      <w:r>
                        <w:rPr>
                          <w:rFonts w:hint="eastAsia" w:ascii="仿宋" w:hAnsi="仿宋" w:eastAsia="仿宋" w:cs="仿宋"/>
                          <w:sz w:val="30"/>
                          <w:szCs w:val="30"/>
                        </w:rPr>
                        <w:t>首次提交基本情况信息</w:t>
                      </w:r>
                    </w:p>
                    <w:p>
                      <w:pPr>
                        <w:autoSpaceDE/>
                        <w:adjustRightInd w:val="0"/>
                        <w:spacing w:line="348" w:lineRule="auto"/>
                        <w:ind w:firstLine="0"/>
                        <w:rPr>
                          <w:rFonts w:ascii="仿宋" w:hAnsi="仿宋" w:eastAsia="仿宋"/>
                          <w:sz w:val="30"/>
                          <w:szCs w:val="30"/>
                        </w:rPr>
                      </w:pPr>
                      <w:r>
                        <w:rPr>
                          <w:rFonts w:ascii="仿宋" w:hAnsi="仿宋" w:eastAsia="仿宋" w:cs="仿宋"/>
                          <w:sz w:val="30"/>
                          <w:szCs w:val="30"/>
                        </w:rPr>
                        <w:t>2.</w:t>
                      </w:r>
                      <w:r>
                        <w:rPr>
                          <w:rFonts w:hint="eastAsia" w:ascii="仿宋" w:hAnsi="仿宋" w:eastAsia="仿宋" w:cs="仿宋"/>
                          <w:sz w:val="30"/>
                          <w:szCs w:val="30"/>
                        </w:rPr>
                        <w:t>从业单位变更的</w:t>
                      </w:r>
                    </w:p>
                    <w:p>
                      <w:pPr>
                        <w:autoSpaceDE/>
                        <w:adjustRightInd w:val="0"/>
                        <w:spacing w:line="348" w:lineRule="auto"/>
                        <w:ind w:firstLine="0"/>
                        <w:rPr>
                          <w:rFonts w:ascii="仿宋" w:hAnsi="仿宋" w:eastAsia="仿宋"/>
                          <w:sz w:val="30"/>
                          <w:szCs w:val="30"/>
                        </w:rPr>
                      </w:pPr>
                      <w:r>
                        <w:rPr>
                          <w:rFonts w:ascii="仿宋" w:hAnsi="仿宋" w:eastAsia="仿宋" w:cs="仿宋"/>
                          <w:sz w:val="30"/>
                          <w:szCs w:val="30"/>
                        </w:rPr>
                        <w:t>3.</w:t>
                      </w:r>
                      <w:r>
                        <w:rPr>
                          <w:rFonts w:hint="eastAsia" w:ascii="仿宋" w:hAnsi="仿宋" w:eastAsia="仿宋" w:cs="仿宋"/>
                          <w:sz w:val="30"/>
                          <w:szCs w:val="30"/>
                        </w:rPr>
                        <w:t>调离从业单位的</w:t>
                      </w:r>
                    </w:p>
                    <w:p>
                      <w:pPr>
                        <w:autoSpaceDE/>
                        <w:adjustRightInd w:val="0"/>
                        <w:spacing w:line="348" w:lineRule="auto"/>
                        <w:ind w:firstLine="0"/>
                        <w:rPr>
                          <w:rFonts w:ascii="仿宋" w:hAnsi="仿宋" w:eastAsia="仿宋"/>
                          <w:sz w:val="30"/>
                          <w:szCs w:val="30"/>
                        </w:rPr>
                      </w:pPr>
                      <w:r>
                        <w:rPr>
                          <w:rFonts w:ascii="仿宋" w:hAnsi="仿宋" w:eastAsia="仿宋" w:cs="仿宋"/>
                          <w:sz w:val="30"/>
                          <w:szCs w:val="30"/>
                        </w:rPr>
                        <w:t>4.</w:t>
                      </w:r>
                      <w:r>
                        <w:rPr>
                          <w:rFonts w:hint="eastAsia" w:ascii="仿宋" w:hAnsi="仿宋" w:eastAsia="仿宋" w:cs="仿宋"/>
                          <w:sz w:val="30"/>
                          <w:szCs w:val="30"/>
                        </w:rPr>
                        <w:t>建立诚信档案后取得环境影响评价工程师职业资格证书的</w:t>
                      </w:r>
                    </w:p>
                    <w:p>
                      <w:pPr>
                        <w:autoSpaceDE/>
                        <w:adjustRightInd w:val="0"/>
                        <w:spacing w:line="348" w:lineRule="auto"/>
                        <w:ind w:firstLine="0"/>
                        <w:rPr>
                          <w:rFonts w:ascii="仿宋" w:hAnsi="仿宋" w:eastAsia="仿宋"/>
                          <w:sz w:val="30"/>
                          <w:szCs w:val="30"/>
                        </w:rPr>
                      </w:pPr>
                      <w:r>
                        <w:rPr>
                          <w:rFonts w:hint="eastAsia" w:ascii="仿宋" w:hAnsi="仿宋" w:eastAsia="仿宋" w:cs="仿宋"/>
                          <w:sz w:val="30"/>
                          <w:szCs w:val="30"/>
                        </w:rPr>
                        <w:t>5</w:t>
                      </w:r>
                      <w:r>
                        <w:rPr>
                          <w:rFonts w:ascii="仿宋" w:hAnsi="仿宋" w:eastAsia="仿宋" w:cs="仿宋"/>
                          <w:sz w:val="30"/>
                          <w:szCs w:val="30"/>
                        </w:rPr>
                        <w:t>.</w:t>
                      </w:r>
                      <w:r>
                        <w:rPr>
                          <w:rFonts w:hint="eastAsia" w:ascii="仿宋" w:hAnsi="仿宋" w:eastAsia="仿宋" w:cs="仿宋"/>
                          <w:sz w:val="30"/>
                          <w:szCs w:val="30"/>
                        </w:rPr>
                        <w:t>被注销后从业单位变更的</w:t>
                      </w:r>
                    </w:p>
                    <w:p>
                      <w:pPr>
                        <w:autoSpaceDE/>
                        <w:adjustRightInd w:val="0"/>
                        <w:spacing w:line="348" w:lineRule="auto"/>
                        <w:ind w:firstLine="0"/>
                        <w:rPr>
                          <w:rFonts w:hint="eastAsia" w:ascii="仿宋" w:hAnsi="仿宋" w:eastAsia="仿宋" w:cs="仿宋"/>
                          <w:sz w:val="30"/>
                          <w:szCs w:val="30"/>
                        </w:rPr>
                      </w:pPr>
                      <w:r>
                        <w:rPr>
                          <w:rFonts w:hint="eastAsia" w:ascii="仿宋" w:hAnsi="仿宋" w:eastAsia="仿宋" w:cs="仿宋"/>
                          <w:sz w:val="30"/>
                          <w:szCs w:val="30"/>
                        </w:rPr>
                        <w:t>6.被注销后调回原从业单位的</w:t>
                      </w:r>
                    </w:p>
                    <w:p>
                      <w:pPr>
                        <w:autoSpaceDE/>
                        <w:adjustRightInd w:val="0"/>
                        <w:spacing w:line="348" w:lineRule="auto"/>
                        <w:ind w:firstLine="0"/>
                        <w:rPr>
                          <w:rFonts w:ascii="仿宋" w:hAnsi="仿宋" w:eastAsia="仿宋"/>
                          <w:sz w:val="30"/>
                          <w:szCs w:val="30"/>
                        </w:rPr>
                      </w:pPr>
                      <w:r>
                        <w:rPr>
                          <w:rFonts w:hint="eastAsia" w:ascii="仿宋" w:hAnsi="仿宋" w:eastAsia="仿宋" w:cs="仿宋"/>
                          <w:sz w:val="30"/>
                          <w:szCs w:val="30"/>
                        </w:rPr>
                        <w:t>7</w:t>
                      </w:r>
                      <w:r>
                        <w:rPr>
                          <w:rFonts w:ascii="仿宋" w:hAnsi="仿宋" w:eastAsia="仿宋" w:cs="仿宋"/>
                          <w:sz w:val="30"/>
                          <w:szCs w:val="30"/>
                        </w:rPr>
                        <w:t>.</w:t>
                      </w:r>
                      <w:r>
                        <w:rPr>
                          <w:rFonts w:hint="eastAsia" w:ascii="仿宋" w:hAnsi="仿宋" w:eastAsia="仿宋" w:cs="仿宋"/>
                          <w:sz w:val="30"/>
                          <w:szCs w:val="30"/>
                        </w:rPr>
                        <w:t>编制单位终止的</w:t>
                      </w:r>
                    </w:p>
                    <w:p>
                      <w:pPr>
                        <w:autoSpaceDE/>
                        <w:adjustRightInd w:val="0"/>
                        <w:spacing w:line="348" w:lineRule="auto"/>
                        <w:ind w:firstLine="0"/>
                        <w:rPr>
                          <w:rFonts w:ascii="仿宋" w:hAnsi="仿宋" w:eastAsia="仿宋"/>
                          <w:sz w:val="30"/>
                          <w:szCs w:val="30"/>
                        </w:rPr>
                      </w:pPr>
                      <w:r>
                        <w:rPr>
                          <w:rFonts w:hint="eastAsia" w:ascii="仿宋" w:hAnsi="仿宋" w:eastAsia="仿宋" w:cs="仿宋"/>
                          <w:sz w:val="30"/>
                          <w:szCs w:val="30"/>
                        </w:rPr>
                        <w:t>8.补正基本情况信息</w:t>
                      </w:r>
                    </w:p>
                  </w:txbxContent>
                </v:textbox>
                <w10:wrap type="square"/>
              </v:shape>
            </w:pict>
          </mc:Fallback>
        </mc:AlternateContent>
      </w:r>
      <w:r>
        <w:rPr>
          <w:rFonts w:hint="default" w:ascii="Times New Roman" w:hAnsi="Times New Roman" w:eastAsia="仿宋_GB2312" w:cs="Times New Roman"/>
          <w:sz w:val="30"/>
          <w:szCs w:val="30"/>
        </w:rPr>
        <w:t>本人</w:t>
      </w:r>
      <w:r>
        <w:rPr>
          <w:rFonts w:hint="eastAsia" w:ascii="Times New Roman" w:hAnsi="Times New Roman" w:eastAsia="仿宋_GB2312" w:cs="Times New Roman"/>
          <w:sz w:val="30"/>
          <w:szCs w:val="30"/>
          <w:u w:val="single"/>
          <w:lang w:eastAsia="zh-CN"/>
        </w:rPr>
        <w:t>吕斌</w:t>
      </w:r>
      <w:bookmarkStart w:id="341" w:name="_GoBack"/>
      <w:bookmarkEnd w:id="341"/>
      <w:r>
        <w:rPr>
          <w:rFonts w:hint="default" w:ascii="Times New Roman" w:hAnsi="Times New Roman" w:eastAsia="仿宋_GB2312" w:cs="Times New Roman"/>
          <w:sz w:val="30"/>
          <w:szCs w:val="30"/>
        </w:rPr>
        <w:t>郑重承诺：本人在</w:t>
      </w:r>
      <w:r>
        <w:rPr>
          <w:rFonts w:hint="default" w:ascii="Times New Roman" w:hAnsi="Times New Roman" w:eastAsia="仿宋_GB2312" w:cs="Times New Roman"/>
          <w:sz w:val="30"/>
          <w:szCs w:val="30"/>
          <w:u w:val="single"/>
        </w:rPr>
        <w:t xml:space="preserve"> 长沙博大环保科技有限公司 </w:t>
      </w:r>
      <w:r>
        <w:rPr>
          <w:rFonts w:hint="default" w:ascii="Times New Roman" w:hAnsi="Times New Roman" w:eastAsia="仿宋_GB2312" w:cs="Times New Roman"/>
          <w:sz w:val="30"/>
          <w:szCs w:val="30"/>
        </w:rPr>
        <w:t>单位（统一社会信用代码</w:t>
      </w:r>
      <w:r>
        <w:rPr>
          <w:rFonts w:hint="default" w:ascii="Times New Roman" w:hAnsi="Times New Roman" w:eastAsia="仿宋_GB2312" w:cs="Times New Roman"/>
          <w:sz w:val="30"/>
          <w:szCs w:val="30"/>
          <w:u w:val="single"/>
        </w:rPr>
        <w:t xml:space="preserve">   91430111344823182Y </w:t>
      </w:r>
      <w:r>
        <w:rPr>
          <w:rFonts w:hint="default" w:ascii="Times New Roman" w:hAnsi="Times New Roman" w:eastAsia="仿宋_GB2312" w:cs="Times New Roman"/>
          <w:sz w:val="30"/>
          <w:szCs w:val="30"/>
        </w:rPr>
        <w:t>）全职工作，本次在环境影响评价信用平台提交的下列第</w:t>
      </w:r>
      <w:r>
        <w:rPr>
          <w:rFonts w:hint="default" w:ascii="Times New Roman" w:hAnsi="Times New Roman" w:eastAsia="仿宋_GB2312" w:cs="Times New Roman"/>
          <w:sz w:val="30"/>
          <w:szCs w:val="30"/>
          <w:u w:val="single"/>
        </w:rPr>
        <w:t xml:space="preserve"> </w:t>
      </w:r>
      <w:r>
        <w:rPr>
          <w:rFonts w:hint="eastAsia" w:ascii="Times New Roman" w:hAnsi="Times New Roman" w:eastAsia="仿宋_GB2312" w:cs="Times New Roman"/>
          <w:sz w:val="30"/>
          <w:szCs w:val="30"/>
          <w:u w:val="single"/>
          <w:lang w:val="en-US" w:eastAsia="zh-CN"/>
        </w:rPr>
        <w:t>2</w:t>
      </w:r>
      <w:r>
        <w:rPr>
          <w:rFonts w:hint="default" w:ascii="Times New Roman" w:hAnsi="Times New Roman" w:eastAsia="仿宋_GB2312" w:cs="Times New Roman"/>
          <w:sz w:val="30"/>
          <w:szCs w:val="30"/>
          <w:u w:val="single"/>
        </w:rPr>
        <w:t xml:space="preserve"> </w:t>
      </w:r>
      <w:r>
        <w:rPr>
          <w:rFonts w:hint="default" w:ascii="Times New Roman" w:hAnsi="Times New Roman" w:eastAsia="仿宋_GB2312" w:cs="Times New Roman"/>
          <w:sz w:val="30"/>
          <w:szCs w:val="30"/>
        </w:rPr>
        <w:t>项相关情况信息真实准确、完整有效。</w:t>
      </w:r>
    </w:p>
    <w:p>
      <w:pPr>
        <w:adjustRightInd w:val="0"/>
        <w:spacing w:line="600" w:lineRule="exact"/>
        <w:rPr>
          <w:rFonts w:hint="default" w:ascii="Times New Roman" w:hAnsi="Times New Roman" w:eastAsia="仿宋" w:cs="Times New Roman"/>
        </w:rPr>
      </w:pPr>
    </w:p>
    <w:p>
      <w:pPr>
        <w:adjustRightInd w:val="0"/>
        <w:spacing w:line="360" w:lineRule="auto"/>
        <w:ind w:firstLine="0"/>
        <w:rPr>
          <w:rFonts w:hint="default" w:ascii="Times New Roman" w:hAnsi="Times New Roman" w:eastAsia="仿宋" w:cs="Times New Roman"/>
          <w:sz w:val="30"/>
          <w:szCs w:val="30"/>
        </w:rPr>
      </w:pPr>
      <w:r>
        <w:rPr>
          <w:rFonts w:hint="default" w:ascii="Times New Roman" w:hAnsi="Times New Roman" w:eastAsia="仿宋" w:cs="Times New Roman"/>
          <w:sz w:val="30"/>
          <w:szCs w:val="30"/>
        </w:rPr>
        <w:t xml:space="preserve">                              承诺人(签字)：                           </w:t>
      </w:r>
    </w:p>
    <w:p>
      <w:pPr>
        <w:adjustRightInd w:val="0"/>
        <w:spacing w:line="240" w:lineRule="auto"/>
        <w:ind w:firstLine="0"/>
        <w:jc w:val="left"/>
        <w:rPr>
          <w:rFonts w:hint="default" w:ascii="Times New Roman" w:hAnsi="Times New Roman" w:eastAsia="仿宋_GB2312" w:cs="Times New Roman"/>
          <w:sz w:val="30"/>
          <w:szCs w:val="30"/>
        </w:rPr>
      </w:pPr>
      <w:r>
        <w:rPr>
          <w:rFonts w:hint="default" w:ascii="Times New Roman" w:hAnsi="Times New Roman" w:eastAsia="仿宋" w:cs="Times New Roman"/>
          <w:sz w:val="30"/>
          <w:szCs w:val="30"/>
        </w:rPr>
        <w:t xml:space="preserve">                                  年     月    日</w:t>
      </w:r>
    </w:p>
    <w:p>
      <w:pPr>
        <w:pStyle w:val="16"/>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jc w:val="center"/>
        <w:rPr>
          <w:rFonts w:hint="eastAsia"/>
          <w:lang w:eastAsia="zh-CN"/>
        </w:rPr>
        <w:sectPr>
          <w:pgSz w:w="11906" w:h="16838"/>
          <w:pgMar w:top="720" w:right="720" w:bottom="720" w:left="72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lang w:eastAsia="zh-CN"/>
        </w:rPr>
        <w:drawing>
          <wp:inline distT="0" distB="0" distL="114300" distR="114300">
            <wp:extent cx="5860415" cy="8289925"/>
            <wp:effectExtent l="0" t="0" r="6985" b="15875"/>
            <wp:docPr id="24" name="图片 24" descr="承诺书"/>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承诺书"/>
                    <pic:cNvPicPr>
                      <a:picLocks noChangeAspect="true"/>
                    </pic:cNvPicPr>
                  </pic:nvPicPr>
                  <pic:blipFill>
                    <a:blip r:embed="rId27"/>
                    <a:stretch>
                      <a:fillRect/>
                    </a:stretch>
                  </pic:blipFill>
                  <pic:spPr>
                    <a:xfrm>
                      <a:off x="0" y="0"/>
                      <a:ext cx="5860415" cy="8289925"/>
                    </a:xfrm>
                    <a:prstGeom prst="rect">
                      <a:avLst/>
                    </a:prstGeom>
                  </pic:spPr>
                </pic:pic>
              </a:graphicData>
            </a:graphic>
          </wp:inline>
        </w:drawing>
      </w:r>
    </w:p>
    <w:p>
      <w:pPr>
        <w:pStyle w:val="12"/>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eastAsiaTheme="minorEastAsia"/>
          <w:lang w:eastAsia="zh-CN"/>
        </w:rPr>
        <w:sectPr>
          <w:pgSz w:w="11910" w:h="16840"/>
          <w:pgMar w:top="1580" w:right="1320" w:bottom="1240" w:left="1340" w:header="720" w:footer="1043" w:gutter="0"/>
          <w:pgBorders>
            <w:top w:val="none" w:sz="0" w:space="0"/>
            <w:left w:val="none" w:sz="0" w:space="0"/>
            <w:bottom w:val="none" w:sz="0" w:space="0"/>
            <w:right w:val="none" w:sz="0" w:space="0"/>
          </w:pgBorders>
          <w:pgNumType w:start="3"/>
          <w:cols w:space="720" w:num="1"/>
        </w:sectPr>
      </w:pPr>
      <w:r>
        <w:rPr>
          <w:rFonts w:hint="eastAsia" w:eastAsiaTheme="minorEastAsia"/>
          <w:lang w:eastAsia="zh-CN"/>
        </w:rPr>
        <w:drawing>
          <wp:inline distT="0" distB="0" distL="114300" distR="114300">
            <wp:extent cx="5866765" cy="8368030"/>
            <wp:effectExtent l="0" t="0" r="635" b="13970"/>
            <wp:docPr id="22" name="图片 22" descr="营业执照（原件）"/>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2" descr="营业执照（原件）"/>
                    <pic:cNvPicPr>
                      <a:picLocks noChangeAspect="true"/>
                    </pic:cNvPicPr>
                  </pic:nvPicPr>
                  <pic:blipFill>
                    <a:blip r:embed="rId28"/>
                    <a:stretch>
                      <a:fillRect/>
                    </a:stretch>
                  </pic:blipFill>
                  <pic:spPr>
                    <a:xfrm>
                      <a:off x="0" y="0"/>
                      <a:ext cx="5866765" cy="836803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lang w:eastAsia="zh-CN"/>
        </w:rPr>
        <w:sectPr>
          <w:pgSz w:w="16838" w:h="11906" w:orient="landscape"/>
          <w:pgMar w:top="720" w:right="720" w:bottom="720" w:left="72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lang w:eastAsia="zh-CN"/>
        </w:rPr>
        <w:drawing>
          <wp:inline distT="0" distB="0" distL="114300" distR="114300">
            <wp:extent cx="7994015" cy="5812155"/>
            <wp:effectExtent l="0" t="0" r="6985" b="17145"/>
            <wp:docPr id="23" name="图片 23" descr="吕斌工程师证"/>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吕斌工程师证"/>
                    <pic:cNvPicPr>
                      <a:picLocks noChangeAspect="true"/>
                    </pic:cNvPicPr>
                  </pic:nvPicPr>
                  <pic:blipFill>
                    <a:blip r:embed="rId29"/>
                    <a:stretch>
                      <a:fillRect/>
                    </a:stretch>
                  </pic:blipFill>
                  <pic:spPr>
                    <a:xfrm>
                      <a:off x="0" y="0"/>
                      <a:ext cx="7994015" cy="5812155"/>
                    </a:xfrm>
                    <a:prstGeom prst="rect">
                      <a:avLst/>
                    </a:prstGeom>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ind w:firstLine="0"/>
        <w:textAlignment w:val="auto"/>
        <w:rPr>
          <w:rFonts w:hint="eastAsia"/>
          <w:lang w:eastAsia="zh-CN"/>
        </w:rPr>
        <w:sectPr>
          <w:pgSz w:w="11850" w:h="16790"/>
          <w:pgMar w:top="720" w:right="720" w:bottom="720" w:left="720" w:header="720" w:footer="720" w:gutter="0"/>
          <w:pgBorders>
            <w:top w:val="none" w:sz="0" w:space="0"/>
            <w:left w:val="none" w:sz="0" w:space="0"/>
            <w:bottom w:val="none" w:sz="0" w:space="0"/>
            <w:right w:val="none" w:sz="0" w:space="0"/>
          </w:pgBorders>
          <w:pgNumType w:fmt="upperRoman" w:start="1"/>
          <w:cols w:space="720" w:num="1"/>
          <w:docGrid w:linePitch="326" w:charSpace="0"/>
        </w:sectPr>
      </w:pPr>
      <w:r>
        <w:rPr>
          <w:rFonts w:hint="eastAsia"/>
          <w:lang w:eastAsia="zh-CN"/>
        </w:rPr>
        <w:drawing>
          <wp:inline distT="0" distB="0" distL="114300" distR="114300">
            <wp:extent cx="6376035" cy="9215120"/>
            <wp:effectExtent l="0" t="0" r="5715" b="5080"/>
            <wp:docPr id="25" name="图片 25" descr="吕斌社保证明"/>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吕斌社保证明"/>
                    <pic:cNvPicPr>
                      <a:picLocks noChangeAspect="true"/>
                    </pic:cNvPicPr>
                  </pic:nvPicPr>
                  <pic:blipFill>
                    <a:blip r:embed="rId30"/>
                    <a:stretch>
                      <a:fillRect/>
                    </a:stretch>
                  </pic:blipFill>
                  <pic:spPr>
                    <a:xfrm>
                      <a:off x="0" y="0"/>
                      <a:ext cx="6376035" cy="9215120"/>
                    </a:xfrm>
                    <a:prstGeom prst="rect">
                      <a:avLst/>
                    </a:prstGeom>
                  </pic:spPr>
                </pic:pic>
              </a:graphicData>
            </a:graphic>
          </wp:inline>
        </w:drawing>
      </w:r>
    </w:p>
    <w:p>
      <w:pPr>
        <w:ind w:firstLine="562"/>
        <w:jc w:val="center"/>
        <w:rPr>
          <w:rFonts w:hint="eastAsia"/>
          <w:b/>
          <w:color w:val="000000"/>
          <w:kern w:val="0"/>
          <w:sz w:val="28"/>
          <w:szCs w:val="28"/>
        </w:rPr>
      </w:pPr>
      <w:r>
        <w:rPr>
          <w:rFonts w:hint="eastAsia"/>
          <w:b/>
          <w:color w:val="000000"/>
          <w:kern w:val="0"/>
          <w:sz w:val="28"/>
          <w:szCs w:val="28"/>
        </w:rPr>
        <w:t>目 录</w:t>
      </w:r>
    </w:p>
    <w:p>
      <w:pPr>
        <w:pStyle w:val="27"/>
        <w:tabs>
          <w:tab w:val="right" w:leader="dot" w:pos="8406"/>
        </w:tabs>
      </w:pPr>
      <w:bookmarkStart w:id="0" w:name="_Toc489349329"/>
      <w:bookmarkStart w:id="1" w:name="_Toc489349946"/>
      <w:bookmarkStart w:id="2" w:name="_Toc489350097"/>
      <w:r>
        <w:rPr>
          <w:b w:val="0"/>
          <w:color w:val="000000"/>
        </w:rPr>
        <w:fldChar w:fldCharType="begin"/>
      </w:r>
      <w:r>
        <w:rPr>
          <w:b w:val="0"/>
          <w:color w:val="000000"/>
        </w:rPr>
        <w:instrText xml:space="preserve"> TOC \o "1-1" \h \z \u \t "2,2" </w:instrText>
      </w:r>
      <w:r>
        <w:rPr>
          <w:b w:val="0"/>
          <w:color w:val="000000"/>
        </w:rPr>
        <w:fldChar w:fldCharType="separate"/>
      </w:r>
      <w:r>
        <w:rPr>
          <w:color w:val="000000"/>
        </w:rPr>
        <w:fldChar w:fldCharType="begin"/>
      </w:r>
      <w:r>
        <w:instrText xml:space="preserve"> HYPERLINK \l _Toc2779 </w:instrText>
      </w:r>
      <w:r>
        <w:fldChar w:fldCharType="separate"/>
      </w:r>
      <w:r>
        <w:rPr>
          <w:rFonts w:hint="eastAsia"/>
          <w:kern w:val="0"/>
        </w:rPr>
        <w:t>概述</w:t>
      </w:r>
      <w:r>
        <w:tab/>
      </w:r>
      <w:r>
        <w:fldChar w:fldCharType="begin"/>
      </w:r>
      <w:r>
        <w:instrText xml:space="preserve"> PAGEREF _Toc2779 \h </w:instrText>
      </w:r>
      <w:r>
        <w:fldChar w:fldCharType="separate"/>
      </w:r>
      <w:r>
        <w:t>1</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_Toc14714 </w:instrText>
      </w:r>
      <w:r>
        <w:fldChar w:fldCharType="separate"/>
      </w:r>
      <w:r>
        <w:rPr>
          <w:rFonts w:hint="eastAsia"/>
          <w:kern w:val="0"/>
          <w:lang w:eastAsia="zh-CN"/>
        </w:rPr>
        <w:t>1、 项目由来</w:t>
      </w:r>
      <w:r>
        <w:tab/>
      </w:r>
      <w:r>
        <w:fldChar w:fldCharType="begin"/>
      </w:r>
      <w:r>
        <w:instrText xml:space="preserve"> PAGEREF _Toc14714 \h </w:instrText>
      </w:r>
      <w:r>
        <w:fldChar w:fldCharType="separate"/>
      </w:r>
      <w:r>
        <w:t>1</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_Toc12486 </w:instrText>
      </w:r>
      <w:r>
        <w:fldChar w:fldCharType="separate"/>
      </w:r>
      <w:r>
        <w:rPr>
          <w:rFonts w:hint="eastAsia"/>
          <w:kern w:val="0"/>
        </w:rPr>
        <w:t>2、</w:t>
      </w:r>
      <w:r>
        <w:rPr>
          <w:rFonts w:hint="eastAsia"/>
          <w:kern w:val="0"/>
          <w:lang w:eastAsia="zh-CN"/>
        </w:rPr>
        <w:t>建设项目特点</w:t>
      </w:r>
      <w:r>
        <w:tab/>
      </w:r>
      <w:r>
        <w:fldChar w:fldCharType="begin"/>
      </w:r>
      <w:r>
        <w:instrText xml:space="preserve"> PAGEREF _Toc12486 \h </w:instrText>
      </w:r>
      <w:r>
        <w:fldChar w:fldCharType="separate"/>
      </w:r>
      <w:r>
        <w:t>3</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_Toc14935 </w:instrText>
      </w:r>
      <w:r>
        <w:fldChar w:fldCharType="separate"/>
      </w:r>
      <w:r>
        <w:rPr>
          <w:rFonts w:hint="eastAsia"/>
          <w:kern w:val="0"/>
        </w:rPr>
        <w:t>3、</w:t>
      </w:r>
      <w:r>
        <w:rPr>
          <w:rFonts w:hint="eastAsia"/>
          <w:kern w:val="0"/>
          <w:lang w:eastAsia="zh-CN"/>
        </w:rPr>
        <w:t>环境影响评价过程</w:t>
      </w:r>
      <w:r>
        <w:tab/>
      </w:r>
      <w:r>
        <w:fldChar w:fldCharType="begin"/>
      </w:r>
      <w:r>
        <w:instrText xml:space="preserve"> PAGEREF _Toc14935 \h </w:instrText>
      </w:r>
      <w:r>
        <w:fldChar w:fldCharType="separate"/>
      </w:r>
      <w:r>
        <w:t>3</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_Toc9336 </w:instrText>
      </w:r>
      <w:r>
        <w:fldChar w:fldCharType="separate"/>
      </w:r>
      <w:r>
        <w:rPr>
          <w:rFonts w:hint="eastAsia" w:ascii="Times New Roman" w:hAnsi="Times New Roman" w:eastAsia="宋体" w:cs="Times New Roman"/>
          <w:kern w:val="0"/>
          <w:lang w:val="en-US" w:eastAsia="zh-CN"/>
        </w:rPr>
        <w:t>4、</w:t>
      </w:r>
      <w:r>
        <w:rPr>
          <w:rFonts w:hint="eastAsia" w:ascii="Times New Roman" w:hAnsi="Times New Roman" w:eastAsia="宋体" w:cs="Times New Roman"/>
          <w:kern w:val="0"/>
        </w:rPr>
        <w:t>分析判定相关情况</w:t>
      </w:r>
      <w:r>
        <w:tab/>
      </w:r>
      <w:r>
        <w:fldChar w:fldCharType="begin"/>
      </w:r>
      <w:r>
        <w:instrText xml:space="preserve"> PAGEREF _Toc9336 \h </w:instrText>
      </w:r>
      <w:r>
        <w:fldChar w:fldCharType="separate"/>
      </w:r>
      <w:r>
        <w:t>4</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_Toc4614 </w:instrText>
      </w:r>
      <w:r>
        <w:fldChar w:fldCharType="separate"/>
      </w:r>
      <w:r>
        <w:rPr>
          <w:rFonts w:hint="eastAsia"/>
          <w:kern w:val="0"/>
          <w:lang w:val="en-US" w:eastAsia="zh-CN"/>
        </w:rPr>
        <w:t>5</w:t>
      </w:r>
      <w:r>
        <w:rPr>
          <w:rFonts w:hint="eastAsia"/>
          <w:kern w:val="0"/>
        </w:rPr>
        <w:t>、关注的主要环境问题及环境影响</w:t>
      </w:r>
      <w:r>
        <w:tab/>
      </w:r>
      <w:r>
        <w:fldChar w:fldCharType="begin"/>
      </w:r>
      <w:r>
        <w:instrText xml:space="preserve"> PAGEREF _Toc4614 \h </w:instrText>
      </w:r>
      <w:r>
        <w:fldChar w:fldCharType="separate"/>
      </w:r>
      <w:r>
        <w:t>33</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_Toc17467 </w:instrText>
      </w:r>
      <w:r>
        <w:fldChar w:fldCharType="separate"/>
      </w:r>
      <w:r>
        <w:rPr>
          <w:rFonts w:hint="eastAsia"/>
          <w:kern w:val="0"/>
          <w:lang w:val="en-US" w:eastAsia="zh-CN"/>
        </w:rPr>
        <w:t>6</w:t>
      </w:r>
      <w:r>
        <w:rPr>
          <w:rFonts w:hint="eastAsia"/>
          <w:kern w:val="0"/>
        </w:rPr>
        <w:t>、环境影响评价的主要结论</w:t>
      </w:r>
      <w:r>
        <w:tab/>
      </w:r>
      <w:r>
        <w:fldChar w:fldCharType="begin"/>
      </w:r>
      <w:r>
        <w:instrText xml:space="preserve"> PAGEREF _Toc17467 \h </w:instrText>
      </w:r>
      <w:r>
        <w:fldChar w:fldCharType="separate"/>
      </w:r>
      <w:r>
        <w:t>33</w:t>
      </w:r>
      <w:r>
        <w:fldChar w:fldCharType="end"/>
      </w:r>
      <w:r>
        <w:rPr>
          <w:color w:val="000000"/>
        </w:rPr>
        <w:fldChar w:fldCharType="end"/>
      </w:r>
    </w:p>
    <w:p>
      <w:pPr>
        <w:pStyle w:val="27"/>
        <w:tabs>
          <w:tab w:val="right" w:leader="dot" w:pos="8406"/>
        </w:tabs>
      </w:pPr>
      <w:r>
        <w:rPr>
          <w:color w:val="000000"/>
        </w:rPr>
        <w:fldChar w:fldCharType="begin"/>
      </w:r>
      <w:r>
        <w:instrText xml:space="preserve"> HYPERLINK \l _Toc235 </w:instrText>
      </w:r>
      <w:r>
        <w:fldChar w:fldCharType="separate"/>
      </w:r>
      <w:r>
        <w:rPr>
          <w:rFonts w:hint="eastAsia" w:ascii="Times New Roman" w:hAnsi="Times New Roman" w:eastAsia="宋体" w:cs="Times New Roman"/>
          <w:kern w:val="0"/>
        </w:rPr>
        <w:t>第1章  总则</w:t>
      </w:r>
      <w:r>
        <w:tab/>
      </w:r>
      <w:r>
        <w:fldChar w:fldCharType="begin"/>
      </w:r>
      <w:r>
        <w:instrText xml:space="preserve"> PAGEREF _Toc235 \h </w:instrText>
      </w:r>
      <w:r>
        <w:fldChar w:fldCharType="separate"/>
      </w:r>
      <w:r>
        <w:t>35</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_Toc17693 </w:instrText>
      </w:r>
      <w:r>
        <w:fldChar w:fldCharType="separate"/>
      </w:r>
      <w:r>
        <w:rPr>
          <w:rFonts w:hint="eastAsia"/>
          <w:kern w:val="0"/>
        </w:rPr>
        <w:t>1.1编制依据</w:t>
      </w:r>
      <w:r>
        <w:tab/>
      </w:r>
      <w:r>
        <w:fldChar w:fldCharType="begin"/>
      </w:r>
      <w:r>
        <w:instrText xml:space="preserve"> PAGEREF _Toc17693 \h </w:instrText>
      </w:r>
      <w:r>
        <w:fldChar w:fldCharType="separate"/>
      </w:r>
      <w:r>
        <w:t>35</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_Toc27953 </w:instrText>
      </w:r>
      <w:r>
        <w:fldChar w:fldCharType="separate"/>
      </w:r>
      <w:r>
        <w:rPr>
          <w:kern w:val="0"/>
        </w:rPr>
        <w:t>1.2评价目的及评价原则</w:t>
      </w:r>
      <w:r>
        <w:tab/>
      </w:r>
      <w:r>
        <w:fldChar w:fldCharType="begin"/>
      </w:r>
      <w:r>
        <w:instrText xml:space="preserve"> PAGEREF _Toc27953 \h </w:instrText>
      </w:r>
      <w:r>
        <w:fldChar w:fldCharType="separate"/>
      </w:r>
      <w:r>
        <w:t>39</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_Toc11432 </w:instrText>
      </w:r>
      <w:r>
        <w:fldChar w:fldCharType="separate"/>
      </w:r>
      <w:r>
        <w:rPr>
          <w:rFonts w:hint="eastAsia"/>
        </w:rPr>
        <w:t>1.3总体构思</w:t>
      </w:r>
      <w:r>
        <w:tab/>
      </w:r>
      <w:r>
        <w:fldChar w:fldCharType="begin"/>
      </w:r>
      <w:r>
        <w:instrText xml:space="preserve"> PAGEREF _Toc11432 \h </w:instrText>
      </w:r>
      <w:r>
        <w:fldChar w:fldCharType="separate"/>
      </w:r>
      <w:r>
        <w:t>40</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_Toc17946 </w:instrText>
      </w:r>
      <w:r>
        <w:fldChar w:fldCharType="separate"/>
      </w:r>
      <w:r>
        <w:rPr>
          <w:rFonts w:hint="eastAsia"/>
          <w:kern w:val="0"/>
        </w:rPr>
        <w:t>1.4 环境影响识别</w:t>
      </w:r>
      <w:r>
        <w:tab/>
      </w:r>
      <w:r>
        <w:fldChar w:fldCharType="begin"/>
      </w:r>
      <w:r>
        <w:instrText xml:space="preserve"> PAGEREF _Toc17946 \h </w:instrText>
      </w:r>
      <w:r>
        <w:fldChar w:fldCharType="separate"/>
      </w:r>
      <w:r>
        <w:t>40</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_Toc13680 </w:instrText>
      </w:r>
      <w:r>
        <w:fldChar w:fldCharType="separate"/>
      </w:r>
      <w:r>
        <w:rPr>
          <w:kern w:val="0"/>
        </w:rPr>
        <w:t>1.</w:t>
      </w:r>
      <w:r>
        <w:rPr>
          <w:rFonts w:hint="eastAsia"/>
          <w:kern w:val="0"/>
        </w:rPr>
        <w:t>5 评价因子</w:t>
      </w:r>
      <w:r>
        <w:tab/>
      </w:r>
      <w:r>
        <w:fldChar w:fldCharType="begin"/>
      </w:r>
      <w:r>
        <w:instrText xml:space="preserve"> PAGEREF _Toc13680 \h </w:instrText>
      </w:r>
      <w:r>
        <w:fldChar w:fldCharType="separate"/>
      </w:r>
      <w:r>
        <w:t>41</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_Toc10975 </w:instrText>
      </w:r>
      <w:r>
        <w:fldChar w:fldCharType="separate"/>
      </w:r>
      <w:r>
        <w:rPr>
          <w:rFonts w:hint="eastAsia"/>
          <w:kern w:val="0"/>
        </w:rPr>
        <w:t>1.6 评价标准</w:t>
      </w:r>
      <w:r>
        <w:tab/>
      </w:r>
      <w:r>
        <w:fldChar w:fldCharType="begin"/>
      </w:r>
      <w:r>
        <w:instrText xml:space="preserve"> PAGEREF _Toc10975 \h </w:instrText>
      </w:r>
      <w:r>
        <w:fldChar w:fldCharType="separate"/>
      </w:r>
      <w:r>
        <w:t>41</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_Toc23795 </w:instrText>
      </w:r>
      <w:r>
        <w:fldChar w:fldCharType="separate"/>
      </w:r>
      <w:r>
        <w:rPr>
          <w:rFonts w:hint="eastAsia"/>
          <w:kern w:val="0"/>
        </w:rPr>
        <w:t>1.7 评价等级及评价范围</w:t>
      </w:r>
      <w:r>
        <w:tab/>
      </w:r>
      <w:r>
        <w:fldChar w:fldCharType="begin"/>
      </w:r>
      <w:r>
        <w:instrText xml:space="preserve"> PAGEREF _Toc23795 \h </w:instrText>
      </w:r>
      <w:r>
        <w:fldChar w:fldCharType="separate"/>
      </w:r>
      <w:r>
        <w:t>47</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_Toc14722 </w:instrText>
      </w:r>
      <w:r>
        <w:fldChar w:fldCharType="separate"/>
      </w:r>
      <w:r>
        <w:rPr>
          <w:rFonts w:hint="eastAsia"/>
        </w:rPr>
        <w:t>1.8 评价内容、重点及时段</w:t>
      </w:r>
      <w:r>
        <w:tab/>
      </w:r>
      <w:r>
        <w:fldChar w:fldCharType="begin"/>
      </w:r>
      <w:r>
        <w:instrText xml:space="preserve"> PAGEREF _Toc14722 \h </w:instrText>
      </w:r>
      <w:r>
        <w:fldChar w:fldCharType="separate"/>
      </w:r>
      <w:r>
        <w:t>53</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_Toc3491 </w:instrText>
      </w:r>
      <w:r>
        <w:fldChar w:fldCharType="separate"/>
      </w:r>
      <w:r>
        <w:rPr>
          <w:rFonts w:hint="eastAsia"/>
        </w:rPr>
        <w:t>1.9 环境功能区划分</w:t>
      </w:r>
      <w:r>
        <w:tab/>
      </w:r>
      <w:r>
        <w:fldChar w:fldCharType="begin"/>
      </w:r>
      <w:r>
        <w:instrText xml:space="preserve"> PAGEREF _Toc3491 \h </w:instrText>
      </w:r>
      <w:r>
        <w:fldChar w:fldCharType="separate"/>
      </w:r>
      <w:r>
        <w:t>53</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_Toc19778 </w:instrText>
      </w:r>
      <w:r>
        <w:fldChar w:fldCharType="separate"/>
      </w:r>
      <w:r>
        <w:rPr>
          <w:rFonts w:hint="eastAsia"/>
        </w:rPr>
        <w:t>1.10 污染控制及环境保护目标</w:t>
      </w:r>
      <w:r>
        <w:tab/>
      </w:r>
      <w:r>
        <w:fldChar w:fldCharType="begin"/>
      </w:r>
      <w:r>
        <w:instrText xml:space="preserve"> PAGEREF _Toc19778 \h </w:instrText>
      </w:r>
      <w:r>
        <w:fldChar w:fldCharType="separate"/>
      </w:r>
      <w:r>
        <w:t>55</w:t>
      </w:r>
      <w:r>
        <w:fldChar w:fldCharType="end"/>
      </w:r>
      <w:r>
        <w:rPr>
          <w:color w:val="000000"/>
        </w:rPr>
        <w:fldChar w:fldCharType="end"/>
      </w:r>
    </w:p>
    <w:p>
      <w:pPr>
        <w:pStyle w:val="27"/>
        <w:tabs>
          <w:tab w:val="right" w:leader="dot" w:pos="8406"/>
        </w:tabs>
      </w:pPr>
      <w:r>
        <w:rPr>
          <w:color w:val="000000"/>
        </w:rPr>
        <w:fldChar w:fldCharType="begin"/>
      </w:r>
      <w:r>
        <w:instrText xml:space="preserve"> HYPERLINK \l _Toc11794 </w:instrText>
      </w:r>
      <w:r>
        <w:fldChar w:fldCharType="separate"/>
      </w:r>
      <w:r>
        <w:rPr>
          <w:rFonts w:hint="eastAsia"/>
          <w:kern w:val="0"/>
        </w:rPr>
        <w:t>第</w:t>
      </w:r>
      <w:r>
        <w:rPr>
          <w:kern w:val="0"/>
        </w:rPr>
        <w:t>2</w:t>
      </w:r>
      <w:r>
        <w:rPr>
          <w:rFonts w:hint="eastAsia"/>
          <w:kern w:val="0"/>
        </w:rPr>
        <w:t>章  项目工程分析</w:t>
      </w:r>
      <w:r>
        <w:tab/>
      </w:r>
      <w:r>
        <w:fldChar w:fldCharType="begin"/>
      </w:r>
      <w:r>
        <w:instrText xml:space="preserve"> PAGEREF _Toc11794 \h </w:instrText>
      </w:r>
      <w:r>
        <w:fldChar w:fldCharType="separate"/>
      </w:r>
      <w:r>
        <w:t>58</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_Toc29067 </w:instrText>
      </w:r>
      <w:r>
        <w:fldChar w:fldCharType="separate"/>
      </w:r>
      <w:r>
        <w:rPr>
          <w:kern w:val="0"/>
        </w:rPr>
        <w:t>2</w:t>
      </w:r>
      <w:r>
        <w:rPr>
          <w:rFonts w:hint="eastAsia"/>
          <w:kern w:val="0"/>
        </w:rPr>
        <w:t>.</w:t>
      </w:r>
      <w:r>
        <w:rPr>
          <w:kern w:val="0"/>
        </w:rPr>
        <w:t>1</w:t>
      </w:r>
      <w:r>
        <w:rPr>
          <w:rFonts w:hint="eastAsia"/>
          <w:kern w:val="0"/>
        </w:rPr>
        <w:t>项目概况</w:t>
      </w:r>
      <w:r>
        <w:tab/>
      </w:r>
      <w:r>
        <w:fldChar w:fldCharType="begin"/>
      </w:r>
      <w:r>
        <w:instrText xml:space="preserve"> PAGEREF _Toc29067 \h </w:instrText>
      </w:r>
      <w:r>
        <w:fldChar w:fldCharType="separate"/>
      </w:r>
      <w:r>
        <w:t>58</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_Toc26256 </w:instrText>
      </w:r>
      <w:r>
        <w:fldChar w:fldCharType="separate"/>
      </w:r>
      <w:r>
        <w:rPr>
          <w:kern w:val="0"/>
        </w:rPr>
        <w:t>2</w:t>
      </w:r>
      <w:r>
        <w:rPr>
          <w:rFonts w:hint="eastAsia"/>
          <w:kern w:val="0"/>
        </w:rPr>
        <w:t>.</w:t>
      </w:r>
      <w:r>
        <w:rPr>
          <w:kern w:val="0"/>
        </w:rPr>
        <w:t>2</w:t>
      </w:r>
      <w:r>
        <w:rPr>
          <w:rFonts w:hint="eastAsia"/>
          <w:kern w:val="0"/>
        </w:rPr>
        <w:t>公用及辅助工程</w:t>
      </w:r>
      <w:r>
        <w:tab/>
      </w:r>
      <w:r>
        <w:fldChar w:fldCharType="begin"/>
      </w:r>
      <w:r>
        <w:instrText xml:space="preserve"> PAGEREF _Toc26256 \h </w:instrText>
      </w:r>
      <w:r>
        <w:fldChar w:fldCharType="separate"/>
      </w:r>
      <w:r>
        <w:t>66</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_Toc13728 </w:instrText>
      </w:r>
      <w:r>
        <w:fldChar w:fldCharType="separate"/>
      </w:r>
      <w:r>
        <w:rPr>
          <w:rFonts w:hint="eastAsia" w:ascii="Times New Roman" w:hAnsi="Times New Roman"/>
          <w:kern w:val="0"/>
          <w:lang w:val="en-US" w:eastAsia="zh-CN"/>
        </w:rPr>
        <w:t>2.2.9</w:t>
      </w:r>
      <w:r>
        <w:rPr>
          <w:rFonts w:hint="eastAsia" w:ascii="Times New Roman" w:hAnsi="Times New Roman"/>
          <w:kern w:val="0"/>
          <w:lang w:eastAsia="zh-CN"/>
        </w:rPr>
        <w:t>已建成工程存在的环境问题及整改措施</w:t>
      </w:r>
      <w:r>
        <w:tab/>
      </w:r>
      <w:r>
        <w:fldChar w:fldCharType="begin"/>
      </w:r>
      <w:r>
        <w:instrText xml:space="preserve"> PAGEREF _Toc13728 \h </w:instrText>
      </w:r>
      <w:r>
        <w:fldChar w:fldCharType="separate"/>
      </w:r>
      <w:r>
        <w:t>71</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_Toc14533 </w:instrText>
      </w:r>
      <w:r>
        <w:fldChar w:fldCharType="separate"/>
      </w:r>
      <w:r>
        <w:rPr>
          <w:kern w:val="0"/>
        </w:rPr>
        <w:t>2.3</w:t>
      </w:r>
      <w:r>
        <w:rPr>
          <w:rFonts w:hint="eastAsia"/>
          <w:kern w:val="0"/>
        </w:rPr>
        <w:t>工程分析</w:t>
      </w:r>
      <w:r>
        <w:tab/>
      </w:r>
      <w:r>
        <w:fldChar w:fldCharType="begin"/>
      </w:r>
      <w:r>
        <w:instrText xml:space="preserve"> PAGEREF _Toc14533 \h </w:instrText>
      </w:r>
      <w:r>
        <w:fldChar w:fldCharType="separate"/>
      </w:r>
      <w:r>
        <w:t>71</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_Toc11850 </w:instrText>
      </w:r>
      <w:r>
        <w:fldChar w:fldCharType="separate"/>
      </w:r>
      <w:r>
        <w:rPr>
          <w:kern w:val="0"/>
        </w:rPr>
        <w:t>2</w:t>
      </w:r>
      <w:r>
        <w:rPr>
          <w:rFonts w:hint="eastAsia"/>
          <w:kern w:val="0"/>
        </w:rPr>
        <w:t>.</w:t>
      </w:r>
      <w:r>
        <w:rPr>
          <w:kern w:val="0"/>
        </w:rPr>
        <w:t>4</w:t>
      </w:r>
      <w:r>
        <w:rPr>
          <w:rFonts w:hint="eastAsia"/>
          <w:kern w:val="0"/>
        </w:rPr>
        <w:t>工程污染源分析</w:t>
      </w:r>
      <w:r>
        <w:tab/>
      </w:r>
      <w:r>
        <w:fldChar w:fldCharType="begin"/>
      </w:r>
      <w:r>
        <w:instrText xml:space="preserve"> PAGEREF _Toc11850 \h </w:instrText>
      </w:r>
      <w:r>
        <w:fldChar w:fldCharType="separate"/>
      </w:r>
      <w:r>
        <w:t>78</w:t>
      </w:r>
      <w:r>
        <w:fldChar w:fldCharType="end"/>
      </w:r>
      <w:r>
        <w:rPr>
          <w:color w:val="000000"/>
        </w:rPr>
        <w:fldChar w:fldCharType="end"/>
      </w:r>
    </w:p>
    <w:p>
      <w:pPr>
        <w:pStyle w:val="27"/>
        <w:tabs>
          <w:tab w:val="right" w:leader="dot" w:pos="8406"/>
        </w:tabs>
      </w:pPr>
      <w:r>
        <w:rPr>
          <w:color w:val="000000"/>
        </w:rPr>
        <w:fldChar w:fldCharType="begin"/>
      </w:r>
      <w:r>
        <w:instrText xml:space="preserve"> HYPERLINK \l _Toc8457 </w:instrText>
      </w:r>
      <w:r>
        <w:fldChar w:fldCharType="separate"/>
      </w:r>
      <w:r>
        <w:rPr>
          <w:rFonts w:hint="eastAsia"/>
          <w:kern w:val="0"/>
        </w:rPr>
        <w:t>第</w:t>
      </w:r>
      <w:r>
        <w:rPr>
          <w:kern w:val="0"/>
        </w:rPr>
        <w:t>3</w:t>
      </w:r>
      <w:r>
        <w:rPr>
          <w:rFonts w:hint="eastAsia"/>
          <w:kern w:val="0"/>
        </w:rPr>
        <w:t>章  环境现状调查与评价</w:t>
      </w:r>
      <w:r>
        <w:tab/>
      </w:r>
      <w:r>
        <w:fldChar w:fldCharType="begin"/>
      </w:r>
      <w:r>
        <w:instrText xml:space="preserve"> PAGEREF _Toc8457 \h </w:instrText>
      </w:r>
      <w:r>
        <w:fldChar w:fldCharType="separate"/>
      </w:r>
      <w:r>
        <w:t>84</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_Toc7766 </w:instrText>
      </w:r>
      <w:r>
        <w:fldChar w:fldCharType="separate"/>
      </w:r>
      <w:r>
        <w:rPr>
          <w:kern w:val="0"/>
        </w:rPr>
        <w:t>3</w:t>
      </w:r>
      <w:r>
        <w:rPr>
          <w:rFonts w:hint="eastAsia"/>
          <w:kern w:val="0"/>
        </w:rPr>
        <w:t xml:space="preserve">.1 </w:t>
      </w:r>
      <w:r>
        <w:t>自然环境</w:t>
      </w:r>
      <w:r>
        <w:rPr>
          <w:rFonts w:hint="eastAsia"/>
        </w:rPr>
        <w:t>现状调查与评价</w:t>
      </w:r>
      <w:r>
        <w:tab/>
      </w:r>
      <w:r>
        <w:fldChar w:fldCharType="begin"/>
      </w:r>
      <w:r>
        <w:instrText xml:space="preserve"> PAGEREF _Toc7766 \h </w:instrText>
      </w:r>
      <w:r>
        <w:fldChar w:fldCharType="separate"/>
      </w:r>
      <w:r>
        <w:t>84</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_Toc30597 </w:instrText>
      </w:r>
      <w:r>
        <w:fldChar w:fldCharType="separate"/>
      </w:r>
      <w:r>
        <w:rPr>
          <w:kern w:val="0"/>
        </w:rPr>
        <w:t>3</w:t>
      </w:r>
      <w:r>
        <w:rPr>
          <w:rFonts w:hint="eastAsia"/>
          <w:kern w:val="0"/>
        </w:rPr>
        <w:t>.2 区域相关规划</w:t>
      </w:r>
      <w:r>
        <w:tab/>
      </w:r>
      <w:r>
        <w:fldChar w:fldCharType="begin"/>
      </w:r>
      <w:r>
        <w:instrText xml:space="preserve"> PAGEREF _Toc30597 \h </w:instrText>
      </w:r>
      <w:r>
        <w:fldChar w:fldCharType="separate"/>
      </w:r>
      <w:r>
        <w:t>89</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_Toc17318 </w:instrText>
      </w:r>
      <w:r>
        <w:fldChar w:fldCharType="separate"/>
      </w:r>
      <w:r>
        <w:rPr>
          <w:rFonts w:hint="eastAsia" w:ascii="Times New Roman" w:hAnsi="Times New Roman"/>
          <w:lang w:val="en-US" w:eastAsia="zh-CN"/>
        </w:rPr>
        <w:t>3.3 区域排水现状</w:t>
      </w:r>
      <w:r>
        <w:tab/>
      </w:r>
      <w:r>
        <w:fldChar w:fldCharType="begin"/>
      </w:r>
      <w:r>
        <w:instrText xml:space="preserve"> PAGEREF _Toc17318 \h </w:instrText>
      </w:r>
      <w:r>
        <w:fldChar w:fldCharType="separate"/>
      </w:r>
      <w:r>
        <w:t>93</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_Toc14185 </w:instrText>
      </w:r>
      <w:r>
        <w:fldChar w:fldCharType="separate"/>
      </w:r>
      <w:r>
        <w:rPr>
          <w:rFonts w:hint="eastAsia"/>
          <w:lang w:val="en-US" w:eastAsia="zh-CN"/>
        </w:rPr>
        <w:t xml:space="preserve">3.4 </w:t>
      </w:r>
      <w:r>
        <w:rPr>
          <w:rFonts w:hint="eastAsia"/>
        </w:rPr>
        <w:t>区域污染源调查</w:t>
      </w:r>
      <w:r>
        <w:tab/>
      </w:r>
      <w:r>
        <w:fldChar w:fldCharType="begin"/>
      </w:r>
      <w:r>
        <w:instrText xml:space="preserve"> PAGEREF _Toc14185 \h </w:instrText>
      </w:r>
      <w:r>
        <w:fldChar w:fldCharType="separate"/>
      </w:r>
      <w:r>
        <w:t>95</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_Toc30237 </w:instrText>
      </w:r>
      <w:r>
        <w:fldChar w:fldCharType="separate"/>
      </w:r>
      <w:r>
        <w:rPr>
          <w:rFonts w:hint="eastAsia" w:ascii="Times New Roman" w:hAnsi="Times New Roman"/>
          <w:lang w:val="en-US" w:eastAsia="zh-CN"/>
        </w:rPr>
        <w:t>3.5 区域风险源调查情况</w:t>
      </w:r>
      <w:r>
        <w:tab/>
      </w:r>
      <w:r>
        <w:fldChar w:fldCharType="begin"/>
      </w:r>
      <w:r>
        <w:instrText xml:space="preserve"> PAGEREF _Toc30237 \h </w:instrText>
      </w:r>
      <w:r>
        <w:fldChar w:fldCharType="separate"/>
      </w:r>
      <w:r>
        <w:t>99</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_Toc17591 </w:instrText>
      </w:r>
      <w:r>
        <w:fldChar w:fldCharType="separate"/>
      </w:r>
      <w:r>
        <w:t>3</w:t>
      </w:r>
      <w:r>
        <w:rPr>
          <w:rFonts w:hint="eastAsia"/>
        </w:rPr>
        <w:t>.</w:t>
      </w:r>
      <w:r>
        <w:rPr>
          <w:rFonts w:hint="eastAsia"/>
          <w:lang w:val="en-US" w:eastAsia="zh-CN"/>
        </w:rPr>
        <w:t>6</w:t>
      </w:r>
      <w:r>
        <w:rPr>
          <w:rFonts w:hint="eastAsia"/>
        </w:rPr>
        <w:t xml:space="preserve"> 环境质量现状调查与评价</w:t>
      </w:r>
      <w:r>
        <w:tab/>
      </w:r>
      <w:r>
        <w:fldChar w:fldCharType="begin"/>
      </w:r>
      <w:r>
        <w:instrText xml:space="preserve"> PAGEREF _Toc17591 \h </w:instrText>
      </w:r>
      <w:r>
        <w:fldChar w:fldCharType="separate"/>
      </w:r>
      <w:r>
        <w:t>103</w:t>
      </w:r>
      <w:r>
        <w:fldChar w:fldCharType="end"/>
      </w:r>
      <w:r>
        <w:rPr>
          <w:color w:val="000000"/>
        </w:rPr>
        <w:fldChar w:fldCharType="end"/>
      </w:r>
    </w:p>
    <w:p>
      <w:pPr>
        <w:pStyle w:val="27"/>
        <w:tabs>
          <w:tab w:val="right" w:leader="dot" w:pos="8406"/>
        </w:tabs>
      </w:pPr>
      <w:r>
        <w:rPr>
          <w:color w:val="000000"/>
        </w:rPr>
        <w:fldChar w:fldCharType="begin"/>
      </w:r>
      <w:r>
        <w:instrText xml:space="preserve"> HYPERLINK \l _Toc28345 </w:instrText>
      </w:r>
      <w:r>
        <w:fldChar w:fldCharType="separate"/>
      </w:r>
      <w:r>
        <w:rPr>
          <w:rFonts w:hint="eastAsia"/>
        </w:rPr>
        <w:t>第</w:t>
      </w:r>
      <w:r>
        <w:t>4</w:t>
      </w:r>
      <w:r>
        <w:rPr>
          <w:rFonts w:hint="eastAsia"/>
        </w:rPr>
        <w:t>章  环境影响预测与评价</w:t>
      </w:r>
      <w:r>
        <w:tab/>
      </w:r>
      <w:r>
        <w:fldChar w:fldCharType="begin"/>
      </w:r>
      <w:r>
        <w:instrText xml:space="preserve"> PAGEREF _Toc28345 \h </w:instrText>
      </w:r>
      <w:r>
        <w:fldChar w:fldCharType="separate"/>
      </w:r>
      <w:r>
        <w:t>119</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_Toc19823 </w:instrText>
      </w:r>
      <w:r>
        <w:fldChar w:fldCharType="separate"/>
      </w:r>
      <w:r>
        <w:t>4</w:t>
      </w:r>
      <w:r>
        <w:rPr>
          <w:rFonts w:hint="eastAsia"/>
        </w:rPr>
        <w:t>.1工程施工期环境影响分析评价</w:t>
      </w:r>
      <w:r>
        <w:tab/>
      </w:r>
      <w:r>
        <w:fldChar w:fldCharType="begin"/>
      </w:r>
      <w:r>
        <w:instrText xml:space="preserve"> PAGEREF _Toc19823 \h </w:instrText>
      </w:r>
      <w:r>
        <w:fldChar w:fldCharType="separate"/>
      </w:r>
      <w:r>
        <w:t>119</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_Toc140 </w:instrText>
      </w:r>
      <w:r>
        <w:fldChar w:fldCharType="separate"/>
      </w:r>
      <w:r>
        <w:t>4.2</w:t>
      </w:r>
      <w:r>
        <w:rPr>
          <w:rFonts w:hint="eastAsia"/>
        </w:rPr>
        <w:t>工程运营期环境影响分析与评价</w:t>
      </w:r>
      <w:r>
        <w:tab/>
      </w:r>
      <w:r>
        <w:fldChar w:fldCharType="begin"/>
      </w:r>
      <w:r>
        <w:instrText xml:space="preserve"> PAGEREF _Toc140 \h </w:instrText>
      </w:r>
      <w:r>
        <w:fldChar w:fldCharType="separate"/>
      </w:r>
      <w:r>
        <w:t>120</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_Toc2342 </w:instrText>
      </w:r>
      <w:r>
        <w:fldChar w:fldCharType="separate"/>
      </w:r>
      <w:r>
        <w:t>4.3</w:t>
      </w:r>
      <w:r>
        <w:rPr>
          <w:rFonts w:hint="eastAsia"/>
        </w:rPr>
        <w:t>环境风险评价</w:t>
      </w:r>
      <w:r>
        <w:tab/>
      </w:r>
      <w:r>
        <w:fldChar w:fldCharType="begin"/>
      </w:r>
      <w:r>
        <w:instrText xml:space="preserve"> PAGEREF _Toc2342 \h </w:instrText>
      </w:r>
      <w:r>
        <w:fldChar w:fldCharType="separate"/>
      </w:r>
      <w:r>
        <w:t>146</w:t>
      </w:r>
      <w:r>
        <w:fldChar w:fldCharType="end"/>
      </w:r>
      <w:r>
        <w:rPr>
          <w:color w:val="000000"/>
        </w:rPr>
        <w:fldChar w:fldCharType="end"/>
      </w:r>
    </w:p>
    <w:p>
      <w:pPr>
        <w:pStyle w:val="27"/>
        <w:tabs>
          <w:tab w:val="right" w:leader="dot" w:pos="8406"/>
        </w:tabs>
      </w:pPr>
      <w:r>
        <w:rPr>
          <w:color w:val="000000"/>
        </w:rPr>
        <w:fldChar w:fldCharType="begin"/>
      </w:r>
      <w:r>
        <w:instrText xml:space="preserve"> HYPERLINK \l _Toc6777 </w:instrText>
      </w:r>
      <w:r>
        <w:fldChar w:fldCharType="separate"/>
      </w:r>
      <w:r>
        <w:rPr>
          <w:rFonts w:hint="eastAsia"/>
          <w:kern w:val="0"/>
        </w:rPr>
        <w:t>第</w:t>
      </w:r>
      <w:r>
        <w:rPr>
          <w:kern w:val="0"/>
        </w:rPr>
        <w:t>5</w:t>
      </w:r>
      <w:r>
        <w:rPr>
          <w:rFonts w:hint="eastAsia"/>
          <w:kern w:val="0"/>
        </w:rPr>
        <w:t>章  环境保护措施及其可行性论证</w:t>
      </w:r>
      <w:r>
        <w:tab/>
      </w:r>
      <w:r>
        <w:fldChar w:fldCharType="begin"/>
      </w:r>
      <w:r>
        <w:instrText xml:space="preserve"> PAGEREF _Toc6777 \h </w:instrText>
      </w:r>
      <w:r>
        <w:fldChar w:fldCharType="separate"/>
      </w:r>
      <w:r>
        <w:t>158</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_Toc29261 </w:instrText>
      </w:r>
      <w:r>
        <w:fldChar w:fldCharType="separate"/>
      </w:r>
      <w:r>
        <w:rPr>
          <w:kern w:val="0"/>
        </w:rPr>
        <w:t>5</w:t>
      </w:r>
      <w:r>
        <w:rPr>
          <w:rFonts w:hint="eastAsia"/>
          <w:kern w:val="0"/>
        </w:rPr>
        <w:t>.1施工期环境保护措施分析</w:t>
      </w:r>
      <w:r>
        <w:tab/>
      </w:r>
      <w:r>
        <w:fldChar w:fldCharType="begin"/>
      </w:r>
      <w:r>
        <w:instrText xml:space="preserve"> PAGEREF _Toc29261 \h </w:instrText>
      </w:r>
      <w:r>
        <w:fldChar w:fldCharType="separate"/>
      </w:r>
      <w:r>
        <w:t>158</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_Toc24542 </w:instrText>
      </w:r>
      <w:r>
        <w:fldChar w:fldCharType="separate"/>
      </w:r>
      <w:r>
        <w:t>5</w:t>
      </w:r>
      <w:r>
        <w:rPr>
          <w:rFonts w:hint="eastAsia"/>
        </w:rPr>
        <w:t>.2 营运期环境保护措施分析</w:t>
      </w:r>
      <w:r>
        <w:tab/>
      </w:r>
      <w:r>
        <w:fldChar w:fldCharType="begin"/>
      </w:r>
      <w:r>
        <w:instrText xml:space="preserve"> PAGEREF _Toc24542 \h </w:instrText>
      </w:r>
      <w:r>
        <w:fldChar w:fldCharType="separate"/>
      </w:r>
      <w:r>
        <w:t>159</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_Toc11952 </w:instrText>
      </w:r>
      <w:r>
        <w:fldChar w:fldCharType="separate"/>
      </w:r>
      <w:r>
        <w:t>5</w:t>
      </w:r>
      <w:r>
        <w:rPr>
          <w:rFonts w:hint="eastAsia"/>
        </w:rPr>
        <w:t>.3污染防治措施结论</w:t>
      </w:r>
      <w:r>
        <w:tab/>
      </w:r>
      <w:r>
        <w:fldChar w:fldCharType="begin"/>
      </w:r>
      <w:r>
        <w:instrText xml:space="preserve"> PAGEREF _Toc11952 \h </w:instrText>
      </w:r>
      <w:r>
        <w:fldChar w:fldCharType="separate"/>
      </w:r>
      <w:r>
        <w:t>177</w:t>
      </w:r>
      <w:r>
        <w:fldChar w:fldCharType="end"/>
      </w:r>
      <w:r>
        <w:rPr>
          <w:color w:val="000000"/>
        </w:rPr>
        <w:fldChar w:fldCharType="end"/>
      </w:r>
    </w:p>
    <w:p>
      <w:pPr>
        <w:pStyle w:val="27"/>
        <w:tabs>
          <w:tab w:val="right" w:leader="dot" w:pos="8406"/>
        </w:tabs>
      </w:pPr>
      <w:r>
        <w:rPr>
          <w:color w:val="000000"/>
        </w:rPr>
        <w:fldChar w:fldCharType="begin"/>
      </w:r>
      <w:r>
        <w:instrText xml:space="preserve"> HYPERLINK \l _Toc22423 </w:instrText>
      </w:r>
      <w:r>
        <w:fldChar w:fldCharType="separate"/>
      </w:r>
      <w:r>
        <w:rPr>
          <w:rFonts w:hint="eastAsia"/>
        </w:rPr>
        <w:t>第</w:t>
      </w:r>
      <w:r>
        <w:t>6</w:t>
      </w:r>
      <w:r>
        <w:rPr>
          <w:rFonts w:hint="eastAsia"/>
        </w:rPr>
        <w:t>章  环境影响经济损益分析</w:t>
      </w:r>
      <w:r>
        <w:tab/>
      </w:r>
      <w:r>
        <w:fldChar w:fldCharType="begin"/>
      </w:r>
      <w:r>
        <w:instrText xml:space="preserve"> PAGEREF _Toc22423 \h </w:instrText>
      </w:r>
      <w:r>
        <w:fldChar w:fldCharType="separate"/>
      </w:r>
      <w:r>
        <w:t>178</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_Toc18683 </w:instrText>
      </w:r>
      <w:r>
        <w:fldChar w:fldCharType="separate"/>
      </w:r>
      <w:r>
        <w:rPr>
          <w:kern w:val="0"/>
        </w:rPr>
        <w:t>6</w:t>
      </w:r>
      <w:r>
        <w:rPr>
          <w:rFonts w:hint="eastAsia"/>
          <w:kern w:val="0"/>
        </w:rPr>
        <w:t>.1 环境保护投资</w:t>
      </w:r>
      <w:r>
        <w:tab/>
      </w:r>
      <w:r>
        <w:fldChar w:fldCharType="begin"/>
      </w:r>
      <w:r>
        <w:instrText xml:space="preserve"> PAGEREF _Toc18683 \h </w:instrText>
      </w:r>
      <w:r>
        <w:fldChar w:fldCharType="separate"/>
      </w:r>
      <w:r>
        <w:t>178</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_Toc27638 </w:instrText>
      </w:r>
      <w:r>
        <w:fldChar w:fldCharType="separate"/>
      </w:r>
      <w:r>
        <w:rPr>
          <w:kern w:val="0"/>
        </w:rPr>
        <w:t>6</w:t>
      </w:r>
      <w:r>
        <w:rPr>
          <w:rFonts w:hint="eastAsia"/>
          <w:kern w:val="0"/>
        </w:rPr>
        <w:t>.2 环境损益分析</w:t>
      </w:r>
      <w:r>
        <w:tab/>
      </w:r>
      <w:r>
        <w:fldChar w:fldCharType="begin"/>
      </w:r>
      <w:r>
        <w:instrText xml:space="preserve"> PAGEREF _Toc27638 \h </w:instrText>
      </w:r>
      <w:r>
        <w:fldChar w:fldCharType="separate"/>
      </w:r>
      <w:r>
        <w:t>178</w:t>
      </w:r>
      <w:r>
        <w:fldChar w:fldCharType="end"/>
      </w:r>
      <w:r>
        <w:rPr>
          <w:color w:val="000000"/>
        </w:rPr>
        <w:fldChar w:fldCharType="end"/>
      </w:r>
    </w:p>
    <w:p>
      <w:pPr>
        <w:pStyle w:val="27"/>
        <w:tabs>
          <w:tab w:val="right" w:leader="dot" w:pos="8406"/>
        </w:tabs>
      </w:pPr>
      <w:r>
        <w:rPr>
          <w:color w:val="000000"/>
        </w:rPr>
        <w:fldChar w:fldCharType="begin"/>
      </w:r>
      <w:r>
        <w:instrText xml:space="preserve"> HYPERLINK \l _Toc11072 </w:instrText>
      </w:r>
      <w:r>
        <w:fldChar w:fldCharType="separate"/>
      </w:r>
      <w:r>
        <w:rPr>
          <w:rFonts w:hint="eastAsia"/>
          <w:kern w:val="0"/>
        </w:rPr>
        <w:t>第</w:t>
      </w:r>
      <w:r>
        <w:rPr>
          <w:kern w:val="0"/>
        </w:rPr>
        <w:t>7</w:t>
      </w:r>
      <w:r>
        <w:rPr>
          <w:rFonts w:hint="eastAsia"/>
          <w:kern w:val="0"/>
        </w:rPr>
        <w:t>章  环境管理及监测计划</w:t>
      </w:r>
      <w:r>
        <w:tab/>
      </w:r>
      <w:r>
        <w:fldChar w:fldCharType="begin"/>
      </w:r>
      <w:r>
        <w:instrText xml:space="preserve"> PAGEREF _Toc11072 \h </w:instrText>
      </w:r>
      <w:r>
        <w:fldChar w:fldCharType="separate"/>
      </w:r>
      <w:r>
        <w:t>180</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_Toc2983 </w:instrText>
      </w:r>
      <w:r>
        <w:fldChar w:fldCharType="separate"/>
      </w:r>
      <w:r>
        <w:rPr>
          <w:kern w:val="0"/>
        </w:rPr>
        <w:t>7</w:t>
      </w:r>
      <w:r>
        <w:rPr>
          <w:rFonts w:hint="eastAsia"/>
          <w:kern w:val="0"/>
        </w:rPr>
        <w:t>.1 环境管理基本任务</w:t>
      </w:r>
      <w:r>
        <w:tab/>
      </w:r>
      <w:r>
        <w:fldChar w:fldCharType="begin"/>
      </w:r>
      <w:r>
        <w:instrText xml:space="preserve"> PAGEREF _Toc2983 \h </w:instrText>
      </w:r>
      <w:r>
        <w:fldChar w:fldCharType="separate"/>
      </w:r>
      <w:r>
        <w:t>180</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_Toc2769 </w:instrText>
      </w:r>
      <w:r>
        <w:fldChar w:fldCharType="separate"/>
      </w:r>
      <w:r>
        <w:rPr>
          <w:kern w:val="0"/>
        </w:rPr>
        <w:t>7</w:t>
      </w:r>
      <w:r>
        <w:rPr>
          <w:rFonts w:hint="eastAsia"/>
          <w:kern w:val="0"/>
        </w:rPr>
        <w:t>.2 环境管理机制</w:t>
      </w:r>
      <w:r>
        <w:tab/>
      </w:r>
      <w:r>
        <w:fldChar w:fldCharType="begin"/>
      </w:r>
      <w:r>
        <w:instrText xml:space="preserve"> PAGEREF _Toc2769 \h </w:instrText>
      </w:r>
      <w:r>
        <w:fldChar w:fldCharType="separate"/>
      </w:r>
      <w:r>
        <w:t>180</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_Toc31392 </w:instrText>
      </w:r>
      <w:r>
        <w:fldChar w:fldCharType="separate"/>
      </w:r>
      <w:r>
        <w:t>7.3环境管理要求</w:t>
      </w:r>
      <w:r>
        <w:tab/>
      </w:r>
      <w:r>
        <w:fldChar w:fldCharType="begin"/>
      </w:r>
      <w:r>
        <w:instrText xml:space="preserve"> PAGEREF _Toc31392 \h </w:instrText>
      </w:r>
      <w:r>
        <w:fldChar w:fldCharType="separate"/>
      </w:r>
      <w:r>
        <w:t>181</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_Toc14332 </w:instrText>
      </w:r>
      <w:r>
        <w:fldChar w:fldCharType="separate"/>
      </w:r>
      <w:r>
        <w:t>7</w:t>
      </w:r>
      <w:r>
        <w:rPr>
          <w:rFonts w:hint="eastAsia"/>
        </w:rPr>
        <w:t>.</w:t>
      </w:r>
      <w:r>
        <w:t>4</w:t>
      </w:r>
      <w:r>
        <w:rPr>
          <w:rFonts w:hint="eastAsia"/>
        </w:rPr>
        <w:t xml:space="preserve"> 排污口规范化管理</w:t>
      </w:r>
      <w:r>
        <w:tab/>
      </w:r>
      <w:r>
        <w:fldChar w:fldCharType="begin"/>
      </w:r>
      <w:r>
        <w:instrText xml:space="preserve"> PAGEREF _Toc14332 \h </w:instrText>
      </w:r>
      <w:r>
        <w:fldChar w:fldCharType="separate"/>
      </w:r>
      <w:r>
        <w:t>182</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_Toc7042 </w:instrText>
      </w:r>
      <w:r>
        <w:fldChar w:fldCharType="separate"/>
      </w:r>
      <w:r>
        <w:rPr>
          <w:kern w:val="0"/>
        </w:rPr>
        <w:t>7</w:t>
      </w:r>
      <w:r>
        <w:rPr>
          <w:rFonts w:hint="eastAsia"/>
          <w:kern w:val="0"/>
        </w:rPr>
        <w:t>.</w:t>
      </w:r>
      <w:r>
        <w:rPr>
          <w:kern w:val="0"/>
        </w:rPr>
        <w:t>5</w:t>
      </w:r>
      <w:r>
        <w:rPr>
          <w:rFonts w:hint="eastAsia"/>
          <w:kern w:val="0"/>
        </w:rPr>
        <w:t>总量控制</w:t>
      </w:r>
      <w:r>
        <w:tab/>
      </w:r>
      <w:r>
        <w:fldChar w:fldCharType="begin"/>
      </w:r>
      <w:r>
        <w:instrText xml:space="preserve"> PAGEREF _Toc7042 \h </w:instrText>
      </w:r>
      <w:r>
        <w:fldChar w:fldCharType="separate"/>
      </w:r>
      <w:r>
        <w:t>184</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_Toc6229 </w:instrText>
      </w:r>
      <w:r>
        <w:fldChar w:fldCharType="separate"/>
      </w:r>
      <w:r>
        <w:rPr>
          <w:kern w:val="0"/>
        </w:rPr>
        <w:t>7</w:t>
      </w:r>
      <w:r>
        <w:rPr>
          <w:rFonts w:hint="eastAsia"/>
          <w:kern w:val="0"/>
        </w:rPr>
        <w:t>.</w:t>
      </w:r>
      <w:r>
        <w:rPr>
          <w:kern w:val="0"/>
        </w:rPr>
        <w:t>6</w:t>
      </w:r>
      <w:r>
        <w:rPr>
          <w:rFonts w:hint="eastAsia"/>
          <w:kern w:val="0"/>
        </w:rPr>
        <w:t xml:space="preserve"> 环境监测</w:t>
      </w:r>
      <w:r>
        <w:tab/>
      </w:r>
      <w:r>
        <w:fldChar w:fldCharType="begin"/>
      </w:r>
      <w:r>
        <w:instrText xml:space="preserve"> PAGEREF _Toc6229 \h </w:instrText>
      </w:r>
      <w:r>
        <w:fldChar w:fldCharType="separate"/>
      </w:r>
      <w:r>
        <w:t>184</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_Toc32026 </w:instrText>
      </w:r>
      <w:r>
        <w:fldChar w:fldCharType="separate"/>
      </w:r>
      <w:r>
        <w:rPr>
          <w:kern w:val="0"/>
        </w:rPr>
        <w:t>7</w:t>
      </w:r>
      <w:r>
        <w:rPr>
          <w:rFonts w:hint="eastAsia"/>
          <w:kern w:val="0"/>
        </w:rPr>
        <w:t>.</w:t>
      </w:r>
      <w:r>
        <w:rPr>
          <w:kern w:val="0"/>
        </w:rPr>
        <w:t>7</w:t>
      </w:r>
      <w:r>
        <w:rPr>
          <w:rFonts w:hint="eastAsia"/>
          <w:kern w:val="0"/>
        </w:rPr>
        <w:t xml:space="preserve"> 环境保护竣工验收要求</w:t>
      </w:r>
      <w:r>
        <w:tab/>
      </w:r>
      <w:r>
        <w:fldChar w:fldCharType="begin"/>
      </w:r>
      <w:r>
        <w:instrText xml:space="preserve"> PAGEREF _Toc32026 \h </w:instrText>
      </w:r>
      <w:r>
        <w:fldChar w:fldCharType="separate"/>
      </w:r>
      <w:r>
        <w:t>185</w:t>
      </w:r>
      <w:r>
        <w:fldChar w:fldCharType="end"/>
      </w:r>
      <w:r>
        <w:rPr>
          <w:color w:val="000000"/>
        </w:rPr>
        <w:fldChar w:fldCharType="end"/>
      </w:r>
    </w:p>
    <w:p>
      <w:pPr>
        <w:pStyle w:val="27"/>
        <w:tabs>
          <w:tab w:val="right" w:leader="dot" w:pos="8406"/>
        </w:tabs>
      </w:pPr>
      <w:r>
        <w:rPr>
          <w:color w:val="000000"/>
        </w:rPr>
        <w:fldChar w:fldCharType="begin"/>
      </w:r>
      <w:r>
        <w:instrText xml:space="preserve"> HYPERLINK \l _Toc2239 </w:instrText>
      </w:r>
      <w:r>
        <w:fldChar w:fldCharType="separate"/>
      </w:r>
      <w:r>
        <w:rPr>
          <w:rFonts w:hint="eastAsia"/>
        </w:rPr>
        <w:t>第</w:t>
      </w:r>
      <w:r>
        <w:t>8</w:t>
      </w:r>
      <w:r>
        <w:rPr>
          <w:rFonts w:hint="eastAsia"/>
        </w:rPr>
        <w:t>章  环境影响评价结论</w:t>
      </w:r>
      <w:r>
        <w:tab/>
      </w:r>
      <w:r>
        <w:fldChar w:fldCharType="begin"/>
      </w:r>
      <w:r>
        <w:instrText xml:space="preserve"> PAGEREF _Toc2239 \h </w:instrText>
      </w:r>
      <w:r>
        <w:fldChar w:fldCharType="separate"/>
      </w:r>
      <w:r>
        <w:t>187</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_Toc5352 </w:instrText>
      </w:r>
      <w:r>
        <w:fldChar w:fldCharType="separate"/>
      </w:r>
      <w:r>
        <w:t>8</w:t>
      </w:r>
      <w:r>
        <w:rPr>
          <w:rFonts w:hint="eastAsia"/>
        </w:rPr>
        <w:t>.1 项目概况</w:t>
      </w:r>
      <w:r>
        <w:tab/>
      </w:r>
      <w:r>
        <w:fldChar w:fldCharType="begin"/>
      </w:r>
      <w:r>
        <w:instrText xml:space="preserve"> PAGEREF _Toc5352 \h </w:instrText>
      </w:r>
      <w:r>
        <w:fldChar w:fldCharType="separate"/>
      </w:r>
      <w:r>
        <w:t>187</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_Toc3154 </w:instrText>
      </w:r>
      <w:r>
        <w:fldChar w:fldCharType="separate"/>
      </w:r>
      <w:r>
        <w:t>8</w:t>
      </w:r>
      <w:r>
        <w:rPr>
          <w:rFonts w:hint="eastAsia"/>
        </w:rPr>
        <w:t xml:space="preserve">.2 </w:t>
      </w:r>
      <w:r>
        <w:rPr>
          <w:rFonts w:hint="eastAsia"/>
          <w:lang w:eastAsia="zh-CN"/>
        </w:rPr>
        <w:t>工程分析</w:t>
      </w:r>
      <w:r>
        <w:tab/>
      </w:r>
      <w:r>
        <w:fldChar w:fldCharType="begin"/>
      </w:r>
      <w:r>
        <w:instrText xml:space="preserve"> PAGEREF _Toc3154 \h </w:instrText>
      </w:r>
      <w:r>
        <w:fldChar w:fldCharType="separate"/>
      </w:r>
      <w:r>
        <w:t>187</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_Toc5843 </w:instrText>
      </w:r>
      <w:r>
        <w:fldChar w:fldCharType="separate"/>
      </w:r>
      <w:r>
        <w:rPr>
          <w:rFonts w:hint="eastAsia"/>
          <w:lang w:val="en-US" w:eastAsia="zh-CN"/>
        </w:rPr>
        <w:t xml:space="preserve">8.3 </w:t>
      </w:r>
      <w:r>
        <w:rPr>
          <w:rFonts w:hint="eastAsia"/>
        </w:rPr>
        <w:t>环境质量现状</w:t>
      </w:r>
      <w:r>
        <w:tab/>
      </w:r>
      <w:r>
        <w:fldChar w:fldCharType="begin"/>
      </w:r>
      <w:r>
        <w:instrText xml:space="preserve"> PAGEREF _Toc5843 \h </w:instrText>
      </w:r>
      <w:r>
        <w:fldChar w:fldCharType="separate"/>
      </w:r>
      <w:r>
        <w:t>189</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_Toc6089 </w:instrText>
      </w:r>
      <w:r>
        <w:fldChar w:fldCharType="separate"/>
      </w:r>
      <w:r>
        <w:rPr>
          <w:kern w:val="0"/>
        </w:rPr>
        <w:t>8</w:t>
      </w:r>
      <w:r>
        <w:rPr>
          <w:rFonts w:hint="eastAsia"/>
          <w:kern w:val="0"/>
        </w:rPr>
        <w:t>.4 主要环境影响</w:t>
      </w:r>
      <w:r>
        <w:tab/>
      </w:r>
      <w:r>
        <w:fldChar w:fldCharType="begin"/>
      </w:r>
      <w:r>
        <w:instrText xml:space="preserve"> PAGEREF _Toc6089 \h </w:instrText>
      </w:r>
      <w:r>
        <w:fldChar w:fldCharType="separate"/>
      </w:r>
      <w:r>
        <w:t>190</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_Toc7018 </w:instrText>
      </w:r>
      <w:r>
        <w:fldChar w:fldCharType="separate"/>
      </w:r>
      <w:r>
        <w:t>8</w:t>
      </w:r>
      <w:r>
        <w:rPr>
          <w:rFonts w:hint="eastAsia"/>
        </w:rPr>
        <w:t>.</w:t>
      </w:r>
      <w:r>
        <w:t xml:space="preserve">5 </w:t>
      </w:r>
      <w:r>
        <w:rPr>
          <w:rFonts w:hint="eastAsia"/>
        </w:rPr>
        <w:t>污染控制措施评述及污染物达标排放</w:t>
      </w:r>
      <w:r>
        <w:tab/>
      </w:r>
      <w:r>
        <w:fldChar w:fldCharType="begin"/>
      </w:r>
      <w:r>
        <w:instrText xml:space="preserve"> PAGEREF _Toc7018 \h </w:instrText>
      </w:r>
      <w:r>
        <w:fldChar w:fldCharType="separate"/>
      </w:r>
      <w:r>
        <w:t>193</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_Toc1322 </w:instrText>
      </w:r>
      <w:r>
        <w:fldChar w:fldCharType="separate"/>
      </w:r>
      <w:r>
        <w:rPr>
          <w:rFonts w:hint="eastAsia"/>
        </w:rPr>
        <w:t>8</w:t>
      </w:r>
      <w:r>
        <w:t>.6</w:t>
      </w:r>
      <w:r>
        <w:rPr>
          <w:rFonts w:hint="eastAsia"/>
        </w:rPr>
        <w:t>项目环境制约因素及解决办法</w:t>
      </w:r>
      <w:r>
        <w:tab/>
      </w:r>
      <w:r>
        <w:fldChar w:fldCharType="begin"/>
      </w:r>
      <w:r>
        <w:instrText xml:space="preserve"> PAGEREF _Toc1322 \h </w:instrText>
      </w:r>
      <w:r>
        <w:fldChar w:fldCharType="separate"/>
      </w:r>
      <w:r>
        <w:t>194</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_Toc4466 </w:instrText>
      </w:r>
      <w:r>
        <w:fldChar w:fldCharType="separate"/>
      </w:r>
      <w:r>
        <w:rPr>
          <w:kern w:val="0"/>
        </w:rPr>
        <w:t>8</w:t>
      </w:r>
      <w:r>
        <w:rPr>
          <w:rFonts w:hint="eastAsia"/>
          <w:kern w:val="0"/>
        </w:rPr>
        <w:t>.</w:t>
      </w:r>
      <w:r>
        <w:rPr>
          <w:kern w:val="0"/>
        </w:rPr>
        <w:t>7</w:t>
      </w:r>
      <w:r>
        <w:rPr>
          <w:rFonts w:hint="eastAsia"/>
          <w:kern w:val="0"/>
        </w:rPr>
        <w:t xml:space="preserve"> 环境监测计划</w:t>
      </w:r>
      <w:r>
        <w:tab/>
      </w:r>
      <w:r>
        <w:fldChar w:fldCharType="begin"/>
      </w:r>
      <w:r>
        <w:instrText xml:space="preserve"> PAGEREF _Toc4466 \h </w:instrText>
      </w:r>
      <w:r>
        <w:fldChar w:fldCharType="separate"/>
      </w:r>
      <w:r>
        <w:t>194</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_Toc22965 </w:instrText>
      </w:r>
      <w:r>
        <w:fldChar w:fldCharType="separate"/>
      </w:r>
      <w:r>
        <w:t>8.8公众参与调查结论</w:t>
      </w:r>
      <w:r>
        <w:tab/>
      </w:r>
      <w:r>
        <w:fldChar w:fldCharType="begin"/>
      </w:r>
      <w:r>
        <w:instrText xml:space="preserve"> PAGEREF _Toc22965 \h </w:instrText>
      </w:r>
      <w:r>
        <w:fldChar w:fldCharType="separate"/>
      </w:r>
      <w:r>
        <w:t>195</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_Toc7303 </w:instrText>
      </w:r>
      <w:r>
        <w:fldChar w:fldCharType="separate"/>
      </w:r>
      <w:r>
        <w:rPr>
          <w:kern w:val="0"/>
        </w:rPr>
        <w:t>8.9</w:t>
      </w:r>
      <w:r>
        <w:rPr>
          <w:rFonts w:hint="eastAsia"/>
          <w:kern w:val="0"/>
        </w:rPr>
        <w:t>环评总结论</w:t>
      </w:r>
      <w:r>
        <w:tab/>
      </w:r>
      <w:r>
        <w:fldChar w:fldCharType="begin"/>
      </w:r>
      <w:r>
        <w:instrText xml:space="preserve"> PAGEREF _Toc7303 \h </w:instrText>
      </w:r>
      <w:r>
        <w:fldChar w:fldCharType="separate"/>
      </w:r>
      <w:r>
        <w:t>195</w:t>
      </w:r>
      <w:r>
        <w:fldChar w:fldCharType="end"/>
      </w:r>
      <w:r>
        <w:rPr>
          <w:color w:val="000000"/>
        </w:rPr>
        <w:fldChar w:fldCharType="end"/>
      </w:r>
    </w:p>
    <w:p>
      <w:pPr>
        <w:pStyle w:val="6"/>
        <w:tabs>
          <w:tab w:val="right" w:leader="dot" w:pos="8406"/>
        </w:tabs>
      </w:pPr>
      <w:r>
        <w:rPr>
          <w:color w:val="000000"/>
        </w:rPr>
        <w:fldChar w:fldCharType="begin"/>
      </w:r>
      <w:r>
        <w:instrText xml:space="preserve"> HYPERLINK \l _Toc6252 </w:instrText>
      </w:r>
      <w:r>
        <w:fldChar w:fldCharType="separate"/>
      </w:r>
      <w:r>
        <w:rPr>
          <w:kern w:val="0"/>
        </w:rPr>
        <w:t>8</w:t>
      </w:r>
      <w:r>
        <w:rPr>
          <w:rFonts w:hint="eastAsia"/>
          <w:kern w:val="0"/>
        </w:rPr>
        <w:t>.</w:t>
      </w:r>
      <w:r>
        <w:rPr>
          <w:kern w:val="0"/>
        </w:rPr>
        <w:t>10</w:t>
      </w:r>
      <w:r>
        <w:rPr>
          <w:rFonts w:hint="eastAsia"/>
          <w:kern w:val="0"/>
        </w:rPr>
        <w:t xml:space="preserve"> 建议</w:t>
      </w:r>
      <w:r>
        <w:tab/>
      </w:r>
      <w:r>
        <w:fldChar w:fldCharType="begin"/>
      </w:r>
      <w:r>
        <w:instrText xml:space="preserve"> PAGEREF _Toc6252 \h </w:instrText>
      </w:r>
      <w:r>
        <w:fldChar w:fldCharType="separate"/>
      </w:r>
      <w:r>
        <w:t>195</w:t>
      </w:r>
      <w:r>
        <w:fldChar w:fldCharType="end"/>
      </w:r>
      <w:r>
        <w:rPr>
          <w:color w:val="000000"/>
        </w:rPr>
        <w:fldChar w:fldCharType="end"/>
      </w:r>
    </w:p>
    <w:p>
      <w:pPr>
        <w:pStyle w:val="27"/>
        <w:rPr>
          <w:rFonts w:hint="eastAsia"/>
          <w:color w:val="000000"/>
          <w:lang w:val="en-US" w:eastAsia="zh-CN"/>
        </w:rPr>
      </w:pPr>
      <w:r>
        <w:rPr>
          <w:color w:val="000000"/>
        </w:rPr>
        <w:fldChar w:fldCharType="end"/>
      </w:r>
      <w:r>
        <w:rPr>
          <w:color w:val="000000"/>
        </w:rPr>
        <w:t xml:space="preserve"> </w:t>
      </w:r>
      <w:r>
        <w:rPr>
          <w:rFonts w:hint="eastAsia"/>
          <w:color w:val="000000"/>
          <w:lang w:val="en-US" w:eastAsia="zh-CN"/>
        </w:rPr>
        <w:t>附图、附件、附表</w:t>
      </w:r>
    </w:p>
    <w:p>
      <w:pPr>
        <w:rPr>
          <w:rFonts w:hint="default"/>
          <w:lang w:val="en-US" w:eastAsia="zh-CN"/>
        </w:rPr>
      </w:pPr>
      <w:r>
        <w:rPr>
          <w:rFonts w:hint="eastAsia"/>
          <w:lang w:val="en-US" w:eastAsia="zh-CN"/>
        </w:rPr>
        <w:t>附件1：委托书</w:t>
      </w:r>
    </w:p>
    <w:p>
      <w:pPr>
        <w:rPr>
          <w:rFonts w:hint="default"/>
          <w:lang w:val="en-US" w:eastAsia="zh-CN"/>
        </w:rPr>
      </w:pPr>
      <w:r>
        <w:rPr>
          <w:rFonts w:hint="default"/>
          <w:lang w:val="en-US" w:eastAsia="zh-CN"/>
        </w:rPr>
        <w:t>附件2：建设项目用地规划许可证</w:t>
      </w:r>
    </w:p>
    <w:p>
      <w:pPr>
        <w:rPr>
          <w:rFonts w:hint="eastAsia"/>
        </w:rPr>
      </w:pPr>
      <w:r>
        <w:rPr>
          <w:rFonts w:hint="eastAsia"/>
        </w:rPr>
        <w:t>附件3</w:t>
      </w:r>
      <w:r>
        <w:rPr>
          <w:rFonts w:hint="eastAsia"/>
          <w:lang w:eastAsia="zh-CN"/>
        </w:rPr>
        <w:t>：</w:t>
      </w:r>
      <w:r>
        <w:rPr>
          <w:rFonts w:hint="eastAsia"/>
        </w:rPr>
        <w:t>项目监测报告</w:t>
      </w:r>
    </w:p>
    <w:p>
      <w:pPr>
        <w:rPr>
          <w:rFonts w:hint="eastAsia"/>
        </w:rPr>
      </w:pPr>
      <w:r>
        <w:rPr>
          <w:rFonts w:hint="eastAsia"/>
        </w:rPr>
        <w:t>附件4</w:t>
      </w:r>
      <w:r>
        <w:rPr>
          <w:rFonts w:hint="eastAsia"/>
          <w:lang w:eastAsia="zh-CN"/>
        </w:rPr>
        <w:t>：</w:t>
      </w:r>
      <w:r>
        <w:rPr>
          <w:rFonts w:hint="eastAsia"/>
        </w:rPr>
        <w:t>本项目技术方案的审查意见</w:t>
      </w:r>
    </w:p>
    <w:p>
      <w:pPr>
        <w:rPr>
          <w:rFonts w:hint="eastAsia"/>
        </w:rPr>
      </w:pPr>
      <w:r>
        <w:rPr>
          <w:rFonts w:hint="eastAsia"/>
        </w:rPr>
        <w:t>附件5：花垣县工业集中区污水处理厂的环评批复</w:t>
      </w:r>
    </w:p>
    <w:p>
      <w:pPr>
        <w:rPr>
          <w:rFonts w:hint="eastAsia"/>
        </w:rPr>
      </w:pPr>
      <w:r>
        <w:rPr>
          <w:rFonts w:hint="eastAsia"/>
        </w:rPr>
        <w:t>附件6：项目初步设计批复</w:t>
      </w:r>
    </w:p>
    <w:p>
      <w:pPr>
        <w:rPr>
          <w:rFonts w:hint="eastAsia"/>
        </w:rPr>
      </w:pPr>
      <w:r>
        <w:rPr>
          <w:rFonts w:hint="eastAsia"/>
        </w:rPr>
        <w:t>附件7</w:t>
      </w:r>
      <w:r>
        <w:rPr>
          <w:rFonts w:hint="eastAsia"/>
          <w:lang w:eastAsia="zh-CN"/>
        </w:rPr>
        <w:t>：</w:t>
      </w:r>
      <w:r>
        <w:rPr>
          <w:rFonts w:hint="eastAsia"/>
        </w:rPr>
        <w:t>花垣工业集中区污水处理厂入河排污口批复</w:t>
      </w:r>
    </w:p>
    <w:p>
      <w:pPr>
        <w:pStyle w:val="6"/>
        <w:rPr>
          <w:rFonts w:hint="eastAsia"/>
        </w:rPr>
      </w:pPr>
      <w:r>
        <w:rPr>
          <w:rFonts w:hint="eastAsia"/>
        </w:rPr>
        <w:t>附件8</w:t>
      </w:r>
      <w:r>
        <w:rPr>
          <w:rFonts w:hint="eastAsia"/>
          <w:lang w:eastAsia="zh-CN"/>
        </w:rPr>
        <w:t>：</w:t>
      </w:r>
      <w:r>
        <w:rPr>
          <w:rFonts w:hint="eastAsia"/>
        </w:rPr>
        <w:t>花垣产业开发区环评审查意见</w:t>
      </w:r>
    </w:p>
    <w:p>
      <w:pPr>
        <w:rPr>
          <w:rFonts w:hint="eastAsia"/>
        </w:rPr>
      </w:pPr>
      <w:r>
        <w:rPr>
          <w:rFonts w:hint="eastAsia"/>
        </w:rPr>
        <w:t>附件9</w:t>
      </w:r>
      <w:r>
        <w:rPr>
          <w:rFonts w:hint="eastAsia"/>
          <w:lang w:eastAsia="zh-CN"/>
        </w:rPr>
        <w:t>：</w:t>
      </w:r>
      <w:r>
        <w:rPr>
          <w:rFonts w:hint="eastAsia"/>
        </w:rPr>
        <w:t>项目可不设置事故池论证材料</w:t>
      </w:r>
    </w:p>
    <w:p>
      <w:pPr>
        <w:pStyle w:val="6"/>
        <w:rPr>
          <w:rFonts w:hint="eastAsia"/>
        </w:rPr>
      </w:pPr>
      <w:r>
        <w:rPr>
          <w:rFonts w:hint="eastAsia"/>
        </w:rPr>
        <w:t>附件10</w:t>
      </w:r>
      <w:r>
        <w:rPr>
          <w:rFonts w:hint="eastAsia"/>
          <w:lang w:eastAsia="zh-CN"/>
        </w:rPr>
        <w:t>：</w:t>
      </w:r>
      <w:r>
        <w:rPr>
          <w:rFonts w:hint="eastAsia"/>
        </w:rPr>
        <w:t>鼎盛利园环评批复</w:t>
      </w:r>
    </w:p>
    <w:p>
      <w:pPr>
        <w:rPr>
          <w:rFonts w:hint="eastAsia"/>
        </w:rPr>
      </w:pPr>
      <w:r>
        <w:rPr>
          <w:rFonts w:hint="eastAsia"/>
        </w:rPr>
        <w:t>附件11</w:t>
      </w:r>
      <w:r>
        <w:rPr>
          <w:rFonts w:hint="eastAsia"/>
          <w:lang w:eastAsia="zh-CN"/>
        </w:rPr>
        <w:t>：</w:t>
      </w:r>
      <w:r>
        <w:rPr>
          <w:rFonts w:hint="eastAsia"/>
        </w:rPr>
        <w:t>东矿环评批复</w:t>
      </w:r>
    </w:p>
    <w:p>
      <w:pPr>
        <w:pStyle w:val="6"/>
        <w:rPr>
          <w:rFonts w:hint="eastAsia"/>
        </w:rPr>
      </w:pPr>
      <w:r>
        <w:rPr>
          <w:rFonts w:hint="eastAsia"/>
        </w:rPr>
        <w:t>附件12</w:t>
      </w:r>
      <w:r>
        <w:rPr>
          <w:rFonts w:hint="eastAsia"/>
          <w:lang w:eastAsia="zh-CN"/>
        </w:rPr>
        <w:t>：</w:t>
      </w:r>
      <w:r>
        <w:rPr>
          <w:rFonts w:hint="eastAsia"/>
        </w:rPr>
        <w:t>东矿验收批复</w:t>
      </w:r>
    </w:p>
    <w:p>
      <w:pPr>
        <w:rPr>
          <w:rFonts w:hint="eastAsia"/>
        </w:rPr>
      </w:pPr>
      <w:r>
        <w:rPr>
          <w:rFonts w:hint="eastAsia"/>
        </w:rPr>
        <w:t>附件13</w:t>
      </w:r>
      <w:r>
        <w:rPr>
          <w:rFonts w:hint="eastAsia"/>
          <w:lang w:eastAsia="zh-CN"/>
        </w:rPr>
        <w:t>：</w:t>
      </w:r>
      <w:r>
        <w:rPr>
          <w:rFonts w:hint="eastAsia"/>
        </w:rPr>
        <w:t>三丰钒业验收报告</w:t>
      </w:r>
    </w:p>
    <w:p>
      <w:pPr>
        <w:pStyle w:val="6"/>
        <w:rPr>
          <w:rFonts w:hint="eastAsia"/>
        </w:rPr>
      </w:pPr>
      <w:r>
        <w:rPr>
          <w:rFonts w:hint="eastAsia"/>
        </w:rPr>
        <w:t>附件14</w:t>
      </w:r>
      <w:r>
        <w:rPr>
          <w:rFonts w:hint="eastAsia"/>
          <w:lang w:eastAsia="zh-CN"/>
        </w:rPr>
        <w:t>：</w:t>
      </w:r>
      <w:r>
        <w:rPr>
          <w:rFonts w:hint="eastAsia"/>
        </w:rPr>
        <w:t>三丰钒业环评报告</w:t>
      </w:r>
    </w:p>
    <w:p>
      <w:pPr>
        <w:pStyle w:val="6"/>
        <w:rPr>
          <w:rFonts w:hint="eastAsia" w:ascii="Times New Roman" w:hAnsi="Times New Roman" w:eastAsia="宋体" w:cs="Times New Roman"/>
        </w:rPr>
      </w:pPr>
      <w:r>
        <w:rPr>
          <w:rFonts w:hint="eastAsia"/>
        </w:rPr>
        <w:t>附件15</w:t>
      </w:r>
      <w:r>
        <w:rPr>
          <w:rFonts w:hint="eastAsia"/>
          <w:lang w:eastAsia="zh-CN"/>
        </w:rPr>
        <w:t>：</w:t>
      </w:r>
      <w:r>
        <w:rPr>
          <w:rFonts w:hint="eastAsia" w:ascii="Times New Roman" w:hAnsi="Times New Roman" w:eastAsia="宋体" w:cs="Times New Roman"/>
        </w:rPr>
        <w:t>花垣县科信新材料有限责任公司环评批复</w:t>
      </w:r>
    </w:p>
    <w:p>
      <w:pPr>
        <w:pStyle w:val="6"/>
        <w:rPr>
          <w:rFonts w:hint="eastAsia" w:ascii="Times New Roman" w:hAnsi="Times New Roman" w:eastAsia="宋体" w:cs="Times New Roman"/>
        </w:rPr>
      </w:pPr>
      <w:r>
        <w:rPr>
          <w:rFonts w:hint="eastAsia" w:ascii="Times New Roman" w:hAnsi="Times New Roman" w:eastAsia="宋体" w:cs="Times New Roman"/>
        </w:rPr>
        <w:t>附件16</w:t>
      </w:r>
      <w:r>
        <w:rPr>
          <w:rFonts w:hint="eastAsia" w:ascii="Times New Roman" w:hAnsi="Times New Roman" w:eastAsia="宋体" w:cs="Times New Roman"/>
          <w:lang w:eastAsia="zh-CN"/>
        </w:rPr>
        <w:t>：</w:t>
      </w:r>
      <w:r>
        <w:rPr>
          <w:rFonts w:hint="eastAsia" w:ascii="Times New Roman" w:hAnsi="Times New Roman" w:eastAsia="宋体" w:cs="Times New Roman"/>
        </w:rPr>
        <w:t>项目工程验收批复</w:t>
      </w:r>
    </w:p>
    <w:p>
      <w:pPr>
        <w:pStyle w:val="6"/>
        <w:rPr>
          <w:rFonts w:hint="eastAsia" w:ascii="Times New Roman" w:hAnsi="Times New Roman" w:eastAsia="宋体" w:cs="Times New Roman"/>
          <w:color w:val="auto"/>
          <w:u w:val="single"/>
        </w:rPr>
      </w:pPr>
      <w:r>
        <w:rPr>
          <w:rFonts w:hint="eastAsia" w:ascii="Times New Roman" w:hAnsi="Times New Roman" w:eastAsia="宋体" w:cs="Times New Roman"/>
          <w:color w:val="auto"/>
          <w:u w:val="single"/>
        </w:rPr>
        <w:t>附件17</w:t>
      </w:r>
      <w:r>
        <w:rPr>
          <w:rFonts w:hint="eastAsia" w:cs="Times New Roman"/>
          <w:color w:val="auto"/>
          <w:u w:val="single"/>
          <w:lang w:eastAsia="zh-CN"/>
        </w:rPr>
        <w:t>：</w:t>
      </w:r>
      <w:r>
        <w:rPr>
          <w:rFonts w:hint="eastAsia" w:ascii="Times New Roman" w:hAnsi="Times New Roman" w:eastAsia="宋体" w:cs="Times New Roman"/>
          <w:color w:val="auto"/>
          <w:u w:val="single"/>
        </w:rPr>
        <w:t>项目取消事故池批复</w:t>
      </w:r>
    </w:p>
    <w:p>
      <w:pPr>
        <w:pStyle w:val="6"/>
        <w:rPr>
          <w:rFonts w:hint="eastAsia" w:ascii="Times New Roman" w:hAnsi="Times New Roman" w:eastAsia="宋体" w:cs="Times New Roman"/>
          <w:u w:val="single"/>
          <w:lang w:eastAsia="zh-CN"/>
        </w:rPr>
      </w:pPr>
      <w:r>
        <w:rPr>
          <w:rFonts w:hint="eastAsia" w:ascii="Times New Roman" w:hAnsi="Times New Roman" w:eastAsia="宋体" w:cs="Times New Roman"/>
          <w:u w:val="single"/>
          <w:lang w:eastAsia="zh-CN"/>
        </w:rPr>
        <w:t>附件18</w:t>
      </w:r>
      <w:r>
        <w:rPr>
          <w:rFonts w:hint="eastAsia" w:cs="Times New Roman"/>
          <w:u w:val="single"/>
          <w:lang w:eastAsia="zh-CN"/>
        </w:rPr>
        <w:t>：</w:t>
      </w:r>
      <w:r>
        <w:rPr>
          <w:rFonts w:hint="eastAsia" w:ascii="Times New Roman" w:hAnsi="Times New Roman" w:eastAsia="宋体" w:cs="Times New Roman"/>
          <w:u w:val="single"/>
          <w:lang w:eastAsia="zh-CN"/>
        </w:rPr>
        <w:t>专家签到表</w:t>
      </w:r>
    </w:p>
    <w:p>
      <w:pPr>
        <w:pStyle w:val="6"/>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附件19：专家意见</w:t>
      </w:r>
    </w:p>
    <w:p>
      <w:pPr>
        <w:rPr>
          <w:rFonts w:hint="eastAsia"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附件20：建设单位营业执照</w:t>
      </w:r>
    </w:p>
    <w:p>
      <w:pPr>
        <w:pStyle w:val="2"/>
        <w:rPr>
          <w:rFonts w:hint="default" w:ascii="Times New Roman" w:hAnsi="Times New Roman" w:eastAsia="宋体" w:cs="Times New Roman"/>
          <w:kern w:val="2"/>
          <w:sz w:val="24"/>
          <w:szCs w:val="24"/>
          <w:u w:val="single"/>
          <w:lang w:val="en-US" w:eastAsia="zh-CN" w:bidi="ar-SA"/>
        </w:rPr>
      </w:pPr>
      <w:r>
        <w:rPr>
          <w:rFonts w:hint="eastAsia" w:ascii="Times New Roman" w:hAnsi="Times New Roman" w:eastAsia="宋体" w:cs="Times New Roman"/>
          <w:kern w:val="2"/>
          <w:sz w:val="24"/>
          <w:szCs w:val="24"/>
          <w:u w:val="single"/>
          <w:lang w:val="en-US" w:eastAsia="zh-CN" w:bidi="ar-SA"/>
        </w:rPr>
        <w:t>附件21：建设单位名称变更说明</w:t>
      </w:r>
    </w:p>
    <w:p>
      <w:pPr>
        <w:rPr>
          <w:rFonts w:hint="eastAsia"/>
          <w:lang w:eastAsia="zh-CN"/>
        </w:rPr>
      </w:pPr>
      <w:r>
        <w:rPr>
          <w:rFonts w:hint="eastAsia"/>
          <w:lang w:eastAsia="zh-CN"/>
        </w:rPr>
        <w:t>附图</w:t>
      </w:r>
    </w:p>
    <w:p>
      <w:pPr>
        <w:pStyle w:val="6"/>
        <w:rPr>
          <w:rFonts w:hint="eastAsia"/>
          <w:lang w:eastAsia="zh-CN"/>
        </w:rPr>
      </w:pPr>
      <w:r>
        <w:rPr>
          <w:rFonts w:hint="eastAsia"/>
          <w:lang w:eastAsia="zh-CN"/>
        </w:rPr>
        <w:t>附图1 地理位置图</w:t>
      </w:r>
    </w:p>
    <w:p>
      <w:pPr>
        <w:pStyle w:val="6"/>
        <w:rPr>
          <w:rFonts w:hint="eastAsia"/>
        </w:rPr>
      </w:pPr>
      <w:r>
        <w:rPr>
          <w:rFonts w:hint="eastAsia"/>
        </w:rPr>
        <w:t>附图2 监测布点图</w:t>
      </w:r>
    </w:p>
    <w:p>
      <w:pPr>
        <w:rPr>
          <w:rFonts w:hint="eastAsia"/>
          <w:lang w:eastAsia="zh-CN"/>
        </w:rPr>
      </w:pPr>
      <w:r>
        <w:rPr>
          <w:rFonts w:hint="eastAsia"/>
        </w:rPr>
        <w:t>附图3 项目与花垣产业园相对位置关系图</w:t>
      </w:r>
      <w:r>
        <w:rPr>
          <w:rFonts w:hint="eastAsia"/>
          <w:lang w:eastAsia="zh-CN"/>
        </w:rPr>
        <w:t>及土地利用规划图</w:t>
      </w:r>
    </w:p>
    <w:p>
      <w:pPr>
        <w:pStyle w:val="6"/>
        <w:rPr>
          <w:rFonts w:hint="eastAsia"/>
          <w:lang w:eastAsia="zh-CN"/>
        </w:rPr>
      </w:pPr>
      <w:r>
        <w:rPr>
          <w:rFonts w:hint="eastAsia"/>
          <w:lang w:eastAsia="zh-CN"/>
        </w:rPr>
        <w:t>附图4 项目分区防渗图</w:t>
      </w:r>
    </w:p>
    <w:p>
      <w:pPr>
        <w:pStyle w:val="6"/>
        <w:rPr>
          <w:rFonts w:hint="eastAsia"/>
        </w:rPr>
      </w:pPr>
      <w:r>
        <w:rPr>
          <w:rFonts w:hint="eastAsia"/>
        </w:rPr>
        <w:t>附图5 项目纳污范围及管网布设图</w:t>
      </w:r>
    </w:p>
    <w:p>
      <w:pPr>
        <w:rPr>
          <w:rFonts w:hint="eastAsia"/>
        </w:rPr>
      </w:pPr>
      <w:r>
        <w:rPr>
          <w:rFonts w:hint="eastAsia"/>
        </w:rPr>
        <w:t>附图6 项目外环境关系图</w:t>
      </w:r>
    </w:p>
    <w:p>
      <w:pPr>
        <w:pStyle w:val="6"/>
        <w:rPr>
          <w:rFonts w:hint="eastAsia"/>
        </w:rPr>
      </w:pPr>
      <w:r>
        <w:rPr>
          <w:rFonts w:hint="eastAsia"/>
        </w:rPr>
        <w:t>附图7 厂区总平面布置图</w:t>
      </w:r>
    </w:p>
    <w:p>
      <w:pPr>
        <w:pStyle w:val="6"/>
        <w:rPr>
          <w:rFonts w:hint="eastAsia"/>
        </w:rPr>
      </w:pPr>
      <w:r>
        <w:rPr>
          <w:rFonts w:hint="eastAsia"/>
        </w:rPr>
        <w:t>附图8 项目评价范围图</w:t>
      </w:r>
    </w:p>
    <w:p>
      <w:pPr>
        <w:pStyle w:val="6"/>
        <w:rPr>
          <w:rFonts w:hint="eastAsia"/>
        </w:rPr>
      </w:pPr>
      <w:r>
        <w:rPr>
          <w:rFonts w:hint="eastAsia"/>
        </w:rPr>
        <w:t>附图9 项目现场照片图</w:t>
      </w:r>
    </w:p>
    <w:p>
      <w:pPr>
        <w:pStyle w:val="6"/>
        <w:rPr>
          <w:rFonts w:hint="eastAsia"/>
          <w:color w:val="auto"/>
          <w:u w:val="single"/>
          <w:lang w:val="en-US" w:eastAsia="zh-CN"/>
        </w:rPr>
      </w:pPr>
      <w:r>
        <w:rPr>
          <w:rFonts w:hint="eastAsia"/>
          <w:color w:val="auto"/>
          <w:u w:val="single"/>
          <w:lang w:val="en-US" w:eastAsia="zh-CN"/>
        </w:rPr>
        <w:t>附图10 项目周边水系图</w:t>
      </w:r>
    </w:p>
    <w:p>
      <w:pPr>
        <w:rPr>
          <w:rFonts w:hint="default"/>
          <w:color w:val="auto"/>
          <w:u w:val="single"/>
          <w:lang w:val="en-US" w:eastAsia="zh-CN"/>
        </w:rPr>
      </w:pPr>
      <w:r>
        <w:rPr>
          <w:rFonts w:hint="default"/>
          <w:color w:val="auto"/>
          <w:u w:val="single"/>
          <w:lang w:val="en-US" w:eastAsia="zh-CN"/>
        </w:rPr>
        <w:t>附图11 提升泵站周边环保目标图</w:t>
      </w:r>
    </w:p>
    <w:p>
      <w:pPr>
        <w:pStyle w:val="2"/>
        <w:rPr>
          <w:rFonts w:hint="eastAsia"/>
        </w:rPr>
      </w:pPr>
    </w:p>
    <w:p>
      <w:pPr>
        <w:rPr>
          <w:rFonts w:hint="eastAsia" w:eastAsia="宋体"/>
          <w:lang w:eastAsia="zh-CN"/>
        </w:rPr>
        <w:sectPr>
          <w:pgSz w:w="11850" w:h="16790"/>
          <w:pgMar w:top="1440" w:right="1644" w:bottom="1440" w:left="1800" w:header="720" w:footer="720" w:gutter="0"/>
          <w:pgBorders>
            <w:top w:val="none" w:sz="0" w:space="0"/>
            <w:left w:val="none" w:sz="0" w:space="0"/>
            <w:bottom w:val="none" w:sz="0" w:space="0"/>
            <w:right w:val="none" w:sz="0" w:space="0"/>
          </w:pgBorders>
          <w:pgNumType w:fmt="upperRoman" w:start="1"/>
          <w:cols w:space="720" w:num="1"/>
          <w:docGrid w:linePitch="326" w:charSpace="0"/>
        </w:sectPr>
      </w:pPr>
      <w:r>
        <w:rPr>
          <w:rFonts w:hint="eastAsia"/>
          <w:lang w:eastAsia="zh-CN"/>
        </w:rPr>
        <w:t>附表：建设项目环境影响报告书审批基础信息表</w:t>
      </w:r>
    </w:p>
    <w:bookmarkEnd w:id="0"/>
    <w:bookmarkEnd w:id="1"/>
    <w:bookmarkEnd w:id="2"/>
    <w:p>
      <w:pPr>
        <w:pStyle w:val="7"/>
        <w:ind w:firstLine="0" w:firstLineChars="0"/>
        <w:rPr>
          <w:rFonts w:hint="eastAsia"/>
          <w:color w:val="000000"/>
          <w:kern w:val="0"/>
        </w:rPr>
      </w:pPr>
      <w:bookmarkStart w:id="3" w:name="_Toc29308637"/>
      <w:bookmarkStart w:id="4" w:name="_Toc2779"/>
      <w:r>
        <w:rPr>
          <w:rFonts w:hint="eastAsia"/>
          <w:color w:val="000000"/>
          <w:kern w:val="0"/>
        </w:rPr>
        <w:t>概述</w:t>
      </w:r>
      <w:bookmarkEnd w:id="3"/>
      <w:bookmarkEnd w:id="4"/>
    </w:p>
    <w:p>
      <w:pPr>
        <w:pStyle w:val="86"/>
        <w:numPr>
          <w:ilvl w:val="0"/>
          <w:numId w:val="3"/>
        </w:numPr>
        <w:spacing w:before="163" w:after="163"/>
        <w:rPr>
          <w:rFonts w:hint="eastAsia"/>
          <w:color w:val="000000"/>
          <w:kern w:val="0"/>
          <w:lang w:eastAsia="zh-CN"/>
        </w:rPr>
      </w:pPr>
      <w:bookmarkStart w:id="5" w:name="_Toc14714"/>
      <w:r>
        <w:rPr>
          <w:rFonts w:hint="eastAsia"/>
          <w:color w:val="000000"/>
          <w:kern w:val="0"/>
          <w:lang w:eastAsia="zh-CN"/>
        </w:rPr>
        <w:t>项目由来</w:t>
      </w:r>
      <w:bookmarkEnd w:id="5"/>
    </w:p>
    <w:p>
      <w:pPr>
        <w:widowControl w:val="0"/>
        <w:suppressAutoHyphens/>
        <w:wordWrap w:val="0"/>
        <w:topLinePunct/>
        <w:ind w:firstLine="480"/>
        <w:rPr>
          <w:rFonts w:hint="eastAsia"/>
          <w:color w:val="000000"/>
          <w:lang w:eastAsia="zh-CN"/>
        </w:rPr>
      </w:pPr>
      <w:bookmarkStart w:id="6" w:name="_Hlk89853651"/>
      <w:r>
        <w:rPr>
          <w:rFonts w:hint="eastAsia"/>
          <w:color w:val="000000"/>
          <w:lang w:eastAsia="zh-CN"/>
        </w:rPr>
        <w:t>花垣产业开发区成立于2004年，前身为花垣县工业园（花垣县工业集中区），2014年获批省级工业集中区。花垣产业开发区</w:t>
      </w:r>
      <w:r>
        <w:rPr>
          <w:rFonts w:hint="eastAsia"/>
          <w:color w:val="000000"/>
        </w:rPr>
        <w:t>的产业定位</w:t>
      </w:r>
      <w:r>
        <w:rPr>
          <w:rFonts w:hint="eastAsia"/>
          <w:color w:val="000000"/>
          <w:lang w:eastAsia="zh-CN"/>
        </w:rPr>
        <w:t>为</w:t>
      </w:r>
      <w:r>
        <w:rPr>
          <w:rFonts w:hint="eastAsia"/>
          <w:color w:val="000000"/>
        </w:rPr>
        <w:t>重点发展锰、锌矿产品的新材料产业、环保复合型产业、农副产品加工产业、生物制药</w:t>
      </w:r>
      <w:r>
        <w:rPr>
          <w:rFonts w:hint="eastAsia"/>
          <w:i w:val="0"/>
          <w:iCs w:val="0"/>
          <w:color w:val="000000"/>
        </w:rPr>
        <w:t>产业等，积极发展与园区配套的物流、仓储等相关产业为基础。</w:t>
      </w:r>
      <w:r>
        <w:rPr>
          <w:rFonts w:hint="eastAsia"/>
          <w:i w:val="0"/>
          <w:iCs w:val="0"/>
          <w:color w:val="000000"/>
          <w:u w:val="single"/>
          <w:lang w:eastAsia="zh-CN"/>
        </w:rPr>
        <w:t>园</w:t>
      </w:r>
      <w:r>
        <w:rPr>
          <w:rFonts w:hint="eastAsia"/>
          <w:i w:val="0"/>
          <w:iCs w:val="0"/>
          <w:color w:val="000000"/>
          <w:u w:val="single"/>
        </w:rPr>
        <w:t>区现已建设一座</w:t>
      </w:r>
      <w:r>
        <w:rPr>
          <w:rFonts w:hint="eastAsia"/>
          <w:color w:val="000000"/>
          <w:u w:val="single"/>
        </w:rPr>
        <w:t>工业园综合污水处理厂主要针对园区工业废水</w:t>
      </w:r>
      <w:r>
        <w:rPr>
          <w:rFonts w:hint="eastAsia"/>
          <w:color w:val="000000"/>
          <w:u w:val="single"/>
          <w:lang w:eastAsia="zh-CN"/>
        </w:rPr>
        <w:t>（非重金属）</w:t>
      </w:r>
      <w:r>
        <w:rPr>
          <w:rFonts w:hint="eastAsia"/>
          <w:color w:val="000000"/>
          <w:u w:val="single"/>
        </w:rPr>
        <w:t>及生活污水进行处理，</w:t>
      </w:r>
      <w:r>
        <w:rPr>
          <w:rFonts w:hint="eastAsia"/>
          <w:color w:val="000000"/>
          <w:u w:val="single"/>
          <w:lang w:eastAsia="zh-CN"/>
        </w:rPr>
        <w:t>并已建设一座重金属污水处理站</w:t>
      </w:r>
      <w:r>
        <w:rPr>
          <w:rFonts w:hint="eastAsia"/>
          <w:color w:val="000000"/>
          <w:u w:val="single"/>
        </w:rPr>
        <w:t>。</w:t>
      </w:r>
      <w:r>
        <w:rPr>
          <w:rFonts w:hint="eastAsia"/>
          <w:color w:val="000000"/>
          <w:u w:val="single"/>
          <w:lang w:eastAsia="zh-CN"/>
        </w:rPr>
        <w:t>本项目重金属污水处理站作为花垣县工业集中区污水处理厂的预处理设施对涉重企业排放的含重金属废水进行处理。</w:t>
      </w:r>
    </w:p>
    <w:p>
      <w:pPr>
        <w:widowControl w:val="0"/>
        <w:suppressAutoHyphens/>
        <w:wordWrap w:val="0"/>
        <w:topLinePunct/>
        <w:ind w:firstLine="480"/>
        <w:rPr>
          <w:rFonts w:hint="eastAsia"/>
          <w:color w:val="000000"/>
          <w:u w:val="single"/>
          <w:lang w:eastAsia="zh-CN"/>
        </w:rPr>
      </w:pPr>
      <w:r>
        <w:rPr>
          <w:rFonts w:hint="eastAsia"/>
          <w:color w:val="000000"/>
          <w:u w:val="single"/>
          <w:lang w:eastAsia="zh-CN"/>
        </w:rPr>
        <w:t>根据调查，现花垣产业开发区已入驻的涉重企业有</w:t>
      </w:r>
      <w:r>
        <w:rPr>
          <w:rFonts w:hint="eastAsia"/>
          <w:color w:val="000000"/>
          <w:u w:val="single"/>
          <w:lang w:val="en-US" w:eastAsia="zh-CN"/>
        </w:rPr>
        <w:t>4家，目前4家涉重企业重金属废水正常情况下均经厂内自建的污水处理站处理回用于生产，不外排。现已入驻的涉重企业重金属废水回用前提是企业正常生产情况下，考虑到生产线事故状态企业无法正常生产，涉重企业厂区的渣场废水、初期雨水等含重金属废水仍然会产生，重金属废水不能及时得到回用，需进行排放，存在一定的环境风险；且综合考虑花垣县产业开发区产业定位为重点发展锰、锌矿产品，园区后期也会引进涉重企业，存在重金属废水外排的情况。考虑到重金属具有积累性，会积累于土壤、河底底泥、生物体中，危害较大。</w:t>
      </w:r>
      <w:r>
        <w:rPr>
          <w:rFonts w:hint="eastAsia"/>
          <w:color w:val="000000"/>
          <w:u w:val="single"/>
        </w:rPr>
        <w:t>因</w:t>
      </w:r>
      <w:r>
        <w:rPr>
          <w:rFonts w:hint="eastAsia"/>
          <w:color w:val="auto"/>
          <w:u w:val="single"/>
        </w:rPr>
        <w:t>此，在花垣县</w:t>
      </w:r>
      <w:r>
        <w:rPr>
          <w:rFonts w:hint="eastAsia"/>
          <w:color w:val="auto"/>
          <w:u w:val="single"/>
          <w:lang w:eastAsia="zh-CN"/>
        </w:rPr>
        <w:t>产业开发区</w:t>
      </w:r>
      <w:r>
        <w:rPr>
          <w:rFonts w:hint="eastAsia"/>
          <w:color w:val="auto"/>
          <w:u w:val="single"/>
        </w:rPr>
        <w:t>西部新规划区北部卡地村建设一座3000m</w:t>
      </w:r>
      <w:r>
        <w:rPr>
          <w:rFonts w:hint="eastAsia"/>
          <w:color w:val="auto"/>
          <w:u w:val="single"/>
          <w:vertAlign w:val="superscript"/>
        </w:rPr>
        <w:t>3</w:t>
      </w:r>
      <w:r>
        <w:rPr>
          <w:rFonts w:hint="eastAsia"/>
          <w:color w:val="auto"/>
          <w:u w:val="single"/>
        </w:rPr>
        <w:t>/d重金属污水处理站，</w:t>
      </w:r>
      <w:r>
        <w:rPr>
          <w:rFonts w:hint="eastAsia"/>
          <w:color w:val="auto"/>
          <w:u w:val="single"/>
          <w:lang w:eastAsia="zh-CN"/>
        </w:rPr>
        <w:t>用于</w:t>
      </w:r>
      <w:r>
        <w:rPr>
          <w:rFonts w:hint="eastAsia"/>
          <w:color w:val="auto"/>
          <w:u w:val="single"/>
        </w:rPr>
        <w:t>收集</w:t>
      </w:r>
      <w:r>
        <w:rPr>
          <w:rFonts w:hint="eastAsia"/>
          <w:color w:val="auto"/>
          <w:u w:val="single"/>
          <w:lang w:eastAsia="zh-CN"/>
        </w:rPr>
        <w:t>花垣产业开发区</w:t>
      </w:r>
      <w:r>
        <w:rPr>
          <w:rFonts w:hint="eastAsia"/>
          <w:color w:val="auto"/>
          <w:u w:val="single"/>
          <w:lang w:val="en-US" w:eastAsia="zh-CN"/>
        </w:rPr>
        <w:t>4</w:t>
      </w:r>
      <w:r>
        <w:rPr>
          <w:rFonts w:hint="eastAsia"/>
          <w:color w:val="auto"/>
          <w:u w:val="single"/>
        </w:rPr>
        <w:t>家</w:t>
      </w:r>
      <w:r>
        <w:rPr>
          <w:rFonts w:hint="eastAsia"/>
          <w:color w:val="auto"/>
          <w:u w:val="single"/>
          <w:lang w:eastAsia="zh-CN"/>
        </w:rPr>
        <w:t>涉重</w:t>
      </w:r>
      <w:r>
        <w:rPr>
          <w:rFonts w:hint="eastAsia"/>
          <w:color w:val="auto"/>
          <w:u w:val="single"/>
        </w:rPr>
        <w:t>企业</w:t>
      </w:r>
      <w:r>
        <w:rPr>
          <w:rFonts w:hint="eastAsia"/>
          <w:color w:val="auto"/>
          <w:u w:val="single"/>
          <w:lang w:eastAsia="zh-CN"/>
        </w:rPr>
        <w:t>在生产线事故情况下，涉重废水无法回用需应急</w:t>
      </w:r>
      <w:r>
        <w:rPr>
          <w:rFonts w:hint="eastAsia"/>
          <w:color w:val="auto"/>
          <w:u w:val="single"/>
        </w:rPr>
        <w:t>排放的</w:t>
      </w:r>
      <w:r>
        <w:rPr>
          <w:rFonts w:hint="eastAsia"/>
          <w:color w:val="auto"/>
          <w:u w:val="single"/>
          <w:lang w:eastAsia="zh-CN"/>
        </w:rPr>
        <w:t>重金属</w:t>
      </w:r>
      <w:r>
        <w:rPr>
          <w:rFonts w:hint="eastAsia"/>
          <w:color w:val="auto"/>
          <w:u w:val="single"/>
        </w:rPr>
        <w:t>废水</w:t>
      </w:r>
      <w:r>
        <w:rPr>
          <w:rFonts w:hint="eastAsia"/>
          <w:color w:val="auto"/>
          <w:u w:val="single"/>
          <w:lang w:eastAsia="zh-CN"/>
        </w:rPr>
        <w:t>，以及后期入驻的需排放的涉重企业的重金属废水，</w:t>
      </w:r>
      <w:r>
        <w:rPr>
          <w:rFonts w:hint="eastAsia"/>
          <w:color w:val="auto"/>
          <w:u w:val="single"/>
        </w:rPr>
        <w:t>实现该园区重金属减排及环境风险防控</w:t>
      </w:r>
      <w:r>
        <w:rPr>
          <w:rFonts w:hint="eastAsia"/>
          <w:color w:val="000000"/>
          <w:u w:val="single"/>
          <w:lang w:eastAsia="zh-CN"/>
        </w:rPr>
        <w:t>。</w:t>
      </w:r>
    </w:p>
    <w:p>
      <w:pPr>
        <w:widowControl w:val="0"/>
        <w:suppressAutoHyphens/>
        <w:wordWrap w:val="0"/>
        <w:topLinePunct/>
        <w:ind w:firstLine="480"/>
        <w:rPr>
          <w:rFonts w:hint="eastAsia"/>
          <w:u w:val="single"/>
          <w:lang w:eastAsia="zh-CN"/>
        </w:rPr>
      </w:pPr>
      <w:r>
        <w:rPr>
          <w:rFonts w:hint="eastAsia"/>
          <w:color w:val="000000"/>
          <w:lang w:eastAsia="zh-CN"/>
        </w:rPr>
        <w:t>花垣县工业集中区重金属废水处理工程采用“化学混凝沉淀分离+石英砂过滤”工艺。项目建设3000m</w:t>
      </w:r>
      <w:r>
        <w:rPr>
          <w:rFonts w:hint="eastAsia"/>
          <w:color w:val="000000"/>
          <w:vertAlign w:val="superscript"/>
          <w:lang w:eastAsia="zh-CN"/>
        </w:rPr>
        <w:t>3</w:t>
      </w:r>
      <w:r>
        <w:rPr>
          <w:rFonts w:hint="eastAsia"/>
          <w:color w:val="000000"/>
          <w:lang w:eastAsia="zh-CN"/>
        </w:rPr>
        <w:t>/d废水处理站一座，配套建设管网2</w:t>
      </w:r>
      <w:r>
        <w:rPr>
          <w:rFonts w:hint="eastAsia"/>
          <w:color w:val="000000"/>
          <w:lang w:val="en-US" w:eastAsia="zh-CN"/>
        </w:rPr>
        <w:t>100</w:t>
      </w:r>
      <w:r>
        <w:rPr>
          <w:rFonts w:hint="eastAsia"/>
          <w:color w:val="000000"/>
          <w:lang w:eastAsia="zh-CN"/>
        </w:rPr>
        <w:t>m。项目上游企业均配套了污水处理设施，企业产生的废水经过企业的污水处理站处理后达到本项目污水处理站接管标准，含一类污染物（铬、铅）的废水经处理在车间排口达到《污水综合排放标准》( GB8978-1996)表1最高允许排放浓度要求后方可接管；废水处理达标后</w:t>
      </w:r>
      <w:r>
        <w:rPr>
          <w:rFonts w:hint="eastAsia"/>
          <w:lang w:eastAsia="zh-CN"/>
        </w:rPr>
        <w:t>接入花垣工业集中区污水处理厂。</w:t>
      </w:r>
      <w:r>
        <w:rPr>
          <w:rFonts w:hint="eastAsia"/>
          <w:u w:val="single"/>
          <w:lang w:eastAsia="zh-CN"/>
        </w:rPr>
        <w:t>本项目主要针对涉重企业排放的废水中重金属的去除，废水中COD、BOD、氨氮、SS等常规指标进入花垣工业集中区污水处理厂进一步处理。</w:t>
      </w:r>
    </w:p>
    <w:p>
      <w:pPr>
        <w:widowControl w:val="0"/>
        <w:suppressAutoHyphens/>
        <w:wordWrap w:val="0"/>
        <w:topLinePunct/>
        <w:ind w:firstLine="480"/>
        <w:rPr>
          <w:color w:val="000000"/>
        </w:rPr>
      </w:pPr>
      <w:r>
        <w:rPr>
          <w:rFonts w:hint="eastAsia"/>
          <w:color w:val="000000"/>
          <w:lang w:eastAsia="zh-CN"/>
        </w:rPr>
        <w:t>项目于2016年9月编制了《花垣县工业集中区重金属废水处理工程技术方案》并于2016年12月9日取得了原湖南省环境保护厅同意本项目实施的意见，批复文号为：“湘环函【2016】537”号；2017年编制了《花垣县工业集中区重金属废水处理工程建设项目初步设计》并于2017年12月1号获得花垣县住房和城乡建设局审批文件“花住建初批【2017】41号文”。本项目于</w:t>
      </w:r>
      <w:r>
        <w:rPr>
          <w:rFonts w:hint="eastAsia"/>
          <w:color w:val="000000"/>
        </w:rPr>
        <w:t>2017年</w:t>
      </w:r>
      <w:r>
        <w:rPr>
          <w:rFonts w:hint="eastAsia"/>
          <w:color w:val="000000"/>
          <w:lang w:eastAsia="zh-CN"/>
        </w:rPr>
        <w:t>开始</w:t>
      </w:r>
      <w:r>
        <w:rPr>
          <w:rFonts w:hint="eastAsia"/>
          <w:color w:val="000000"/>
        </w:rPr>
        <w:t>建设，2019年12月建成</w:t>
      </w:r>
      <w:r>
        <w:rPr>
          <w:rFonts w:hint="eastAsia"/>
          <w:color w:val="000000"/>
          <w:lang w:eastAsia="zh-CN"/>
        </w:rPr>
        <w:t>，项目于</w:t>
      </w:r>
      <w:r>
        <w:rPr>
          <w:rFonts w:hint="eastAsia"/>
          <w:color w:val="000000"/>
          <w:lang w:val="en-US" w:eastAsia="zh-CN"/>
        </w:rPr>
        <w:t>2020年9月</w:t>
      </w:r>
      <w:r>
        <w:rPr>
          <w:rFonts w:hint="eastAsia"/>
          <w:color w:val="000000"/>
          <w:lang w:eastAsia="zh-CN"/>
        </w:rPr>
        <w:t>完成了工程验收，现未正式运营</w:t>
      </w:r>
      <w:r>
        <w:rPr>
          <w:color w:val="000000"/>
        </w:rPr>
        <w:t>。</w:t>
      </w:r>
    </w:p>
    <w:p>
      <w:pPr>
        <w:widowControl w:val="0"/>
        <w:suppressAutoHyphens/>
        <w:wordWrap w:val="0"/>
        <w:topLinePunct/>
        <w:ind w:firstLine="480"/>
        <w:rPr>
          <w:rFonts w:hint="eastAsia"/>
          <w:color w:val="000000"/>
          <w:lang w:eastAsia="zh-CN"/>
        </w:rPr>
      </w:pPr>
      <w:r>
        <w:rPr>
          <w:rFonts w:hint="eastAsia"/>
          <w:color w:val="000000"/>
          <w:lang w:eastAsia="zh-CN"/>
        </w:rPr>
        <w:t>根据《中华人民共和国环境保护法》、《中华人民共和国环境影响评价法》、《建设项目环境保护管理条例》等有关规定，凡是从事对环境影响的建设项目都需要执行环境影响评价制度，本项目为工业污水处理站建设项目，对照《建设项目环境影响评价分类管理名录》（生态环境部令第16号2021年版），项目属于“四十三、水的生产和供应业—95.污水处理及其再生利用—新建、扩建日处理10万吨及以上城乡污水处理的；新建、扩建工业废水集中处理的”类别中的新建工业废水集中处理的，须编制环境影响报告书，</w:t>
      </w:r>
      <w:r>
        <w:rPr>
          <w:rFonts w:hint="eastAsia"/>
          <w:color w:val="auto"/>
          <w:lang w:eastAsia="zh-CN"/>
        </w:rPr>
        <w:t>花垣县城乡农业综合开发投资有限公司</w:t>
      </w:r>
      <w:r>
        <w:rPr>
          <w:rFonts w:hint="eastAsia"/>
          <w:color w:val="000000"/>
          <w:lang w:eastAsia="zh-CN"/>
        </w:rPr>
        <w:t>委托长沙博大环保科技有限公司承担花垣县工业集中区重金属废水处理工程的环境影响报告书编制工作。</w:t>
      </w:r>
    </w:p>
    <w:p>
      <w:pPr>
        <w:widowControl w:val="0"/>
        <w:suppressAutoHyphens/>
        <w:wordWrap w:val="0"/>
        <w:topLinePunct/>
        <w:ind w:firstLine="480"/>
        <w:rPr>
          <w:rFonts w:hint="eastAsia"/>
          <w:color w:val="000000"/>
          <w:lang w:eastAsia="zh-CN"/>
        </w:rPr>
      </w:pPr>
      <w:r>
        <w:rPr>
          <w:rFonts w:hint="eastAsia"/>
          <w:color w:val="000000"/>
          <w:lang w:eastAsia="zh-CN"/>
        </w:rPr>
        <w:t>在接受委托单位的委托后，我单位详细研究了项目的设计方案，对项目现场及周边环境进行了详细的调查，最终确定本项目的环评技术路线和主要内容。</w:t>
      </w:r>
    </w:p>
    <w:p>
      <w:pPr>
        <w:widowControl w:val="0"/>
        <w:suppressAutoHyphens/>
        <w:wordWrap w:val="0"/>
        <w:topLinePunct/>
        <w:ind w:firstLine="480"/>
        <w:rPr>
          <w:rFonts w:hint="eastAsia"/>
          <w:color w:val="000000"/>
          <w:u w:val="single"/>
          <w:lang w:eastAsia="zh-CN"/>
        </w:rPr>
      </w:pPr>
      <w:r>
        <w:rPr>
          <w:rFonts w:hint="eastAsia"/>
          <w:color w:val="000000"/>
          <w:u w:val="single"/>
          <w:lang w:eastAsia="zh-CN"/>
        </w:rPr>
        <w:t>湘西州生态环境局于2022年6月23日组织召开了该项目环境影响评价技术评审会。该项目目前已经完成了环境现状监测、公众参与调查、网上公示、技术评审会等工作，其中建设单位均为湘西州生态环境局花垣分局。考虑到该项目在实际运营时湘西州生态环境局花垣分局为该项目的环境监管单位，为了更好的明确本项目的环境管理职责，故湘西州生态环境局花垣分局将该项目移交我公司</w:t>
      </w:r>
      <w:r>
        <w:rPr>
          <w:rFonts w:hint="eastAsia"/>
          <w:color w:val="auto"/>
          <w:u w:val="single"/>
          <w:lang w:eastAsia="zh-CN"/>
        </w:rPr>
        <w:t>花垣县城乡农业综合开发投资有限公司</w:t>
      </w:r>
      <w:r>
        <w:rPr>
          <w:rFonts w:hint="eastAsia"/>
          <w:color w:val="000000"/>
          <w:u w:val="single"/>
          <w:lang w:eastAsia="zh-CN"/>
        </w:rPr>
        <w:t>进行运营管理。花垣县工业集中区重金属废水处理工程主体由“湘西州生态环境局花垣分局”变更为“花垣县城乡农业综合开发投资有限公司”，项目选址、生产工艺、建设内容和规模保持不变。项目前期进行的相关工作建设单位仍沿用原湘西州生态环境局花垣分局，后续上报资料、运营由花垣县城乡农业综合开发投资有限公司负责。</w:t>
      </w:r>
    </w:p>
    <w:bookmarkEnd w:id="6"/>
    <w:p>
      <w:pPr>
        <w:pStyle w:val="86"/>
        <w:spacing w:before="163" w:after="163"/>
        <w:rPr>
          <w:rFonts w:hint="eastAsia"/>
          <w:color w:val="000000"/>
          <w:kern w:val="0"/>
        </w:rPr>
      </w:pPr>
      <w:bookmarkStart w:id="7" w:name="_Toc29308639"/>
      <w:bookmarkStart w:id="8" w:name="_Toc12486"/>
      <w:r>
        <w:rPr>
          <w:rFonts w:hint="eastAsia"/>
          <w:color w:val="000000"/>
          <w:kern w:val="0"/>
        </w:rPr>
        <w:t>2、</w:t>
      </w:r>
      <w:r>
        <w:rPr>
          <w:rFonts w:hint="eastAsia"/>
          <w:color w:val="000000"/>
          <w:kern w:val="0"/>
          <w:lang w:eastAsia="zh-CN"/>
        </w:rPr>
        <w:t>建设项目特点</w:t>
      </w:r>
      <w:bookmarkEnd w:id="7"/>
      <w:bookmarkEnd w:id="8"/>
      <w:bookmarkStart w:id="9" w:name="_Toc489349947"/>
      <w:bookmarkStart w:id="10" w:name="_Toc489350098"/>
      <w:bookmarkStart w:id="11" w:name="_Toc489349330"/>
    </w:p>
    <w:p>
      <w:pPr>
        <w:ind w:firstLine="480"/>
        <w:rPr>
          <w:rFonts w:hint="eastAsia"/>
          <w:color w:val="auto"/>
          <w:kern w:val="0"/>
          <w:lang w:eastAsia="zh-CN"/>
        </w:rPr>
      </w:pPr>
      <w:r>
        <w:rPr>
          <w:rFonts w:hint="eastAsia"/>
          <w:color w:val="auto"/>
          <w:kern w:val="0"/>
          <w:lang w:eastAsia="zh-CN"/>
        </w:rPr>
        <w:t>（</w:t>
      </w:r>
      <w:r>
        <w:rPr>
          <w:rFonts w:hint="eastAsia"/>
          <w:color w:val="auto"/>
          <w:kern w:val="0"/>
          <w:lang w:val="en-US" w:eastAsia="zh-CN"/>
        </w:rPr>
        <w:t>1</w:t>
      </w:r>
      <w:r>
        <w:rPr>
          <w:rFonts w:hint="eastAsia"/>
          <w:color w:val="auto"/>
          <w:kern w:val="0"/>
          <w:lang w:eastAsia="zh-CN"/>
        </w:rPr>
        <w:t>）本项目施工期已经完毕，本次仅对施工期进行回顾性分析</w:t>
      </w:r>
    </w:p>
    <w:p>
      <w:pPr>
        <w:ind w:firstLine="480"/>
        <w:rPr>
          <w:rFonts w:hint="eastAsia" w:ascii="Times New Roman" w:hAnsi="Times New Roman" w:eastAsia="宋体" w:cs="Times New Roman"/>
          <w:color w:val="auto"/>
          <w:kern w:val="0"/>
          <w:lang w:eastAsia="zh-CN"/>
        </w:rPr>
      </w:pPr>
      <w:r>
        <w:rPr>
          <w:rFonts w:hint="eastAsia" w:ascii="Times New Roman" w:hAnsi="Times New Roman" w:eastAsia="宋体" w:cs="Times New Roman"/>
          <w:color w:val="auto"/>
          <w:kern w:val="0"/>
          <w:lang w:eastAsia="zh-CN"/>
        </w:rPr>
        <w:t>（</w:t>
      </w:r>
      <w:r>
        <w:rPr>
          <w:rFonts w:hint="eastAsia" w:ascii="Times New Roman" w:hAnsi="Times New Roman" w:eastAsia="宋体" w:cs="Times New Roman"/>
          <w:color w:val="auto"/>
          <w:kern w:val="0"/>
          <w:lang w:val="en-US" w:eastAsia="zh-CN"/>
        </w:rPr>
        <w:t>2</w:t>
      </w:r>
      <w:r>
        <w:rPr>
          <w:rFonts w:hint="eastAsia" w:ascii="Times New Roman" w:hAnsi="Times New Roman" w:eastAsia="宋体" w:cs="Times New Roman"/>
          <w:color w:val="auto"/>
          <w:kern w:val="0"/>
          <w:lang w:eastAsia="zh-CN"/>
        </w:rPr>
        <w:t>）</w:t>
      </w:r>
      <w:r>
        <w:rPr>
          <w:rFonts w:hint="eastAsia" w:eastAsia="宋体" w:cs="Times New Roman"/>
          <w:color w:val="auto"/>
          <w:kern w:val="0"/>
          <w:lang w:eastAsia="zh-CN"/>
        </w:rPr>
        <w:t>花垣产业开发区</w:t>
      </w:r>
      <w:r>
        <w:rPr>
          <w:rFonts w:hint="eastAsia" w:ascii="Times New Roman" w:hAnsi="Times New Roman" w:eastAsia="宋体" w:cs="Times New Roman"/>
          <w:color w:val="auto"/>
          <w:kern w:val="0"/>
          <w:lang w:eastAsia="zh-CN"/>
        </w:rPr>
        <w:t>含重金属废水处理工程已纳入《湘渝黔“锰三角”湖南区域重金属污染防治实施方案（2015年-2017年）》。该项目的实施可使工业集中区内的含重金属废水单独收集和深度处理，对该园区重金属减排、环境风险防控等作用明显。</w:t>
      </w:r>
    </w:p>
    <w:p>
      <w:pPr>
        <w:ind w:firstLine="480"/>
        <w:rPr>
          <w:rFonts w:hint="eastAsia" w:ascii="Times New Roman" w:hAnsi="Times New Roman" w:eastAsia="宋体" w:cs="Times New Roman"/>
          <w:color w:val="auto"/>
          <w:kern w:val="0"/>
          <w:lang w:eastAsia="zh-CN"/>
        </w:rPr>
      </w:pPr>
      <w:r>
        <w:rPr>
          <w:rFonts w:hint="eastAsia" w:ascii="Times New Roman" w:hAnsi="Times New Roman" w:eastAsia="宋体" w:cs="Times New Roman"/>
          <w:color w:val="auto"/>
          <w:kern w:val="0"/>
          <w:lang w:eastAsia="zh-CN"/>
        </w:rPr>
        <w:t>本项目的实施是整个锰三角区域环境治理工程的组成部分，能够进一步减少 进入花垣河的污</w:t>
      </w:r>
      <w:r>
        <w:rPr>
          <w:rFonts w:hint="eastAsia" w:ascii="Times New Roman" w:hAnsi="Times New Roman" w:eastAsia="宋体" w:cs="Times New Roman"/>
          <w:color w:val="auto"/>
          <w:kern w:val="0"/>
          <w:u w:val="none"/>
          <w:lang w:eastAsia="zh-CN"/>
        </w:rPr>
        <w:t>染</w:t>
      </w:r>
      <w:r>
        <w:rPr>
          <w:rFonts w:hint="eastAsia" w:ascii="Times New Roman" w:hAnsi="Times New Roman" w:eastAsia="宋体" w:cs="Times New Roman"/>
          <w:color w:val="auto"/>
          <w:kern w:val="0"/>
          <w:lang w:eastAsia="zh-CN"/>
        </w:rPr>
        <w:t>源。项目的实施是立 足花垣地区两型社会建设、落实科学发展观、维护区域经济均衡发展、普及公共 服务的必要举措；项目的实施能够巩固区域的和谐与稳定、能够体现以人为本的思想，对花垣县的资源型经济起着十分关键的作用。</w:t>
      </w:r>
    </w:p>
    <w:p>
      <w:pPr>
        <w:pStyle w:val="86"/>
        <w:spacing w:before="163" w:after="163"/>
        <w:rPr>
          <w:rFonts w:hint="eastAsia"/>
          <w:color w:val="000000"/>
          <w:kern w:val="0"/>
        </w:rPr>
      </w:pPr>
      <w:bookmarkStart w:id="12" w:name="_Toc29308640"/>
      <w:bookmarkStart w:id="13" w:name="_Toc14935"/>
      <w:r>
        <w:rPr>
          <w:rFonts w:hint="eastAsia"/>
          <w:color w:val="000000"/>
          <w:kern w:val="0"/>
        </w:rPr>
        <w:t>3、</w:t>
      </w:r>
      <w:r>
        <w:rPr>
          <w:rFonts w:hint="eastAsia"/>
          <w:color w:val="000000"/>
          <w:kern w:val="0"/>
          <w:lang w:eastAsia="zh-CN"/>
        </w:rPr>
        <w:t>环境影响评价过程</w:t>
      </w:r>
      <w:bookmarkEnd w:id="12"/>
      <w:bookmarkEnd w:id="13"/>
    </w:p>
    <w:p>
      <w:pPr>
        <w:ind w:firstLine="480"/>
        <w:rPr>
          <w:rFonts w:ascii="Times New Roman" w:hAnsi="Times New Roman"/>
        </w:rPr>
      </w:pPr>
      <w:r>
        <w:rPr>
          <w:rFonts w:ascii="Times New Roman" w:hAnsi="Times New Roman"/>
        </w:rPr>
        <w:t>本公司接受建设单位委托后，随即成立了环境影响评价组，环评技术人员于202</w:t>
      </w:r>
      <w:r>
        <w:rPr>
          <w:rFonts w:hint="eastAsia" w:ascii="Times New Roman" w:hAnsi="Times New Roman"/>
          <w:lang w:val="en-US" w:eastAsia="zh-CN"/>
        </w:rPr>
        <w:t>2</w:t>
      </w:r>
      <w:r>
        <w:rPr>
          <w:rFonts w:ascii="Times New Roman" w:hAnsi="Times New Roman"/>
        </w:rPr>
        <w:t>年</w:t>
      </w:r>
      <w:r>
        <w:rPr>
          <w:rFonts w:hint="eastAsia" w:ascii="Times New Roman" w:hAnsi="Times New Roman"/>
          <w:lang w:val="en-US" w:eastAsia="zh-CN"/>
        </w:rPr>
        <w:t>3</w:t>
      </w:r>
      <w:r>
        <w:rPr>
          <w:rFonts w:ascii="Times New Roman" w:hAnsi="Times New Roman"/>
        </w:rPr>
        <w:t>月开始工作，对项目建设地点进行了多次实地勘察，收集相关资料及图件，进行项目工程分析、同类工程调查、环境质量现状监测等，并对建设项目的</w:t>
      </w:r>
      <w:r>
        <w:rPr>
          <w:rFonts w:hint="eastAsia" w:ascii="Times New Roman" w:hAnsi="Times New Roman"/>
          <w:lang w:eastAsia="zh-CN"/>
        </w:rPr>
        <w:t>施工期</w:t>
      </w:r>
      <w:r>
        <w:rPr>
          <w:rFonts w:ascii="Times New Roman" w:hAnsi="Times New Roman"/>
        </w:rPr>
        <w:t>进行调查分析，在此基础上，按照《建设项目环境影响评价技术导则》的有关要求，编制完成了《</w:t>
      </w:r>
      <w:r>
        <w:rPr>
          <w:rFonts w:hint="eastAsia" w:ascii="Times New Roman" w:hAnsi="Times New Roman"/>
          <w:lang w:eastAsia="zh-CN"/>
        </w:rPr>
        <w:t>花垣县工业集中区重金属废水处理工程</w:t>
      </w:r>
      <w:r>
        <w:rPr>
          <w:rFonts w:ascii="Times New Roman" w:hAnsi="Times New Roman"/>
        </w:rPr>
        <w:t>环境影响报告书》。</w:t>
      </w:r>
    </w:p>
    <w:p>
      <w:pPr>
        <w:ind w:firstLine="480"/>
        <w:rPr>
          <w:rFonts w:ascii="Times New Roman" w:hAnsi="Times New Roman"/>
          <w:color w:val="0000FF"/>
        </w:rPr>
      </w:pPr>
      <w:r>
        <w:rPr>
          <w:rFonts w:ascii="Times New Roman" w:hAnsi="Times New Roman"/>
        </w:rPr>
        <w:t>本项目环境影响评价过程，建设单位按国家有关规定，同步进行了公众参与调查，信息公示与公众参与调查由建设单位负</w:t>
      </w:r>
      <w:r>
        <w:rPr>
          <w:rFonts w:ascii="Times New Roman" w:hAnsi="Times New Roman"/>
          <w:color w:val="auto"/>
        </w:rPr>
        <w:t>责。</w:t>
      </w:r>
    </w:p>
    <w:p>
      <w:pPr>
        <w:ind w:firstLine="480"/>
        <w:rPr>
          <w:rFonts w:ascii="Times New Roman" w:hAnsi="Times New Roman"/>
        </w:rPr>
      </w:pPr>
      <w:r>
        <w:rPr>
          <w:rFonts w:ascii="Times New Roman" w:hAnsi="Times New Roman"/>
        </w:rPr>
        <w:t>本项目环境影响评价分三个阶段，即前期阶段、调研和工作方案阶段，分析论证和预测评价阶段，环境影响评价文件编制阶段。按照《建设项目环境影响评价技术导则 总纲》（HJ2.1-2016）的要求，本项目环评的工作程序见图1。</w:t>
      </w:r>
    </w:p>
    <w:p>
      <w:pPr>
        <w:ind w:firstLine="480"/>
        <w:rPr>
          <w:rFonts w:ascii="Times New Roman" w:hAnsi="Times New Roman"/>
        </w:rPr>
      </w:pPr>
      <w:r>
        <w:rPr>
          <w:rFonts w:ascii="Times New Roman" w:hAnsi="Times New Roman"/>
        </w:rPr>
        <w:t>环评技术路线详细工作程序见下图1。</w:t>
      </w:r>
    </w:p>
    <w:p>
      <w:pPr>
        <w:widowControl/>
        <w:spacing w:before="156" w:line="240" w:lineRule="auto"/>
        <w:ind w:firstLine="0" w:firstLineChars="0"/>
        <w:jc w:val="left"/>
        <w:rPr>
          <w:rFonts w:ascii="Times New Roman" w:hAnsi="Times New Roman"/>
        </w:rPr>
      </w:pPr>
      <w:r>
        <w:rPr>
          <w:rFonts w:ascii="Times New Roman" w:hAnsi="Times New Roman"/>
        </w:rPr>
        <w:drawing>
          <wp:inline distT="0" distB="0" distL="114300" distR="114300">
            <wp:extent cx="5257165" cy="6411595"/>
            <wp:effectExtent l="0" t="0" r="635" b="0"/>
            <wp:docPr id="3" name="图片 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64"/>
                    <pic:cNvPicPr>
                      <a:picLocks noChangeAspect="true"/>
                    </pic:cNvPicPr>
                  </pic:nvPicPr>
                  <pic:blipFill>
                    <a:blip r:embed="rId31"/>
                    <a:stretch>
                      <a:fillRect/>
                    </a:stretch>
                  </pic:blipFill>
                  <pic:spPr>
                    <a:xfrm>
                      <a:off x="0" y="0"/>
                      <a:ext cx="5257165" cy="6411595"/>
                    </a:xfrm>
                    <a:prstGeom prst="rect">
                      <a:avLst/>
                    </a:prstGeom>
                    <a:noFill/>
                    <a:ln>
                      <a:noFill/>
                    </a:ln>
                  </pic:spPr>
                </pic:pic>
              </a:graphicData>
            </a:graphic>
          </wp:inline>
        </w:drawing>
      </w:r>
    </w:p>
    <w:p>
      <w:pPr>
        <w:autoSpaceDE w:val="0"/>
        <w:autoSpaceDN w:val="0"/>
        <w:adjustRightInd w:val="0"/>
        <w:ind w:firstLine="482"/>
        <w:jc w:val="center"/>
        <w:rPr>
          <w:b/>
          <w:color w:val="000000"/>
          <w:kern w:val="0"/>
        </w:rPr>
      </w:pPr>
      <w:r>
        <w:rPr>
          <w:rFonts w:ascii="Times New Roman" w:hAnsi="Times New Roman"/>
        </w:rPr>
        <w:t>图1  环境影响评价工作程序图</w:t>
      </w:r>
    </w:p>
    <w:p>
      <w:pPr>
        <w:pStyle w:val="86"/>
        <w:spacing w:before="163" w:after="163"/>
        <w:rPr>
          <w:rFonts w:hint="eastAsia" w:ascii="Times New Roman" w:hAnsi="Times New Roman" w:eastAsia="宋体" w:cs="Times New Roman"/>
          <w:b/>
          <w:color w:val="000000"/>
          <w:kern w:val="0"/>
        </w:rPr>
      </w:pPr>
      <w:bookmarkStart w:id="14" w:name="_Toc9336"/>
      <w:bookmarkStart w:id="15" w:name="_Toc504985942"/>
      <w:bookmarkStart w:id="16" w:name="_Toc8204"/>
      <w:bookmarkStart w:id="17" w:name="_Toc1503"/>
      <w:r>
        <w:rPr>
          <w:rFonts w:hint="eastAsia" w:ascii="Times New Roman" w:hAnsi="Times New Roman" w:eastAsia="宋体" w:cs="Times New Roman"/>
          <w:b/>
          <w:color w:val="000000"/>
          <w:kern w:val="0"/>
          <w:lang w:val="en-US" w:eastAsia="zh-CN"/>
        </w:rPr>
        <w:t>4、</w:t>
      </w:r>
      <w:r>
        <w:rPr>
          <w:rFonts w:hint="eastAsia" w:ascii="Times New Roman" w:hAnsi="Times New Roman" w:eastAsia="宋体" w:cs="Times New Roman"/>
          <w:b/>
          <w:color w:val="000000"/>
          <w:kern w:val="0"/>
        </w:rPr>
        <w:t>分析判定相关情况</w:t>
      </w:r>
      <w:bookmarkEnd w:id="14"/>
      <w:bookmarkEnd w:id="15"/>
      <w:bookmarkEnd w:id="16"/>
      <w:bookmarkEnd w:id="17"/>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4"/>
        <w:rPr>
          <w:rFonts w:hint="eastAsia" w:ascii="Times New Roman" w:hAnsi="Times New Roman" w:eastAsia="宋体" w:cs="Times New Roman"/>
          <w:b/>
          <w:bCs/>
          <w:sz w:val="24"/>
          <w:u w:val="none"/>
          <w:lang w:val="en-US" w:eastAsia="zh-CN"/>
        </w:rPr>
      </w:pPr>
      <w:r>
        <w:rPr>
          <w:rFonts w:hint="eastAsia" w:ascii="Times New Roman" w:hAnsi="Times New Roman" w:eastAsia="宋体" w:cs="Times New Roman"/>
          <w:b/>
          <w:bCs/>
          <w:sz w:val="24"/>
          <w:u w:val="none"/>
          <w:lang w:val="en-US" w:eastAsia="zh-CN"/>
        </w:rPr>
        <w:t>（1）产业政策符合性</w:t>
      </w:r>
    </w:p>
    <w:p>
      <w:pPr>
        <w:adjustRightInd w:val="0"/>
        <w:ind w:firstLine="480"/>
        <w:rPr>
          <w:rFonts w:hint="eastAsia"/>
          <w:color w:val="000000"/>
          <w:kern w:val="0"/>
        </w:rPr>
      </w:pPr>
      <w:r>
        <w:rPr>
          <w:color w:val="000000"/>
          <w:kern w:val="0"/>
        </w:rPr>
        <w:t>根据国家发改委公布的《产业结构调整指导目录（2019 年本）》，</w:t>
      </w:r>
      <w:r>
        <w:rPr>
          <w:rFonts w:hint="eastAsia"/>
          <w:color w:val="000000"/>
          <w:kern w:val="0"/>
        </w:rPr>
        <w:t>“</w:t>
      </w:r>
      <w:r>
        <w:rPr>
          <w:color w:val="000000"/>
          <w:kern w:val="0"/>
        </w:rPr>
        <w:t>三废</w:t>
      </w:r>
      <w:r>
        <w:rPr>
          <w:rFonts w:hint="eastAsia"/>
          <w:color w:val="000000"/>
          <w:kern w:val="0"/>
        </w:rPr>
        <w:t>”</w:t>
      </w:r>
      <w:r>
        <w:rPr>
          <w:color w:val="000000"/>
          <w:kern w:val="0"/>
        </w:rPr>
        <w:t>综合利用与治理工程属鼓励类建设项目（</w:t>
      </w:r>
      <w:r>
        <w:rPr>
          <w:rFonts w:hint="eastAsia"/>
          <w:color w:val="000000"/>
          <w:kern w:val="0"/>
        </w:rPr>
        <w:t>四十三、环境保护与资源节约综合利用</w:t>
      </w:r>
      <w:r>
        <w:rPr>
          <w:color w:val="000000"/>
          <w:kern w:val="0"/>
        </w:rPr>
        <w:t>），本项目属于社会公益事业工程，属于国家鼓励的工程建设项目，符合国家水污染防治法规和条例及其实施细则，符合水污染防治技术政策，符合国家和地方产业及水污染治理政策。</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4"/>
        <w:rPr>
          <w:rFonts w:hint="eastAsia" w:ascii="Times New Roman" w:hAnsi="Times New Roman" w:eastAsia="宋体" w:cs="Times New Roman"/>
          <w:b/>
          <w:bCs/>
          <w:sz w:val="24"/>
          <w:u w:val="none"/>
          <w:lang w:val="en-US" w:eastAsia="zh-CN"/>
        </w:rPr>
      </w:pPr>
      <w:r>
        <w:rPr>
          <w:rFonts w:hint="eastAsia" w:ascii="Times New Roman" w:hAnsi="Times New Roman" w:eastAsia="宋体" w:cs="Times New Roman"/>
          <w:b/>
          <w:bCs/>
          <w:sz w:val="24"/>
          <w:u w:val="none"/>
          <w:lang w:val="en-US" w:eastAsia="zh-CN"/>
        </w:rPr>
        <w:t>（2）规划符合性分析</w:t>
      </w:r>
    </w:p>
    <w:p>
      <w:pPr>
        <w:ind w:firstLine="480"/>
        <w:rPr>
          <w:rFonts w:hint="eastAsia"/>
          <w:b/>
          <w:bCs/>
          <w:color w:val="000000"/>
          <w:kern w:val="0"/>
          <w:u w:val="none"/>
          <w:lang w:eastAsia="zh-CN"/>
        </w:rPr>
      </w:pPr>
      <w:r>
        <w:rPr>
          <w:rFonts w:hint="eastAsia"/>
          <w:b/>
          <w:bCs/>
          <w:color w:val="000000"/>
          <w:kern w:val="0"/>
          <w:u w:val="none"/>
        </w:rPr>
        <w:t>①</w:t>
      </w:r>
      <w:r>
        <w:rPr>
          <w:rFonts w:hint="eastAsia"/>
          <w:b/>
          <w:bCs/>
          <w:color w:val="000000"/>
          <w:kern w:val="0"/>
          <w:u w:val="none"/>
          <w:lang w:eastAsia="zh-CN"/>
        </w:rPr>
        <w:t>与</w:t>
      </w:r>
      <w:r>
        <w:rPr>
          <w:rFonts w:hint="eastAsia"/>
          <w:b/>
          <w:bCs/>
          <w:color w:val="000000"/>
          <w:kern w:val="0"/>
          <w:u w:val="none"/>
        </w:rPr>
        <w:t>《中华人民共和国国民经济和社会发展第十四个五年规划和2035年远景目标纲要》</w:t>
      </w:r>
      <w:r>
        <w:rPr>
          <w:rFonts w:hint="eastAsia"/>
          <w:b/>
          <w:bCs/>
          <w:color w:val="000000"/>
          <w:kern w:val="0"/>
          <w:u w:val="none"/>
          <w:lang w:eastAsia="zh-CN"/>
        </w:rPr>
        <w:t>的符合性分析</w:t>
      </w:r>
    </w:p>
    <w:p>
      <w:pPr>
        <w:ind w:firstLine="480"/>
        <w:rPr>
          <w:color w:val="000000"/>
          <w:kern w:val="0"/>
          <w:u w:val="none"/>
        </w:rPr>
      </w:pPr>
      <w:r>
        <w:rPr>
          <w:rFonts w:hint="eastAsia"/>
          <w:color w:val="000000"/>
          <w:kern w:val="0"/>
          <w:u w:val="none"/>
          <w:lang w:eastAsia="zh-CN"/>
        </w:rPr>
        <w:t>根据《中华人民共和国国民经济和社会发展第十四个五年规划和2035年远景目标纲要》</w:t>
      </w:r>
      <w:r>
        <w:rPr>
          <w:rFonts w:hint="eastAsia"/>
          <w:color w:val="000000"/>
          <w:kern w:val="0"/>
          <w:u w:val="none"/>
        </w:rPr>
        <w:t>“第三十八章持续改善环境质量：深入打好污染防治攻坚战，建立健全环境治理体系，推进精准、科学、依法、系统治污，协同推进减污降碳，不断改善空气、水环境质量，有效管控土壤污染风险。构建集污水、垃圾、固废、危废、医废处理处置设施和监测监管能力于一体的环境基础设施体系，形成由城市向建制镇和乡村延伸覆盖的环境基础设施网络。推进城镇污水管网全覆盖，开展污水处理差别化精准提标，推广污泥集中焚烧无害化处理，城市污泥无害化处置率达到90%，地级及以上缺水城市污水资源化利用率超过25%。”</w:t>
      </w:r>
      <w:r>
        <w:rPr>
          <w:color w:val="000000"/>
          <w:kern w:val="0"/>
          <w:u w:val="none"/>
        </w:rPr>
        <w:t xml:space="preserve"> </w:t>
      </w:r>
    </w:p>
    <w:p>
      <w:pPr>
        <w:ind w:firstLine="480"/>
        <w:rPr>
          <w:rFonts w:hint="eastAsia"/>
          <w:color w:val="000000"/>
          <w:kern w:val="0"/>
          <w:u w:val="none"/>
        </w:rPr>
      </w:pPr>
      <w:r>
        <w:rPr>
          <w:rFonts w:hint="eastAsia"/>
          <w:color w:val="000000"/>
          <w:kern w:val="0"/>
          <w:u w:val="none"/>
        </w:rPr>
        <w:t>本项目建设内容包括污水处理</w:t>
      </w:r>
      <w:r>
        <w:rPr>
          <w:rFonts w:hint="eastAsia"/>
          <w:color w:val="000000"/>
          <w:kern w:val="0"/>
          <w:u w:val="none"/>
          <w:lang w:eastAsia="zh-CN"/>
        </w:rPr>
        <w:t>站</w:t>
      </w:r>
      <w:r>
        <w:rPr>
          <w:rFonts w:hint="eastAsia"/>
          <w:color w:val="000000"/>
          <w:kern w:val="0"/>
          <w:u w:val="none"/>
        </w:rPr>
        <w:t>建设、配套管网建设，主要用于接收处理</w:t>
      </w:r>
      <w:r>
        <w:rPr>
          <w:rFonts w:hint="eastAsia"/>
          <w:color w:val="000000"/>
          <w:kern w:val="0"/>
          <w:u w:val="none"/>
          <w:lang w:eastAsia="zh-CN"/>
        </w:rPr>
        <w:t>花垣产业开发区入驻企业在应急情况下重金属废水</w:t>
      </w:r>
      <w:r>
        <w:rPr>
          <w:rFonts w:hint="eastAsia"/>
          <w:color w:val="000000"/>
          <w:kern w:val="0"/>
          <w:szCs w:val="21"/>
          <w:u w:val="none"/>
        </w:rPr>
        <w:t>，</w:t>
      </w:r>
      <w:r>
        <w:rPr>
          <w:rFonts w:hint="eastAsia"/>
          <w:color w:val="000000"/>
          <w:kern w:val="0"/>
          <w:u w:val="none"/>
        </w:rPr>
        <w:t>项目污泥脱水采用</w:t>
      </w:r>
      <w:r>
        <w:rPr>
          <w:rFonts w:hint="eastAsia"/>
          <w:color w:val="000000"/>
          <w:kern w:val="0"/>
          <w:u w:val="none"/>
          <w:lang w:eastAsia="zh-CN"/>
        </w:rPr>
        <w:t>板框压滤机</w:t>
      </w:r>
      <w:r>
        <w:rPr>
          <w:rFonts w:hint="eastAsia"/>
          <w:color w:val="000000"/>
          <w:kern w:val="0"/>
          <w:u w:val="none"/>
        </w:rPr>
        <w:t>对其进行脱水处理，脱水后的污泥属于危险废物，运营单位应按照危险废物要求进行管理，并委托具有相应资质单位进行安全处置；</w:t>
      </w:r>
      <w:r>
        <w:rPr>
          <w:rFonts w:hint="eastAsia"/>
          <w:color w:val="auto"/>
          <w:kern w:val="0"/>
          <w:u w:val="none"/>
        </w:rPr>
        <w:t>本</w:t>
      </w:r>
      <w:r>
        <w:rPr>
          <w:rFonts w:hint="eastAsia"/>
          <w:color w:val="000000"/>
          <w:kern w:val="0"/>
          <w:u w:val="none"/>
        </w:rPr>
        <w:t>项目</w:t>
      </w:r>
      <w:r>
        <w:rPr>
          <w:rFonts w:hint="eastAsia"/>
          <w:color w:val="000000"/>
          <w:kern w:val="0"/>
          <w:u w:val="none"/>
          <w:lang w:eastAsia="zh-CN"/>
        </w:rPr>
        <w:t>的建设降低了花垣产业开发区</w:t>
      </w:r>
      <w:r>
        <w:rPr>
          <w:rFonts w:hint="eastAsia"/>
          <w:color w:val="000000"/>
          <w:kern w:val="0"/>
          <w:u w:val="none"/>
        </w:rPr>
        <w:t>重金属减排及环境风险，推进了污泥无害化处理和资源化利用，实现</w:t>
      </w:r>
      <w:r>
        <w:rPr>
          <w:rFonts w:hint="eastAsia"/>
          <w:color w:val="000000"/>
          <w:kern w:val="0"/>
          <w:u w:val="none"/>
          <w:lang w:eastAsia="zh-CN"/>
        </w:rPr>
        <w:t>花垣产业开发区涉重企业事故状态下重金属废水的</w:t>
      </w:r>
      <w:r>
        <w:rPr>
          <w:rFonts w:hint="eastAsia"/>
          <w:color w:val="000000"/>
          <w:kern w:val="0"/>
          <w:u w:val="none"/>
        </w:rPr>
        <w:t>稳定达标</w:t>
      </w:r>
      <w:r>
        <w:rPr>
          <w:rFonts w:hint="eastAsia"/>
          <w:color w:val="000000"/>
          <w:kern w:val="0"/>
          <w:u w:val="none"/>
          <w:lang w:eastAsia="zh-CN"/>
        </w:rPr>
        <w:t>排放</w:t>
      </w:r>
      <w:r>
        <w:rPr>
          <w:rFonts w:hint="eastAsia"/>
          <w:color w:val="000000"/>
          <w:kern w:val="0"/>
          <w:u w:val="none"/>
        </w:rPr>
        <w:t>，符合《中华人民共和国国民经济和社会发展第十四个五年规划和2035年远景目标纲要》。</w:t>
      </w:r>
    </w:p>
    <w:p>
      <w:pPr>
        <w:ind w:firstLine="480"/>
        <w:rPr>
          <w:rFonts w:hint="eastAsia" w:eastAsia="宋体"/>
          <w:b/>
          <w:bCs/>
          <w:color w:val="auto"/>
          <w:kern w:val="0"/>
          <w:u w:val="none"/>
          <w:lang w:eastAsia="zh-CN"/>
        </w:rPr>
      </w:pPr>
      <w:r>
        <w:rPr>
          <w:rFonts w:hint="eastAsia"/>
          <w:b/>
          <w:bCs/>
          <w:color w:val="auto"/>
          <w:kern w:val="0"/>
          <w:u w:val="none"/>
        </w:rPr>
        <w:t>②</w:t>
      </w:r>
      <w:r>
        <w:rPr>
          <w:rFonts w:hint="eastAsia"/>
          <w:b/>
          <w:bCs/>
          <w:color w:val="auto"/>
          <w:kern w:val="0"/>
          <w:u w:val="none"/>
          <w:lang w:val="en-US" w:eastAsia="zh-CN"/>
        </w:rPr>
        <w:t xml:space="preserve"> 与《</w:t>
      </w:r>
      <w:r>
        <w:rPr>
          <w:rFonts w:hint="eastAsia"/>
          <w:b/>
          <w:bCs/>
          <w:color w:val="auto"/>
          <w:kern w:val="0"/>
          <w:u w:val="none"/>
        </w:rPr>
        <w:t>湖南省“十四五”重金属污染防治规划</w:t>
      </w:r>
      <w:r>
        <w:rPr>
          <w:rFonts w:hint="eastAsia"/>
          <w:b/>
          <w:bCs/>
          <w:color w:val="auto"/>
          <w:kern w:val="0"/>
          <w:u w:val="none"/>
          <w:lang w:val="en-US" w:eastAsia="zh-CN"/>
        </w:rPr>
        <w:t>》湘环发〔2022〕27号</w:t>
      </w:r>
      <w:r>
        <w:rPr>
          <w:rFonts w:hint="eastAsia"/>
          <w:b/>
          <w:bCs/>
          <w:color w:val="auto"/>
          <w:kern w:val="0"/>
          <w:u w:val="none"/>
          <w:lang w:eastAsia="zh-CN"/>
        </w:rPr>
        <w:t>的符合性分析</w:t>
      </w:r>
    </w:p>
    <w:p>
      <w:pPr>
        <w:ind w:firstLine="480"/>
        <w:rPr>
          <w:rFonts w:hint="eastAsia" w:eastAsia="宋体" w:cs="Times New Roman"/>
          <w:color w:val="auto"/>
          <w:kern w:val="0"/>
          <w:u w:val="none"/>
          <w:lang w:eastAsia="zh-CN"/>
        </w:rPr>
      </w:pPr>
      <w:r>
        <w:rPr>
          <w:rFonts w:hint="eastAsia" w:eastAsia="宋体" w:cs="Times New Roman"/>
          <w:color w:val="auto"/>
          <w:kern w:val="0"/>
          <w:u w:val="none"/>
        </w:rPr>
        <w:t>根据《湖南省“十四五”重金属污染防治规划》湘环发〔2022〕27号</w:t>
      </w:r>
      <w:r>
        <w:rPr>
          <w:rFonts w:hint="eastAsia" w:eastAsia="宋体" w:cs="Times New Roman"/>
          <w:color w:val="auto"/>
          <w:kern w:val="0"/>
          <w:u w:val="none"/>
          <w:lang w:eastAsia="zh-CN"/>
        </w:rPr>
        <w:t>可知，花垣县为湖南省“十四五”重金属污染防治重点区域，规划对重点区域防控目标为：重点区域重金属因子稳定达标，遗留涉重金属废渣污染基本整治完成，涉重金属行业重金属污染物排放达标、环境风险可控。规划主要任务中1</w:t>
      </w:r>
      <w:r>
        <w:rPr>
          <w:rFonts w:hint="eastAsia" w:eastAsia="宋体" w:cs="Times New Roman"/>
          <w:color w:val="auto"/>
          <w:kern w:val="0"/>
          <w:u w:val="none"/>
          <w:lang w:val="en-US" w:eastAsia="zh-CN"/>
        </w:rPr>
        <w:t>5.</w:t>
      </w:r>
      <w:r>
        <w:rPr>
          <w:rFonts w:hint="eastAsia" w:eastAsia="宋体" w:cs="Times New Roman"/>
          <w:color w:val="auto"/>
          <w:kern w:val="0"/>
          <w:u w:val="none"/>
          <w:lang w:eastAsia="zh-CN"/>
        </w:rPr>
        <w:t>强化工业园区污染治理。完善省级及以上工业集聚区污水集中处理设施，积极推进生态园区建设和循环化改造，加强配套管网建设，强化园区涉重金属污泥管控，减少排入外环境的重金属污染物总量。全面推行园区环境第三方治理。加快推进统一规划、统一监测、统一监管、统一运营的一体化园区环境第三方治理服务模式，到2022年底，省级以上园区基本实现环境污染第三方治理全覆盖。</w:t>
      </w:r>
    </w:p>
    <w:p>
      <w:pPr>
        <w:ind w:firstLine="480"/>
        <w:rPr>
          <w:rFonts w:hint="eastAsia" w:eastAsia="宋体"/>
          <w:b w:val="0"/>
          <w:bCs w:val="0"/>
          <w:color w:val="auto"/>
          <w:kern w:val="0"/>
          <w:u w:val="none"/>
          <w:lang w:eastAsia="zh-CN"/>
        </w:rPr>
      </w:pPr>
      <w:r>
        <w:rPr>
          <w:rFonts w:hint="eastAsia"/>
          <w:b w:val="0"/>
          <w:bCs w:val="0"/>
          <w:color w:val="auto"/>
          <w:kern w:val="0"/>
          <w:u w:val="none"/>
          <w:lang w:eastAsia="zh-CN"/>
        </w:rPr>
        <w:t>本项目位于花垣产业开发区，属于省级产业园，本项目为重金属废水集中处理设施，属于花垣工业集中区污水处理厂预处理设施，项目的建设实施可使工业集中区内的含重金属废水单独收集和深度处理，对该园区重金属减排、环境风险防控等作用明显。本项目的实施是整个锰三角区域环境治理工程的组成部分，能够进一步减少进入花垣河的污染源。项目的建设与《湖南省重金属污染综合防治“十四五”规划》相符合。</w:t>
      </w:r>
    </w:p>
    <w:p>
      <w:pPr>
        <w:ind w:firstLine="480"/>
        <w:rPr>
          <w:rFonts w:hint="eastAsia"/>
          <w:b/>
          <w:bCs/>
          <w:color w:val="auto"/>
          <w:kern w:val="0"/>
          <w:u w:val="none"/>
        </w:rPr>
      </w:pPr>
      <w:r>
        <w:rPr>
          <w:rFonts w:hint="eastAsia" w:ascii="宋体" w:hAnsi="宋体" w:eastAsia="宋体" w:cs="宋体"/>
          <w:b/>
          <w:bCs/>
          <w:color w:val="auto"/>
          <w:kern w:val="0"/>
          <w:u w:val="none"/>
          <w:lang w:eastAsia="zh-CN"/>
        </w:rPr>
        <w:t>③</w:t>
      </w:r>
      <w:r>
        <w:rPr>
          <w:rFonts w:hint="eastAsia"/>
          <w:b/>
          <w:bCs/>
          <w:color w:val="auto"/>
          <w:kern w:val="0"/>
          <w:u w:val="none"/>
          <w:lang w:eastAsia="zh-CN"/>
        </w:rPr>
        <w:t>与</w:t>
      </w:r>
      <w:r>
        <w:rPr>
          <w:b/>
          <w:bCs/>
          <w:color w:val="auto"/>
          <w:kern w:val="0"/>
          <w:u w:val="none"/>
        </w:rPr>
        <w:t>《</w:t>
      </w:r>
      <w:r>
        <w:rPr>
          <w:rFonts w:hint="eastAsia"/>
          <w:b/>
          <w:bCs/>
          <w:color w:val="auto"/>
          <w:kern w:val="0"/>
          <w:u w:val="none"/>
        </w:rPr>
        <w:t>湘西州国民经济与社会发展第十四个五年规划和二〇三五年远景目标纲要</w:t>
      </w:r>
      <w:r>
        <w:rPr>
          <w:b/>
          <w:bCs/>
          <w:color w:val="auto"/>
          <w:kern w:val="0"/>
          <w:u w:val="none"/>
        </w:rPr>
        <w:t>》</w:t>
      </w:r>
      <w:r>
        <w:rPr>
          <w:rFonts w:hint="eastAsia"/>
          <w:b/>
          <w:bCs/>
          <w:color w:val="auto"/>
          <w:kern w:val="0"/>
          <w:u w:val="none"/>
          <w:lang w:eastAsia="zh-CN"/>
        </w:rPr>
        <w:t>符合性分析</w:t>
      </w:r>
    </w:p>
    <w:p>
      <w:pPr>
        <w:ind w:firstLine="480"/>
        <w:rPr>
          <w:color w:val="000000"/>
          <w:kern w:val="0"/>
          <w:u w:val="none"/>
        </w:rPr>
      </w:pPr>
      <w:r>
        <w:rPr>
          <w:rFonts w:hint="eastAsia"/>
          <w:color w:val="000000"/>
          <w:kern w:val="0"/>
          <w:u w:val="none"/>
          <w:lang w:eastAsia="zh-CN"/>
        </w:rPr>
        <w:t>根据</w:t>
      </w:r>
      <w:r>
        <w:rPr>
          <w:rFonts w:hint="eastAsia"/>
          <w:color w:val="000000"/>
          <w:kern w:val="0"/>
          <w:u w:val="none"/>
        </w:rPr>
        <w:t>《湘西州国民经济与社会发展第十四个五年规划和二〇三五年远景目标纲要》</w:t>
      </w:r>
      <w:r>
        <w:rPr>
          <w:rFonts w:hint="eastAsia"/>
          <w:color w:val="000000"/>
          <w:kern w:val="0"/>
          <w:u w:val="none"/>
          <w:lang w:eastAsia="zh-CN"/>
        </w:rPr>
        <w:t>可知，</w:t>
      </w:r>
      <w:r>
        <w:rPr>
          <w:rFonts w:hint="eastAsia"/>
          <w:color w:val="000000"/>
          <w:kern w:val="0"/>
          <w:u w:val="none"/>
        </w:rPr>
        <w:t>加快推进园区扩容提质。加强园区发展与新一轮国土空间规划衔接，统筹生产、生活、生态空间，积极争取100平方公里左右园区规划面积，合理预留园区拓展用地，科学划定功能边界，做好扩区调区工作。鼓励各县市（区）加强园区存量用地二次开发，全面加大工业标准厂房、定制厂房建设力度，到2025年新建标准厂房300万平方米以上。鼓励园区开展跨区域合作，积极发展“飞地经济”，共同建设项目孵化、人才培养、市场拓展等服务平台和产业园区，做好新一轮湘西（广州）工业园共建工作。加快完善园区配套设施，积极开展综合节能、产城融合、污染集中治理、综合管廊建设、循环化改造和低碳园区试点建设，抓好园区公共绿化、扬尘治理，推进园区道路、能源集中供应、污水处理、废渣废气处置等基础设施建设，加快园区5G基站、数据中心、充电桩等新型基础设施建设，完善检验检测、仓储物流、创业创新、保障性住房等公共服务配套设施，提升工业园区综合承载力。落实园区单位土地面积投资强度的要求，提高单位土地面积产出，促进低效闲置土地的处置利用。</w:t>
      </w:r>
    </w:p>
    <w:p>
      <w:pPr>
        <w:ind w:firstLine="480"/>
        <w:rPr>
          <w:rFonts w:hint="eastAsia"/>
          <w:color w:val="000000"/>
          <w:kern w:val="0"/>
          <w:u w:val="none"/>
        </w:rPr>
      </w:pPr>
      <w:r>
        <w:rPr>
          <w:rFonts w:hint="eastAsia"/>
          <w:color w:val="000000"/>
          <w:kern w:val="0"/>
          <w:u w:val="none"/>
        </w:rPr>
        <w:t>本项目建设内容包括污水处理</w:t>
      </w:r>
      <w:r>
        <w:rPr>
          <w:rFonts w:hint="eastAsia"/>
          <w:color w:val="000000"/>
          <w:kern w:val="0"/>
          <w:u w:val="none"/>
          <w:lang w:eastAsia="zh-CN"/>
        </w:rPr>
        <w:t>站工程、配套污水管道工程</w:t>
      </w:r>
      <w:r>
        <w:rPr>
          <w:rFonts w:hint="eastAsia"/>
          <w:color w:val="000000"/>
          <w:kern w:val="0"/>
          <w:u w:val="none"/>
        </w:rPr>
        <w:t>建设，主要用于接收处理处理花垣产业开发区入驻企业在应急情况下重金属废水</w:t>
      </w:r>
      <w:r>
        <w:rPr>
          <w:rFonts w:hint="eastAsia"/>
          <w:color w:val="000000"/>
          <w:kern w:val="0"/>
          <w:szCs w:val="21"/>
          <w:u w:val="none"/>
        </w:rPr>
        <w:t>，本项目的建设</w:t>
      </w:r>
      <w:r>
        <w:rPr>
          <w:rFonts w:hint="eastAsia"/>
          <w:color w:val="000000"/>
          <w:kern w:val="0"/>
          <w:szCs w:val="21"/>
          <w:u w:val="none"/>
          <w:lang w:eastAsia="zh-CN"/>
        </w:rPr>
        <w:t>预防花垣产业开发区</w:t>
      </w:r>
      <w:r>
        <w:rPr>
          <w:rFonts w:hint="eastAsia"/>
          <w:color w:val="000000"/>
          <w:kern w:val="0"/>
          <w:u w:val="none"/>
          <w:lang w:eastAsia="zh-CN"/>
        </w:rPr>
        <w:t>涉重企业在应急情况下</w:t>
      </w:r>
      <w:r>
        <w:rPr>
          <w:rFonts w:hint="eastAsia"/>
          <w:color w:val="000000"/>
          <w:kern w:val="0"/>
          <w:u w:val="none"/>
        </w:rPr>
        <w:t>的</w:t>
      </w:r>
      <w:r>
        <w:rPr>
          <w:rFonts w:hint="eastAsia"/>
          <w:color w:val="000000"/>
          <w:kern w:val="0"/>
          <w:u w:val="none"/>
          <w:lang w:eastAsia="zh-CN"/>
        </w:rPr>
        <w:t>重金属</w:t>
      </w:r>
      <w:r>
        <w:rPr>
          <w:rFonts w:hint="eastAsia"/>
          <w:color w:val="000000"/>
          <w:kern w:val="0"/>
          <w:u w:val="none"/>
        </w:rPr>
        <w:t>废水</w:t>
      </w:r>
      <w:r>
        <w:rPr>
          <w:rFonts w:hint="eastAsia"/>
          <w:color w:val="000000"/>
          <w:kern w:val="0"/>
          <w:u w:val="none"/>
          <w:lang w:eastAsia="zh-CN"/>
        </w:rPr>
        <w:t>泄漏、</w:t>
      </w:r>
      <w:r>
        <w:rPr>
          <w:rFonts w:hint="eastAsia"/>
          <w:color w:val="000000"/>
          <w:kern w:val="0"/>
          <w:u w:val="none"/>
        </w:rPr>
        <w:t>乱排，</w:t>
      </w:r>
      <w:r>
        <w:rPr>
          <w:rFonts w:hint="eastAsia"/>
          <w:color w:val="000000"/>
          <w:kern w:val="0"/>
          <w:u w:val="none"/>
          <w:lang w:eastAsia="zh-CN"/>
        </w:rPr>
        <w:t>降低了花垣县工业园环境风险，</w:t>
      </w:r>
      <w:r>
        <w:rPr>
          <w:rFonts w:hint="eastAsia"/>
          <w:color w:val="000000"/>
          <w:kern w:val="0"/>
          <w:u w:val="none"/>
        </w:rPr>
        <w:t>属于完善园区配套设施项目，故符合</w:t>
      </w:r>
      <w:r>
        <w:rPr>
          <w:color w:val="000000"/>
          <w:kern w:val="0"/>
          <w:u w:val="none"/>
        </w:rPr>
        <w:t>《</w:t>
      </w:r>
      <w:r>
        <w:rPr>
          <w:rFonts w:hint="eastAsia"/>
          <w:color w:val="000000"/>
          <w:kern w:val="0"/>
          <w:u w:val="none"/>
        </w:rPr>
        <w:t>湘西州国民经济与社会发展第十四个五年规划和二〇三五年远景目标纲要</w:t>
      </w:r>
      <w:r>
        <w:rPr>
          <w:color w:val="000000"/>
          <w:kern w:val="0"/>
          <w:u w:val="none"/>
        </w:rPr>
        <w:t>》</w:t>
      </w:r>
      <w:r>
        <w:rPr>
          <w:rFonts w:hint="eastAsia"/>
          <w:color w:val="000000"/>
          <w:kern w:val="0"/>
          <w:u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4"/>
        <w:rPr>
          <w:rFonts w:hint="eastAsia" w:ascii="Times New Roman" w:hAnsi="Times New Roman" w:eastAsia="宋体" w:cs="Times New Roman"/>
          <w:b/>
          <w:bCs/>
          <w:sz w:val="24"/>
          <w:u w:val="none"/>
          <w:lang w:val="en-US" w:eastAsia="zh-CN"/>
        </w:rPr>
      </w:pPr>
      <w:r>
        <w:rPr>
          <w:rFonts w:hint="eastAsia" w:ascii="Times New Roman" w:hAnsi="Times New Roman" w:eastAsia="宋体" w:cs="Times New Roman"/>
          <w:b/>
          <w:bCs/>
          <w:sz w:val="24"/>
          <w:u w:val="none"/>
          <w:lang w:val="en-US" w:eastAsia="zh-CN"/>
        </w:rPr>
        <w:t>（3）“三线一单”符合性分析</w:t>
      </w:r>
    </w:p>
    <w:p>
      <w:pPr>
        <w:ind w:firstLine="480"/>
        <w:rPr>
          <w:rFonts w:hint="eastAsia"/>
          <w:color w:val="auto"/>
          <w:kern w:val="0"/>
          <w:u w:val="none"/>
        </w:rPr>
      </w:pPr>
      <w:r>
        <w:rPr>
          <w:color w:val="auto"/>
          <w:u w:val="none"/>
        </w:rPr>
        <w:t>项目</w:t>
      </w:r>
      <w:r>
        <w:rPr>
          <w:rFonts w:hint="eastAsia"/>
          <w:color w:val="auto"/>
          <w:kern w:val="0"/>
          <w:u w:val="none"/>
        </w:rPr>
        <w:t>位于</w:t>
      </w:r>
      <w:r>
        <w:rPr>
          <w:rFonts w:hint="eastAsia"/>
          <w:color w:val="auto"/>
          <w:kern w:val="0"/>
          <w:u w:val="none"/>
          <w:lang w:eastAsia="zh-CN"/>
        </w:rPr>
        <w:t>花垣县花垣产业开发区</w:t>
      </w:r>
      <w:r>
        <w:rPr>
          <w:rFonts w:hint="eastAsia"/>
          <w:color w:val="auto"/>
          <w:kern w:val="0"/>
          <w:u w:val="none"/>
        </w:rPr>
        <w:t>。</w:t>
      </w:r>
      <w:r>
        <w:rPr>
          <w:rFonts w:hint="eastAsia"/>
          <w:color w:val="auto"/>
          <w:kern w:val="0"/>
          <w:u w:val="none"/>
          <w:lang w:eastAsia="zh-CN"/>
        </w:rPr>
        <w:t>根据花垣县</w:t>
      </w:r>
      <w:r>
        <w:rPr>
          <w:rFonts w:hint="eastAsia"/>
          <w:color w:val="auto"/>
          <w:kern w:val="0"/>
          <w:u w:val="none"/>
        </w:rPr>
        <w:t>生态保护红线</w:t>
      </w:r>
      <w:r>
        <w:rPr>
          <w:rFonts w:hint="eastAsia"/>
          <w:color w:val="auto"/>
          <w:kern w:val="0"/>
          <w:u w:val="none"/>
          <w:lang w:eastAsia="zh-CN"/>
        </w:rPr>
        <w:t>划定情况</w:t>
      </w:r>
      <w:r>
        <w:rPr>
          <w:rFonts w:hint="eastAsia"/>
          <w:color w:val="auto"/>
          <w:kern w:val="0"/>
          <w:u w:val="none"/>
        </w:rPr>
        <w:t>，本次评价将项目与</w:t>
      </w:r>
      <w:r>
        <w:rPr>
          <w:rFonts w:hint="eastAsia"/>
          <w:color w:val="auto"/>
          <w:kern w:val="0"/>
          <w:u w:val="none"/>
          <w:lang w:eastAsia="zh-CN"/>
        </w:rPr>
        <w:t>花垣县</w:t>
      </w:r>
      <w:r>
        <w:rPr>
          <w:rFonts w:hint="eastAsia"/>
          <w:color w:val="auto"/>
          <w:kern w:val="0"/>
          <w:u w:val="none"/>
        </w:rPr>
        <w:t>生态保护红线、环境质量底线、资源利用上线和环境准入负面清单进行对照，作为开展环境影响评价工作的前提和基础。</w:t>
      </w:r>
    </w:p>
    <w:p>
      <w:pPr>
        <w:ind w:firstLine="480"/>
        <w:rPr>
          <w:rFonts w:hint="eastAsia"/>
          <w:b/>
          <w:bCs/>
          <w:color w:val="000000"/>
          <w:kern w:val="0"/>
          <w:u w:val="none"/>
        </w:rPr>
      </w:pPr>
      <w:r>
        <w:rPr>
          <w:rFonts w:hint="eastAsia"/>
          <w:b/>
          <w:bCs/>
          <w:color w:val="000000"/>
          <w:kern w:val="0"/>
          <w:u w:val="none"/>
        </w:rPr>
        <w:t>1）生态保护红线</w:t>
      </w:r>
    </w:p>
    <w:p>
      <w:pPr>
        <w:ind w:firstLine="480"/>
        <w:rPr>
          <w:rFonts w:hint="eastAsia"/>
          <w:color w:val="000000"/>
          <w:kern w:val="0"/>
          <w:u w:val="none"/>
        </w:rPr>
      </w:pPr>
      <w:r>
        <w:rPr>
          <w:rFonts w:hint="eastAsia"/>
          <w:color w:val="000000"/>
          <w:kern w:val="0"/>
          <w:u w:val="none"/>
        </w:rPr>
        <w:t>根据</w:t>
      </w:r>
      <w:r>
        <w:rPr>
          <w:rFonts w:hint="eastAsia"/>
          <w:color w:val="000000"/>
          <w:kern w:val="0"/>
          <w:u w:val="none"/>
          <w:lang w:eastAsia="zh-CN"/>
        </w:rPr>
        <w:t>花垣县</w:t>
      </w:r>
      <w:r>
        <w:rPr>
          <w:rFonts w:hint="eastAsia"/>
          <w:color w:val="000000"/>
          <w:kern w:val="0"/>
          <w:u w:val="none"/>
        </w:rPr>
        <w:t>生态保护红线区划范围图和现场踏勘，本项目场址与生态保护红线不交叉，本项目所在地不属于自然生态红线区。因此，本项目的建设符合</w:t>
      </w:r>
      <w:r>
        <w:rPr>
          <w:rFonts w:hint="eastAsia"/>
          <w:color w:val="000000"/>
          <w:kern w:val="0"/>
          <w:u w:val="none"/>
          <w:lang w:eastAsia="zh-CN"/>
        </w:rPr>
        <w:t>花垣县</w:t>
      </w:r>
      <w:r>
        <w:rPr>
          <w:rFonts w:hint="eastAsia"/>
          <w:color w:val="000000"/>
          <w:kern w:val="0"/>
          <w:u w:val="none"/>
        </w:rPr>
        <w:t>生态保护红线的要求。</w:t>
      </w:r>
    </w:p>
    <w:p>
      <w:pPr>
        <w:ind w:firstLine="480"/>
        <w:rPr>
          <w:rFonts w:hint="eastAsia"/>
          <w:b/>
          <w:bCs/>
          <w:color w:val="000000"/>
          <w:kern w:val="0"/>
          <w:u w:val="none"/>
        </w:rPr>
      </w:pPr>
      <w:r>
        <w:rPr>
          <w:rFonts w:hint="eastAsia"/>
          <w:b/>
          <w:bCs/>
          <w:color w:val="000000"/>
          <w:kern w:val="0"/>
          <w:u w:val="none"/>
        </w:rPr>
        <w:t>2）环境质量底线</w:t>
      </w:r>
    </w:p>
    <w:p>
      <w:pPr>
        <w:ind w:firstLine="480"/>
        <w:rPr>
          <w:rFonts w:hint="eastAsia"/>
          <w:color w:val="000000"/>
          <w:kern w:val="0"/>
          <w:u w:val="none"/>
        </w:rPr>
      </w:pPr>
      <w:r>
        <w:rPr>
          <w:rFonts w:hint="eastAsia"/>
          <w:color w:val="000000"/>
          <w:kern w:val="0"/>
          <w:u w:val="none"/>
        </w:rPr>
        <w:t>根据项目污染源排放</w:t>
      </w:r>
      <w:r>
        <w:rPr>
          <w:rFonts w:hint="eastAsia"/>
          <w:color w:val="000000"/>
          <w:kern w:val="0"/>
          <w:u w:val="none"/>
          <w:lang w:eastAsia="zh-CN"/>
        </w:rPr>
        <w:t>分析</w:t>
      </w:r>
      <w:r>
        <w:rPr>
          <w:rFonts w:hint="eastAsia"/>
          <w:color w:val="000000"/>
          <w:kern w:val="0"/>
          <w:u w:val="none"/>
        </w:rPr>
        <w:t>及所在地环境质量现状调查结果，项目</w:t>
      </w:r>
      <w:r>
        <w:rPr>
          <w:rFonts w:hint="eastAsia"/>
          <w:color w:val="000000"/>
          <w:kern w:val="0"/>
          <w:u w:val="none"/>
          <w:lang w:eastAsia="zh-CN"/>
        </w:rPr>
        <w:t>只针对废水中重金属进行处理，不进行有机物的处理，项目运营期无处理恶臭废气产生</w:t>
      </w:r>
      <w:r>
        <w:rPr>
          <w:rFonts w:hint="eastAsia"/>
          <w:color w:val="000000"/>
          <w:kern w:val="0"/>
          <w:u w:val="none"/>
        </w:rPr>
        <w:t>；</w:t>
      </w:r>
      <w:r>
        <w:rPr>
          <w:rFonts w:hint="eastAsia"/>
          <w:color w:val="000000"/>
          <w:kern w:val="0"/>
          <w:u w:val="none"/>
          <w:lang w:eastAsia="zh-CN"/>
        </w:rPr>
        <w:t>项目接收园区涉重企业应急情况下无法做到废水回用时的重金属废水，本项目涉及的</w:t>
      </w:r>
      <w:r>
        <w:rPr>
          <w:rFonts w:hint="eastAsia"/>
          <w:color w:val="000000"/>
          <w:kern w:val="0"/>
          <w:u w:val="none"/>
        </w:rPr>
        <w:t>含一类污染物</w:t>
      </w:r>
      <w:r>
        <w:rPr>
          <w:rFonts w:hint="eastAsia"/>
          <w:color w:val="000000"/>
          <w:kern w:val="0"/>
          <w:u w:val="none"/>
          <w:lang w:eastAsia="zh-CN"/>
        </w:rPr>
        <w:t>（铬、铅）</w:t>
      </w:r>
      <w:r>
        <w:rPr>
          <w:rFonts w:hint="eastAsia"/>
          <w:color w:val="000000"/>
          <w:kern w:val="0"/>
          <w:u w:val="none"/>
        </w:rPr>
        <w:t>的废水经处理在车间排口达到</w:t>
      </w:r>
      <w:r>
        <w:rPr>
          <w:rFonts w:hint="eastAsia"/>
          <w:color w:val="000000"/>
          <w:kern w:val="0"/>
          <w:u w:val="none"/>
          <w:lang w:eastAsia="zh-CN"/>
        </w:rPr>
        <w:t>《</w:t>
      </w:r>
      <w:r>
        <w:rPr>
          <w:rFonts w:hint="eastAsia"/>
          <w:color w:val="000000"/>
          <w:kern w:val="0"/>
          <w:u w:val="none"/>
        </w:rPr>
        <w:t>污水综合排放标准</w:t>
      </w:r>
      <w:r>
        <w:rPr>
          <w:rFonts w:hint="eastAsia"/>
          <w:color w:val="000000"/>
          <w:kern w:val="0"/>
          <w:u w:val="none"/>
          <w:lang w:eastAsia="zh-CN"/>
        </w:rPr>
        <w:t>》</w:t>
      </w:r>
      <w:r>
        <w:rPr>
          <w:rFonts w:hint="eastAsia"/>
          <w:color w:val="000000"/>
          <w:kern w:val="0"/>
          <w:u w:val="none"/>
        </w:rPr>
        <w:t>( GB8978-1996)表1</w:t>
      </w:r>
      <w:r>
        <w:rPr>
          <w:rFonts w:hint="eastAsia"/>
          <w:color w:val="auto"/>
          <w:kern w:val="0"/>
          <w:u w:val="none"/>
        </w:rPr>
        <w:t>最高允许排放浓度要求后方可接管；项目</w:t>
      </w:r>
      <w:r>
        <w:rPr>
          <w:rFonts w:hint="eastAsia"/>
          <w:color w:val="auto"/>
          <w:kern w:val="0"/>
          <w:u w:val="none"/>
          <w:lang w:eastAsia="zh-CN"/>
        </w:rPr>
        <w:t>接收的重金属</w:t>
      </w:r>
      <w:r>
        <w:rPr>
          <w:rFonts w:hint="eastAsia"/>
          <w:color w:val="auto"/>
          <w:kern w:val="0"/>
          <w:u w:val="none"/>
        </w:rPr>
        <w:t>废水经处理后总钒指标</w:t>
      </w:r>
      <w:r>
        <w:rPr>
          <w:rFonts w:hint="eastAsia"/>
          <w:color w:val="auto"/>
          <w:kern w:val="0"/>
          <w:u w:val="none"/>
          <w:lang w:eastAsia="zh-CN"/>
        </w:rPr>
        <w:t>达到《</w:t>
      </w:r>
      <w:r>
        <w:rPr>
          <w:rFonts w:hint="eastAsia"/>
          <w:color w:val="auto"/>
          <w:kern w:val="0"/>
          <w:u w:val="none"/>
        </w:rPr>
        <w:t>钒工业污染物排放标准》GB 26452-2011</w:t>
      </w:r>
      <w:r>
        <w:rPr>
          <w:rFonts w:hint="eastAsia"/>
          <w:color w:val="auto"/>
          <w:kern w:val="0"/>
          <w:u w:val="none"/>
          <w:lang w:eastAsia="zh-CN"/>
        </w:rPr>
        <w:t>中表</w:t>
      </w:r>
      <w:r>
        <w:rPr>
          <w:rFonts w:hint="eastAsia"/>
          <w:color w:val="auto"/>
          <w:kern w:val="0"/>
          <w:u w:val="none"/>
          <w:lang w:val="en-US" w:eastAsia="zh-CN"/>
        </w:rPr>
        <w:t>2的规定</w:t>
      </w:r>
      <w:r>
        <w:rPr>
          <w:rFonts w:hint="eastAsia"/>
          <w:color w:val="auto"/>
          <w:kern w:val="0"/>
          <w:u w:val="none"/>
          <w:lang w:eastAsia="zh-CN"/>
        </w:rPr>
        <w:t>，其他废水污染物指标总锰、总铬、六价铬、总锌、总铅达到</w:t>
      </w:r>
      <w:r>
        <w:rPr>
          <w:rFonts w:hint="eastAsia"/>
          <w:color w:val="auto"/>
          <w:kern w:val="0"/>
          <w:u w:val="none"/>
        </w:rPr>
        <w:t>《城镇污水处理厂污染物排放标准》GB18918-2002 表2表3的规定</w:t>
      </w:r>
      <w:r>
        <w:rPr>
          <w:rFonts w:hint="eastAsia"/>
          <w:color w:val="000000"/>
          <w:kern w:val="0"/>
          <w:u w:val="none"/>
          <w:lang w:eastAsia="zh-CN"/>
        </w:rPr>
        <w:t>后排入花垣产业开发区污水处理厂进行处理达到《城市污水处理厂污染物排放标准》（GB18918-2002）一级标准的A标准排放至花垣河</w:t>
      </w:r>
      <w:r>
        <w:rPr>
          <w:rFonts w:hint="eastAsia"/>
          <w:color w:val="000000"/>
          <w:kern w:val="0"/>
          <w:u w:val="none"/>
        </w:rPr>
        <w:t>。项目产生的固体废物全部妥善处理，不直接排入外环境；项目三废排放较小，不会明显降低区域环境质量现状；本项目建设不会对当地环境质量底线造成冲击。</w:t>
      </w:r>
    </w:p>
    <w:p>
      <w:pPr>
        <w:ind w:firstLine="480"/>
        <w:rPr>
          <w:rFonts w:hint="eastAsia"/>
          <w:b/>
          <w:bCs/>
          <w:color w:val="000000"/>
          <w:kern w:val="0"/>
          <w:u w:val="none"/>
        </w:rPr>
      </w:pPr>
      <w:r>
        <w:rPr>
          <w:rFonts w:hint="eastAsia"/>
          <w:b/>
          <w:bCs/>
          <w:color w:val="000000"/>
          <w:kern w:val="0"/>
          <w:u w:val="none"/>
        </w:rPr>
        <w:t>3）资源利用上线</w:t>
      </w:r>
    </w:p>
    <w:p>
      <w:pPr>
        <w:ind w:firstLine="480"/>
        <w:rPr>
          <w:rFonts w:hint="eastAsia"/>
          <w:color w:val="000000"/>
          <w:kern w:val="0"/>
          <w:u w:val="none"/>
        </w:rPr>
      </w:pPr>
      <w:r>
        <w:rPr>
          <w:rFonts w:hint="eastAsia"/>
          <w:color w:val="000000"/>
          <w:kern w:val="0"/>
          <w:u w:val="none"/>
        </w:rPr>
        <w:t>本项目为</w:t>
      </w:r>
      <w:r>
        <w:rPr>
          <w:rFonts w:hint="eastAsia"/>
          <w:color w:val="000000"/>
          <w:kern w:val="0"/>
          <w:u w:val="none"/>
          <w:lang w:eastAsia="zh-CN"/>
        </w:rPr>
        <w:t>应急情况下花垣产业开发区涉重企业重金属废水</w:t>
      </w:r>
      <w:r>
        <w:rPr>
          <w:rFonts w:hint="eastAsia"/>
          <w:color w:val="000000"/>
          <w:kern w:val="0"/>
          <w:u w:val="none"/>
        </w:rPr>
        <w:t>集中处理项目，在设计上注重节能节水，项目建成运行后通过内部管理、原辅材料的选用和管理、废物回收利用、污染治理等多方面采取可行的防治措施，以“节能、降耗、减污”为目标，有限地控制污染，项目的水、电等资源不会突破区域的资源利用上线。</w:t>
      </w:r>
    </w:p>
    <w:p>
      <w:pPr>
        <w:ind w:firstLine="480"/>
        <w:rPr>
          <w:rFonts w:hint="eastAsia"/>
          <w:b/>
          <w:bCs/>
          <w:color w:val="000000"/>
          <w:kern w:val="0"/>
          <w:u w:val="none"/>
        </w:rPr>
      </w:pPr>
      <w:r>
        <w:rPr>
          <w:rFonts w:hint="eastAsia"/>
          <w:b/>
          <w:bCs/>
          <w:color w:val="000000"/>
          <w:kern w:val="0"/>
          <w:u w:val="none"/>
        </w:rPr>
        <w:t>4）环境准入负面清单</w:t>
      </w:r>
    </w:p>
    <w:p>
      <w:pPr>
        <w:ind w:firstLine="480"/>
        <w:rPr>
          <w:rFonts w:hint="eastAsia"/>
          <w:color w:val="000000"/>
          <w:sz w:val="24"/>
          <w:szCs w:val="24"/>
        </w:rPr>
      </w:pPr>
      <w:r>
        <w:rPr>
          <w:color w:val="000000"/>
          <w:sz w:val="24"/>
          <w:szCs w:val="24"/>
        </w:rPr>
        <w:t>对照《市场准入负面清单》（</w:t>
      </w:r>
      <w:r>
        <w:rPr>
          <w:rFonts w:hint="eastAsia"/>
          <w:color w:val="000000"/>
          <w:sz w:val="24"/>
          <w:szCs w:val="24"/>
          <w:lang w:val="en-US" w:eastAsia="zh-CN"/>
        </w:rPr>
        <w:t>2022年版</w:t>
      </w:r>
      <w:r>
        <w:rPr>
          <w:color w:val="000000"/>
          <w:sz w:val="24"/>
          <w:szCs w:val="24"/>
        </w:rPr>
        <w:t>），</w:t>
      </w:r>
      <w:r>
        <w:rPr>
          <w:rFonts w:hint="eastAsia"/>
          <w:color w:val="000000"/>
          <w:sz w:val="24"/>
          <w:szCs w:val="24"/>
          <w:lang w:eastAsia="zh-CN"/>
        </w:rPr>
        <w:t>项目不属于《市场准入负面清单》（2022年版）中禁止类、限制类，项目不属于《市场准入负面清单》（2022年版）负面清单范围</w:t>
      </w:r>
      <w:r>
        <w:rPr>
          <w:color w:val="000000"/>
          <w:sz w:val="24"/>
          <w:szCs w:val="24"/>
        </w:rPr>
        <w:t>。</w:t>
      </w:r>
      <w:r>
        <w:rPr>
          <w:rFonts w:hint="eastAsia"/>
          <w:color w:val="000000"/>
          <w:sz w:val="24"/>
          <w:szCs w:val="24"/>
        </w:rPr>
        <w:t>根据湖南省发展和改革委员会关于印发《湖南省国家重点生态功能区产业准入负面清单》（湘发改规划〔2018〕373号），项目不属于湖南省国家重点生态功能区产业准入负面清单项目；项目不属于国家和地方产业准入负面清单项目。</w:t>
      </w:r>
    </w:p>
    <w:p>
      <w:pPr>
        <w:pStyle w:val="121"/>
        <w:bidi w:val="0"/>
        <w:rPr>
          <w:rFonts w:hint="eastAsia"/>
          <w:sz w:val="21"/>
          <w:szCs w:val="21"/>
          <w:u w:val="none"/>
          <w:lang w:val="zh-CN"/>
        </w:rPr>
        <w:sectPr>
          <w:headerReference r:id="rId12" w:type="default"/>
          <w:footerReference r:id="rId13" w:type="default"/>
          <w:pgSz w:w="11906" w:h="16838"/>
          <w:pgMar w:top="1440" w:right="1800" w:bottom="1440" w:left="1800" w:header="851" w:footer="794" w:gutter="0"/>
          <w:pgBorders>
            <w:top w:val="none" w:sz="0" w:space="0"/>
            <w:left w:val="none" w:sz="0" w:space="0"/>
            <w:bottom w:val="none" w:sz="0" w:space="0"/>
            <w:right w:val="none" w:sz="0" w:space="0"/>
          </w:pgBorders>
          <w:pgNumType w:fmt="decimal" w:start="1"/>
          <w:cols w:space="720" w:num="1"/>
          <w:docGrid w:type="lines" w:linePitch="326" w:charSpace="0"/>
        </w:sectPr>
      </w:pPr>
    </w:p>
    <w:p>
      <w:pPr>
        <w:pStyle w:val="121"/>
        <w:bidi w:val="0"/>
        <w:rPr>
          <w:rFonts w:hint="eastAsia"/>
          <w:sz w:val="21"/>
          <w:szCs w:val="21"/>
          <w:u w:val="single"/>
          <w:lang w:val="en-US" w:eastAsia="zh-CN"/>
        </w:rPr>
      </w:pPr>
      <w:r>
        <w:rPr>
          <w:rFonts w:hint="eastAsia"/>
          <w:sz w:val="21"/>
          <w:szCs w:val="21"/>
          <w:u w:val="single"/>
          <w:lang w:val="zh-CN"/>
        </w:rPr>
        <w:t>表</w:t>
      </w:r>
      <w:r>
        <w:rPr>
          <w:rFonts w:hint="eastAsia"/>
          <w:sz w:val="21"/>
          <w:szCs w:val="21"/>
          <w:u w:val="single"/>
          <w:lang w:val="en-US" w:eastAsia="zh-CN"/>
        </w:rPr>
        <w:t>1 项目与《湖南省“三线一单”生态环境总体管控要求暨省级以上产业园区生态环境准入清单》符合性</w:t>
      </w:r>
    </w:p>
    <w:tbl>
      <w:tblPr>
        <w:tblStyle w:val="38"/>
        <w:tblW w:w="1395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6"/>
        <w:gridCol w:w="837"/>
        <w:gridCol w:w="438"/>
        <w:gridCol w:w="375"/>
        <w:gridCol w:w="387"/>
        <w:gridCol w:w="675"/>
        <w:gridCol w:w="913"/>
        <w:gridCol w:w="1002"/>
        <w:gridCol w:w="945"/>
        <w:gridCol w:w="1877"/>
        <w:gridCol w:w="904"/>
        <w:gridCol w:w="3425"/>
        <w:gridCol w:w="11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976" w:type="dxa"/>
            <w:vMerge w:val="restart"/>
            <w:noWrap w:val="0"/>
            <w:vAlign w:val="center"/>
          </w:tcPr>
          <w:p>
            <w:pPr>
              <w:pStyle w:val="123"/>
              <w:bidi w:val="0"/>
              <w:rPr>
                <w:rFonts w:hint="eastAsia"/>
                <w:b/>
                <w:bCs/>
                <w:color w:val="auto"/>
                <w:u w:val="single"/>
              </w:rPr>
            </w:pPr>
            <w:r>
              <w:rPr>
                <w:rFonts w:hint="eastAsia"/>
                <w:b/>
                <w:bCs/>
                <w:color w:val="auto"/>
                <w:u w:val="single"/>
              </w:rPr>
              <w:t>环境管控单元编码</w:t>
            </w:r>
          </w:p>
        </w:tc>
        <w:tc>
          <w:tcPr>
            <w:tcW w:w="837" w:type="dxa"/>
            <w:vMerge w:val="restart"/>
            <w:noWrap w:val="0"/>
            <w:vAlign w:val="center"/>
          </w:tcPr>
          <w:p>
            <w:pPr>
              <w:pStyle w:val="123"/>
              <w:bidi w:val="0"/>
              <w:rPr>
                <w:rFonts w:hint="eastAsia"/>
                <w:b/>
                <w:bCs/>
                <w:color w:val="auto"/>
                <w:u w:val="single"/>
              </w:rPr>
            </w:pPr>
            <w:r>
              <w:rPr>
                <w:rFonts w:hint="eastAsia"/>
                <w:b/>
                <w:bCs/>
                <w:color w:val="auto"/>
                <w:u w:val="single"/>
              </w:rPr>
              <w:t>单元名称</w:t>
            </w:r>
          </w:p>
        </w:tc>
        <w:tc>
          <w:tcPr>
            <w:tcW w:w="1200" w:type="dxa"/>
            <w:gridSpan w:val="3"/>
            <w:noWrap w:val="0"/>
            <w:vAlign w:val="center"/>
          </w:tcPr>
          <w:p>
            <w:pPr>
              <w:pStyle w:val="123"/>
              <w:bidi w:val="0"/>
              <w:rPr>
                <w:rFonts w:hint="eastAsia"/>
                <w:b/>
                <w:bCs/>
                <w:color w:val="auto"/>
                <w:u w:val="single"/>
              </w:rPr>
            </w:pPr>
            <w:r>
              <w:rPr>
                <w:rFonts w:hint="eastAsia"/>
                <w:b/>
                <w:bCs/>
                <w:color w:val="auto"/>
                <w:u w:val="single"/>
              </w:rPr>
              <w:t>行政区划</w:t>
            </w:r>
          </w:p>
        </w:tc>
        <w:tc>
          <w:tcPr>
            <w:tcW w:w="675" w:type="dxa"/>
            <w:vMerge w:val="restart"/>
            <w:noWrap w:val="0"/>
            <w:vAlign w:val="center"/>
          </w:tcPr>
          <w:p>
            <w:pPr>
              <w:pStyle w:val="123"/>
              <w:bidi w:val="0"/>
              <w:rPr>
                <w:rFonts w:hint="eastAsia"/>
                <w:b/>
                <w:bCs/>
                <w:color w:val="auto"/>
                <w:u w:val="single"/>
              </w:rPr>
            </w:pPr>
            <w:r>
              <w:rPr>
                <w:rFonts w:hint="eastAsia"/>
                <w:b/>
                <w:bCs/>
                <w:color w:val="auto"/>
                <w:u w:val="single"/>
              </w:rPr>
              <w:t>单元分类</w:t>
            </w:r>
          </w:p>
        </w:tc>
        <w:tc>
          <w:tcPr>
            <w:tcW w:w="913" w:type="dxa"/>
            <w:vMerge w:val="restart"/>
            <w:noWrap w:val="0"/>
            <w:vAlign w:val="center"/>
          </w:tcPr>
          <w:p>
            <w:pPr>
              <w:pStyle w:val="123"/>
              <w:bidi w:val="0"/>
              <w:rPr>
                <w:rFonts w:hint="eastAsia"/>
                <w:b/>
                <w:bCs/>
                <w:color w:val="auto"/>
                <w:u w:val="single"/>
              </w:rPr>
            </w:pPr>
            <w:r>
              <w:rPr>
                <w:rFonts w:hint="eastAsia"/>
                <w:b/>
                <w:bCs/>
                <w:color w:val="auto"/>
                <w:u w:val="single"/>
              </w:rPr>
              <w:t>单元面积</w:t>
            </w:r>
            <w:r>
              <w:rPr>
                <w:rFonts w:hint="eastAsia"/>
                <w:b/>
                <w:bCs/>
                <w:color w:val="auto"/>
                <w:u w:val="single"/>
                <w:lang w:eastAsia="zh-CN"/>
              </w:rPr>
              <w:t>（</w:t>
            </w:r>
            <w:r>
              <w:rPr>
                <w:rFonts w:hint="eastAsia"/>
                <w:b/>
                <w:bCs/>
                <w:color w:val="auto"/>
                <w:u w:val="single"/>
              </w:rPr>
              <w:t>km2)</w:t>
            </w:r>
          </w:p>
        </w:tc>
        <w:tc>
          <w:tcPr>
            <w:tcW w:w="1002" w:type="dxa"/>
            <w:vMerge w:val="restart"/>
            <w:noWrap w:val="0"/>
            <w:vAlign w:val="center"/>
          </w:tcPr>
          <w:p>
            <w:pPr>
              <w:pStyle w:val="123"/>
              <w:bidi w:val="0"/>
              <w:rPr>
                <w:rFonts w:hint="eastAsia"/>
                <w:b/>
                <w:bCs/>
                <w:color w:val="auto"/>
                <w:u w:val="single"/>
              </w:rPr>
            </w:pPr>
            <w:r>
              <w:rPr>
                <w:rFonts w:hint="eastAsia"/>
                <w:b/>
                <w:bCs/>
                <w:color w:val="auto"/>
                <w:u w:val="single"/>
              </w:rPr>
              <w:t>涉及乡镇(街道)</w:t>
            </w:r>
          </w:p>
        </w:tc>
        <w:tc>
          <w:tcPr>
            <w:tcW w:w="945" w:type="dxa"/>
            <w:vMerge w:val="restart"/>
            <w:noWrap w:val="0"/>
            <w:vAlign w:val="center"/>
          </w:tcPr>
          <w:p>
            <w:pPr>
              <w:pStyle w:val="123"/>
              <w:bidi w:val="0"/>
              <w:rPr>
                <w:rFonts w:hint="eastAsia"/>
                <w:b/>
                <w:bCs/>
                <w:color w:val="auto"/>
                <w:u w:val="single"/>
              </w:rPr>
            </w:pPr>
            <w:r>
              <w:rPr>
                <w:rFonts w:hint="eastAsia"/>
                <w:b/>
                <w:bCs/>
                <w:color w:val="auto"/>
                <w:u w:val="single"/>
                <w:lang w:eastAsia="zh-CN"/>
              </w:rPr>
              <w:t>区域</w:t>
            </w:r>
            <w:r>
              <w:rPr>
                <w:rFonts w:hint="eastAsia"/>
                <w:b/>
                <w:bCs/>
                <w:color w:val="auto"/>
                <w:u w:val="single"/>
              </w:rPr>
              <w:t>主体功能定位</w:t>
            </w:r>
          </w:p>
        </w:tc>
        <w:tc>
          <w:tcPr>
            <w:tcW w:w="2781" w:type="dxa"/>
            <w:gridSpan w:val="2"/>
            <w:vMerge w:val="restart"/>
            <w:tcBorders>
              <w:right w:val="single" w:color="auto" w:sz="4" w:space="0"/>
            </w:tcBorders>
            <w:noWrap w:val="0"/>
            <w:vAlign w:val="center"/>
          </w:tcPr>
          <w:p>
            <w:pPr>
              <w:pStyle w:val="123"/>
              <w:bidi w:val="0"/>
              <w:rPr>
                <w:rFonts w:hint="eastAsia"/>
                <w:b/>
                <w:bCs/>
                <w:color w:val="auto"/>
                <w:u w:val="single"/>
              </w:rPr>
            </w:pPr>
            <w:r>
              <w:rPr>
                <w:rFonts w:hint="eastAsia"/>
                <w:b/>
                <w:bCs/>
                <w:color w:val="auto"/>
                <w:u w:val="single"/>
                <w:lang w:eastAsia="zh-CN"/>
              </w:rPr>
              <w:t>主导</w:t>
            </w:r>
            <w:r>
              <w:rPr>
                <w:rFonts w:hint="eastAsia"/>
                <w:b/>
                <w:bCs/>
                <w:color w:val="auto"/>
                <w:u w:val="single"/>
              </w:rPr>
              <w:t>产业</w:t>
            </w:r>
          </w:p>
        </w:tc>
        <w:tc>
          <w:tcPr>
            <w:tcW w:w="4624" w:type="dxa"/>
            <w:gridSpan w:val="2"/>
            <w:vMerge w:val="restart"/>
            <w:tcBorders>
              <w:left w:val="single" w:color="auto" w:sz="4" w:space="0"/>
            </w:tcBorders>
            <w:noWrap w:val="0"/>
            <w:vAlign w:val="center"/>
          </w:tcPr>
          <w:p>
            <w:pPr>
              <w:pStyle w:val="123"/>
              <w:bidi w:val="0"/>
              <w:rPr>
                <w:rFonts w:hint="eastAsia"/>
                <w:b/>
                <w:bCs/>
                <w:color w:val="auto"/>
                <w:u w:val="single"/>
                <w:lang w:eastAsia="zh-CN"/>
              </w:rPr>
            </w:pPr>
            <w:r>
              <w:rPr>
                <w:rFonts w:hint="eastAsia"/>
                <w:b/>
                <w:bCs/>
                <w:color w:val="auto"/>
                <w:u w:val="single"/>
              </w:rPr>
              <w:t>主要环境问题</w:t>
            </w:r>
            <w:r>
              <w:rPr>
                <w:rFonts w:hint="eastAsia"/>
                <w:b/>
                <w:bCs/>
                <w:color w:val="auto"/>
                <w:u w:val="single"/>
                <w:lang w:eastAsia="zh-CN"/>
              </w:rPr>
              <w:t>和重要敏感目标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blHeader/>
          <w:jc w:val="center"/>
        </w:trPr>
        <w:tc>
          <w:tcPr>
            <w:tcW w:w="976" w:type="dxa"/>
            <w:vMerge w:val="continue"/>
            <w:noWrap w:val="0"/>
            <w:vAlign w:val="center"/>
          </w:tcPr>
          <w:p>
            <w:pPr>
              <w:pStyle w:val="123"/>
              <w:bidi w:val="0"/>
              <w:rPr>
                <w:rFonts w:hint="eastAsia"/>
                <w:color w:val="auto"/>
                <w:u w:val="single"/>
              </w:rPr>
            </w:pPr>
          </w:p>
        </w:tc>
        <w:tc>
          <w:tcPr>
            <w:tcW w:w="837" w:type="dxa"/>
            <w:vMerge w:val="continue"/>
            <w:noWrap w:val="0"/>
            <w:vAlign w:val="center"/>
          </w:tcPr>
          <w:p>
            <w:pPr>
              <w:pStyle w:val="123"/>
              <w:bidi w:val="0"/>
              <w:rPr>
                <w:rFonts w:hint="eastAsia"/>
                <w:color w:val="auto"/>
                <w:u w:val="single"/>
              </w:rPr>
            </w:pPr>
          </w:p>
        </w:tc>
        <w:tc>
          <w:tcPr>
            <w:tcW w:w="438" w:type="dxa"/>
            <w:noWrap w:val="0"/>
            <w:vAlign w:val="center"/>
          </w:tcPr>
          <w:p>
            <w:pPr>
              <w:pStyle w:val="123"/>
              <w:bidi w:val="0"/>
              <w:rPr>
                <w:rFonts w:hint="eastAsia"/>
                <w:b/>
                <w:bCs/>
                <w:color w:val="auto"/>
                <w:u w:val="single"/>
              </w:rPr>
            </w:pPr>
            <w:r>
              <w:rPr>
                <w:rFonts w:hint="eastAsia"/>
                <w:b/>
                <w:bCs/>
                <w:color w:val="auto"/>
                <w:u w:val="single"/>
              </w:rPr>
              <w:t>省</w:t>
            </w:r>
          </w:p>
        </w:tc>
        <w:tc>
          <w:tcPr>
            <w:tcW w:w="375" w:type="dxa"/>
            <w:noWrap w:val="0"/>
            <w:vAlign w:val="center"/>
          </w:tcPr>
          <w:p>
            <w:pPr>
              <w:pStyle w:val="123"/>
              <w:bidi w:val="0"/>
              <w:rPr>
                <w:rFonts w:hint="eastAsia"/>
                <w:b/>
                <w:bCs/>
                <w:color w:val="auto"/>
                <w:u w:val="single"/>
              </w:rPr>
            </w:pPr>
            <w:r>
              <w:rPr>
                <w:rFonts w:hint="eastAsia"/>
                <w:b/>
                <w:bCs/>
                <w:color w:val="auto"/>
                <w:u w:val="single"/>
              </w:rPr>
              <w:t>市</w:t>
            </w:r>
          </w:p>
        </w:tc>
        <w:tc>
          <w:tcPr>
            <w:tcW w:w="387" w:type="dxa"/>
            <w:noWrap w:val="0"/>
            <w:vAlign w:val="center"/>
          </w:tcPr>
          <w:p>
            <w:pPr>
              <w:pStyle w:val="123"/>
              <w:bidi w:val="0"/>
              <w:rPr>
                <w:rFonts w:hint="eastAsia"/>
                <w:b/>
                <w:bCs/>
                <w:color w:val="auto"/>
                <w:u w:val="single"/>
              </w:rPr>
            </w:pPr>
            <w:r>
              <w:rPr>
                <w:rFonts w:hint="eastAsia"/>
                <w:b/>
                <w:bCs/>
                <w:color w:val="auto"/>
                <w:u w:val="single"/>
              </w:rPr>
              <w:t>县</w:t>
            </w:r>
          </w:p>
        </w:tc>
        <w:tc>
          <w:tcPr>
            <w:tcW w:w="675" w:type="dxa"/>
            <w:vMerge w:val="continue"/>
            <w:noWrap w:val="0"/>
            <w:vAlign w:val="center"/>
          </w:tcPr>
          <w:p>
            <w:pPr>
              <w:pStyle w:val="123"/>
              <w:bidi w:val="0"/>
              <w:rPr>
                <w:rFonts w:hint="eastAsia"/>
                <w:color w:val="auto"/>
                <w:u w:val="single"/>
              </w:rPr>
            </w:pPr>
          </w:p>
        </w:tc>
        <w:tc>
          <w:tcPr>
            <w:tcW w:w="913" w:type="dxa"/>
            <w:vMerge w:val="continue"/>
            <w:noWrap w:val="0"/>
            <w:vAlign w:val="center"/>
          </w:tcPr>
          <w:p>
            <w:pPr>
              <w:pStyle w:val="123"/>
              <w:bidi w:val="0"/>
              <w:rPr>
                <w:rFonts w:hint="eastAsia"/>
                <w:color w:val="auto"/>
                <w:u w:val="single"/>
              </w:rPr>
            </w:pPr>
          </w:p>
        </w:tc>
        <w:tc>
          <w:tcPr>
            <w:tcW w:w="1002" w:type="dxa"/>
            <w:vMerge w:val="continue"/>
            <w:noWrap w:val="0"/>
            <w:vAlign w:val="center"/>
          </w:tcPr>
          <w:p>
            <w:pPr>
              <w:pStyle w:val="123"/>
              <w:bidi w:val="0"/>
              <w:rPr>
                <w:rFonts w:hint="eastAsia"/>
                <w:color w:val="auto"/>
                <w:u w:val="single"/>
              </w:rPr>
            </w:pPr>
          </w:p>
        </w:tc>
        <w:tc>
          <w:tcPr>
            <w:tcW w:w="945" w:type="dxa"/>
            <w:vMerge w:val="continue"/>
            <w:noWrap w:val="0"/>
            <w:vAlign w:val="center"/>
          </w:tcPr>
          <w:p>
            <w:pPr>
              <w:pStyle w:val="123"/>
              <w:bidi w:val="0"/>
              <w:rPr>
                <w:rFonts w:hint="eastAsia"/>
                <w:color w:val="auto"/>
                <w:u w:val="single"/>
              </w:rPr>
            </w:pPr>
          </w:p>
        </w:tc>
        <w:tc>
          <w:tcPr>
            <w:tcW w:w="2781" w:type="dxa"/>
            <w:gridSpan w:val="2"/>
            <w:vMerge w:val="continue"/>
            <w:tcBorders>
              <w:right w:val="single" w:color="auto" w:sz="4" w:space="0"/>
            </w:tcBorders>
            <w:noWrap w:val="0"/>
            <w:vAlign w:val="center"/>
          </w:tcPr>
          <w:p>
            <w:pPr>
              <w:pStyle w:val="123"/>
              <w:bidi w:val="0"/>
              <w:rPr>
                <w:rFonts w:hint="eastAsia"/>
                <w:color w:val="auto"/>
                <w:u w:val="single"/>
              </w:rPr>
            </w:pPr>
          </w:p>
        </w:tc>
        <w:tc>
          <w:tcPr>
            <w:tcW w:w="4624" w:type="dxa"/>
            <w:gridSpan w:val="2"/>
            <w:vMerge w:val="continue"/>
            <w:tcBorders>
              <w:left w:val="single" w:color="auto" w:sz="4" w:space="0"/>
            </w:tcBorders>
            <w:noWrap w:val="0"/>
            <w:vAlign w:val="center"/>
          </w:tcPr>
          <w:p>
            <w:pPr>
              <w:pStyle w:val="123"/>
              <w:bidi w:val="0"/>
              <w:rPr>
                <w:rFonts w:hint="eastAsia"/>
                <w:color w:val="auto"/>
                <w:u w:val="singl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1" w:hRule="atLeast"/>
          <w:jc w:val="center"/>
        </w:trPr>
        <w:tc>
          <w:tcPr>
            <w:tcW w:w="976" w:type="dxa"/>
            <w:noWrap w:val="0"/>
            <w:vAlign w:val="center"/>
          </w:tcPr>
          <w:p>
            <w:pPr>
              <w:pStyle w:val="123"/>
              <w:bidi w:val="0"/>
              <w:rPr>
                <w:rFonts w:hint="default"/>
                <w:color w:val="auto"/>
                <w:u w:val="single"/>
                <w:lang w:val="en-US"/>
              </w:rPr>
            </w:pPr>
            <w:r>
              <w:rPr>
                <w:rFonts w:hint="default"/>
                <w:color w:val="auto"/>
                <w:u w:val="single"/>
                <w:lang w:eastAsia="zh-CN"/>
              </w:rPr>
              <w:t>ZH43312</w:t>
            </w:r>
            <w:r>
              <w:rPr>
                <w:rFonts w:hint="eastAsia"/>
                <w:color w:val="auto"/>
                <w:u w:val="single"/>
                <w:lang w:val="en-US" w:eastAsia="zh-CN"/>
              </w:rPr>
              <w:t>420002</w:t>
            </w:r>
          </w:p>
        </w:tc>
        <w:tc>
          <w:tcPr>
            <w:tcW w:w="837" w:type="dxa"/>
            <w:noWrap w:val="0"/>
            <w:vAlign w:val="center"/>
          </w:tcPr>
          <w:p>
            <w:pPr>
              <w:pStyle w:val="123"/>
              <w:bidi w:val="0"/>
              <w:rPr>
                <w:rFonts w:hint="eastAsia"/>
                <w:color w:val="auto"/>
                <w:u w:val="single"/>
              </w:rPr>
            </w:pPr>
            <w:r>
              <w:rPr>
                <w:rFonts w:hint="eastAsia"/>
                <w:color w:val="auto"/>
                <w:u w:val="single"/>
                <w:lang w:eastAsia="zh-CN"/>
              </w:rPr>
              <w:t>花垣工业集中区</w:t>
            </w:r>
          </w:p>
        </w:tc>
        <w:tc>
          <w:tcPr>
            <w:tcW w:w="438" w:type="dxa"/>
            <w:noWrap w:val="0"/>
            <w:vAlign w:val="center"/>
          </w:tcPr>
          <w:p>
            <w:pPr>
              <w:pStyle w:val="123"/>
              <w:bidi w:val="0"/>
              <w:rPr>
                <w:rFonts w:hint="eastAsia"/>
                <w:color w:val="auto"/>
                <w:u w:val="single"/>
              </w:rPr>
            </w:pPr>
            <w:r>
              <w:rPr>
                <w:rFonts w:hint="eastAsia"/>
                <w:color w:val="auto"/>
                <w:u w:val="single"/>
              </w:rPr>
              <w:t>湖南</w:t>
            </w:r>
          </w:p>
        </w:tc>
        <w:tc>
          <w:tcPr>
            <w:tcW w:w="375" w:type="dxa"/>
            <w:noWrap w:val="0"/>
            <w:vAlign w:val="center"/>
          </w:tcPr>
          <w:p>
            <w:pPr>
              <w:pStyle w:val="123"/>
              <w:bidi w:val="0"/>
              <w:rPr>
                <w:rFonts w:hint="eastAsia"/>
                <w:color w:val="auto"/>
                <w:u w:val="single"/>
              </w:rPr>
            </w:pPr>
            <w:r>
              <w:rPr>
                <w:rFonts w:hint="eastAsia"/>
                <w:color w:val="auto"/>
                <w:u w:val="single"/>
              </w:rPr>
              <w:t>湘西州</w:t>
            </w:r>
          </w:p>
        </w:tc>
        <w:tc>
          <w:tcPr>
            <w:tcW w:w="387" w:type="dxa"/>
            <w:noWrap w:val="0"/>
            <w:vAlign w:val="center"/>
          </w:tcPr>
          <w:p>
            <w:pPr>
              <w:pStyle w:val="123"/>
              <w:bidi w:val="0"/>
              <w:rPr>
                <w:rFonts w:hint="eastAsia"/>
                <w:color w:val="auto"/>
                <w:u w:val="single"/>
                <w:lang w:eastAsia="zh-CN"/>
              </w:rPr>
            </w:pPr>
            <w:r>
              <w:rPr>
                <w:rFonts w:hint="eastAsia"/>
                <w:color w:val="auto"/>
                <w:u w:val="single"/>
                <w:lang w:eastAsia="zh-CN"/>
              </w:rPr>
              <w:t>花垣县</w:t>
            </w:r>
          </w:p>
        </w:tc>
        <w:tc>
          <w:tcPr>
            <w:tcW w:w="675" w:type="dxa"/>
            <w:noWrap w:val="0"/>
            <w:vAlign w:val="center"/>
          </w:tcPr>
          <w:p>
            <w:pPr>
              <w:pStyle w:val="123"/>
              <w:bidi w:val="0"/>
              <w:rPr>
                <w:rFonts w:hint="eastAsia"/>
                <w:color w:val="auto"/>
                <w:u w:val="single"/>
              </w:rPr>
            </w:pPr>
            <w:r>
              <w:rPr>
                <w:rFonts w:hint="eastAsia"/>
                <w:color w:val="auto"/>
                <w:u w:val="single"/>
              </w:rPr>
              <w:t>重点管控单元</w:t>
            </w:r>
          </w:p>
        </w:tc>
        <w:tc>
          <w:tcPr>
            <w:tcW w:w="913" w:type="dxa"/>
            <w:noWrap w:val="0"/>
            <w:vAlign w:val="center"/>
          </w:tcPr>
          <w:p>
            <w:pPr>
              <w:pStyle w:val="123"/>
              <w:bidi w:val="0"/>
              <w:rPr>
                <w:rFonts w:hint="default"/>
                <w:color w:val="auto"/>
                <w:u w:val="single"/>
                <w:lang w:val="en-US"/>
              </w:rPr>
            </w:pPr>
            <w:r>
              <w:rPr>
                <w:rFonts w:hint="eastAsia"/>
                <w:color w:val="auto"/>
                <w:u w:val="single"/>
                <w:lang w:val="en-US" w:eastAsia="zh-CN"/>
              </w:rPr>
              <w:t>核准面积：7.2677</w:t>
            </w:r>
          </w:p>
        </w:tc>
        <w:tc>
          <w:tcPr>
            <w:tcW w:w="1002" w:type="dxa"/>
            <w:noWrap w:val="0"/>
            <w:vAlign w:val="center"/>
          </w:tcPr>
          <w:p>
            <w:pPr>
              <w:pStyle w:val="123"/>
              <w:bidi w:val="0"/>
              <w:rPr>
                <w:rFonts w:hint="eastAsia"/>
                <w:color w:val="auto"/>
                <w:u w:val="single"/>
                <w:lang w:eastAsia="zh-CN"/>
              </w:rPr>
            </w:pPr>
            <w:r>
              <w:rPr>
                <w:rFonts w:hint="eastAsia"/>
                <w:color w:val="auto"/>
                <w:u w:val="single"/>
                <w:lang w:eastAsia="zh-CN"/>
              </w:rPr>
              <w:t>核准范围（一园两区）：涉及花垣镇</w:t>
            </w:r>
          </w:p>
        </w:tc>
        <w:tc>
          <w:tcPr>
            <w:tcW w:w="945" w:type="dxa"/>
            <w:noWrap w:val="0"/>
            <w:vAlign w:val="center"/>
          </w:tcPr>
          <w:p>
            <w:pPr>
              <w:pStyle w:val="123"/>
              <w:bidi w:val="0"/>
              <w:rPr>
                <w:rFonts w:hint="eastAsia"/>
                <w:color w:val="auto"/>
                <w:u w:val="single"/>
              </w:rPr>
            </w:pPr>
            <w:r>
              <w:rPr>
                <w:rFonts w:hint="eastAsia"/>
                <w:color w:val="auto"/>
                <w:u w:val="single"/>
              </w:rPr>
              <w:t>国家重点生态功能区</w:t>
            </w:r>
          </w:p>
        </w:tc>
        <w:tc>
          <w:tcPr>
            <w:tcW w:w="2781" w:type="dxa"/>
            <w:gridSpan w:val="2"/>
            <w:tcBorders>
              <w:right w:val="single" w:color="auto" w:sz="4" w:space="0"/>
            </w:tcBorders>
            <w:noWrap w:val="0"/>
            <w:vAlign w:val="center"/>
          </w:tcPr>
          <w:p>
            <w:pPr>
              <w:pStyle w:val="123"/>
              <w:bidi w:val="0"/>
              <w:jc w:val="both"/>
              <w:rPr>
                <w:rFonts w:hint="eastAsia"/>
                <w:color w:val="auto"/>
                <w:u w:val="single"/>
                <w:lang w:eastAsia="zh-CN"/>
              </w:rPr>
            </w:pPr>
            <w:r>
              <w:rPr>
                <w:rFonts w:hint="eastAsia"/>
                <w:color w:val="auto"/>
                <w:u w:val="single"/>
                <w:lang w:eastAsia="zh-CN"/>
              </w:rPr>
              <w:t>湘发改地区[2012]1594号:有色冶金、新材料、生物医药等；</w:t>
            </w:r>
          </w:p>
          <w:p>
            <w:pPr>
              <w:pStyle w:val="123"/>
              <w:bidi w:val="0"/>
              <w:jc w:val="both"/>
              <w:rPr>
                <w:rFonts w:hint="eastAsia"/>
                <w:color w:val="auto"/>
                <w:u w:val="single"/>
              </w:rPr>
            </w:pPr>
            <w:r>
              <w:rPr>
                <w:rFonts w:hint="eastAsia"/>
                <w:color w:val="auto"/>
                <w:u w:val="single"/>
                <w:lang w:eastAsia="zh-CN"/>
              </w:rPr>
              <w:t>湘环评[2012]122号：以发展锰、锌矿等产品的新材料研发生产、农副产品加工、生物制药等产业为主，并配套物流、仓储等相关产业：六部委公告2018年第4号：金属冶炼加工</w:t>
            </w:r>
            <w:r>
              <w:rPr>
                <w:rFonts w:hint="default"/>
                <w:color w:val="auto"/>
                <w:u w:val="single"/>
              </w:rPr>
              <w:t>。</w:t>
            </w:r>
          </w:p>
        </w:tc>
        <w:tc>
          <w:tcPr>
            <w:tcW w:w="4624" w:type="dxa"/>
            <w:gridSpan w:val="2"/>
            <w:tcBorders>
              <w:left w:val="single" w:color="auto" w:sz="4" w:space="0"/>
            </w:tcBorders>
            <w:noWrap w:val="0"/>
            <w:vAlign w:val="center"/>
          </w:tcPr>
          <w:p>
            <w:pPr>
              <w:pStyle w:val="123"/>
              <w:bidi w:val="0"/>
              <w:jc w:val="both"/>
              <w:rPr>
                <w:rFonts w:hint="eastAsia" w:eastAsia="宋体"/>
                <w:color w:val="auto"/>
                <w:u w:val="single"/>
                <w:lang w:eastAsia="zh-CN"/>
              </w:rPr>
            </w:pPr>
            <w:r>
              <w:rPr>
                <w:rFonts w:hint="default"/>
                <w:color w:val="auto"/>
                <w:u w:val="single"/>
              </w:rPr>
              <w:t>1.东部老工业区企业关闭后遗留的锰渣库渗滤液对土壤和地下水产生重全属污染，其中原锰锌高科技污染场地已列入湘西州污染地块名录</w:t>
            </w:r>
            <w:r>
              <w:rPr>
                <w:rFonts w:hint="eastAsia"/>
                <w:color w:val="auto"/>
                <w:u w:val="single"/>
                <w:lang w:eastAsia="zh-CN"/>
              </w:rPr>
              <w:t>；</w:t>
            </w:r>
          </w:p>
          <w:p>
            <w:pPr>
              <w:pStyle w:val="123"/>
              <w:bidi w:val="0"/>
              <w:jc w:val="both"/>
              <w:rPr>
                <w:rFonts w:hint="eastAsia" w:eastAsia="宋体"/>
                <w:color w:val="auto"/>
                <w:u w:val="single"/>
                <w:lang w:eastAsia="zh-CN"/>
              </w:rPr>
            </w:pPr>
            <w:r>
              <w:rPr>
                <w:rFonts w:hint="default"/>
                <w:color w:val="auto"/>
                <w:u w:val="single"/>
              </w:rPr>
              <w:t>2.西部新规划区现有180吨/日污水处理站处理能力不足，西部10000吨/日集中式污水处理厂尚未建成(在建)</w:t>
            </w:r>
            <w:r>
              <w:rPr>
                <w:rFonts w:hint="eastAsia"/>
                <w:color w:val="auto"/>
                <w:u w:val="single"/>
                <w:lang w:eastAsia="zh-CN"/>
              </w:rPr>
              <w:t>；</w:t>
            </w:r>
          </w:p>
          <w:p>
            <w:pPr>
              <w:pStyle w:val="123"/>
              <w:bidi w:val="0"/>
              <w:jc w:val="both"/>
              <w:rPr>
                <w:rFonts w:hint="eastAsia" w:eastAsia="宋体"/>
                <w:color w:val="auto"/>
                <w:u w:val="single"/>
                <w:lang w:eastAsia="zh-CN"/>
              </w:rPr>
            </w:pPr>
            <w:r>
              <w:rPr>
                <w:rFonts w:hint="default"/>
                <w:color w:val="auto"/>
                <w:u w:val="single"/>
              </w:rPr>
              <w:t>3.受锰沉渣等历史遗留问题影响，纳污水体花垣河部分河段、部分时段总锰含量异常</w:t>
            </w:r>
            <w:r>
              <w:rPr>
                <w:rFonts w:hint="eastAsia"/>
                <w:color w:val="auto"/>
                <w:u w:val="single"/>
                <w:lang w:eastAsia="zh-CN"/>
              </w:rPr>
              <w:t>；</w:t>
            </w:r>
          </w:p>
          <w:p>
            <w:pPr>
              <w:pStyle w:val="123"/>
              <w:bidi w:val="0"/>
              <w:jc w:val="both"/>
              <w:rPr>
                <w:rFonts w:hint="eastAsia" w:eastAsia="宋体"/>
                <w:color w:val="auto"/>
                <w:u w:val="single"/>
                <w:lang w:eastAsia="zh-CN"/>
              </w:rPr>
            </w:pPr>
            <w:r>
              <w:rPr>
                <w:rFonts w:hint="default"/>
                <w:color w:val="auto"/>
                <w:u w:val="single"/>
              </w:rPr>
              <w:t>4.东部老工业区与花垣县城相融，西部新规划区与花垣县城相邻</w:t>
            </w:r>
            <w:r>
              <w:rPr>
                <w:rFonts w:hint="eastAsia"/>
                <w:color w:val="auto"/>
                <w:u w:val="single"/>
                <w:lang w:eastAsia="zh-CN"/>
              </w:rPr>
              <w:t>；</w:t>
            </w:r>
          </w:p>
          <w:p>
            <w:pPr>
              <w:pStyle w:val="123"/>
              <w:bidi w:val="0"/>
              <w:jc w:val="both"/>
              <w:rPr>
                <w:rFonts w:hint="default"/>
                <w:color w:val="auto"/>
                <w:u w:val="single"/>
                <w:lang w:val="en-US" w:eastAsia="zh-CN"/>
              </w:rPr>
            </w:pPr>
            <w:r>
              <w:rPr>
                <w:rFonts w:hint="default"/>
                <w:color w:val="auto"/>
                <w:u w:val="single"/>
              </w:rPr>
              <w:t>5.东部老工业区南部涉及湖南花垣古苗河省级地质公园，可能涉及花坦县边城-古苗河省级风景名胜区(风景名胜区边界未定)。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976" w:type="dxa"/>
            <w:noWrap w:val="0"/>
            <w:vAlign w:val="center"/>
          </w:tcPr>
          <w:p>
            <w:pPr>
              <w:pStyle w:val="123"/>
              <w:bidi w:val="0"/>
              <w:rPr>
                <w:rFonts w:hint="eastAsia"/>
                <w:color w:val="auto"/>
                <w:u w:val="single"/>
              </w:rPr>
            </w:pPr>
            <w:r>
              <w:rPr>
                <w:rFonts w:hint="eastAsia"/>
                <w:color w:val="auto"/>
                <w:u w:val="single"/>
              </w:rPr>
              <w:t>管控维度</w:t>
            </w:r>
          </w:p>
        </w:tc>
        <w:tc>
          <w:tcPr>
            <w:tcW w:w="7449" w:type="dxa"/>
            <w:gridSpan w:val="9"/>
            <w:noWrap w:val="0"/>
            <w:vAlign w:val="center"/>
          </w:tcPr>
          <w:p>
            <w:pPr>
              <w:pStyle w:val="123"/>
              <w:bidi w:val="0"/>
              <w:rPr>
                <w:rFonts w:hint="eastAsia"/>
                <w:color w:val="auto"/>
                <w:u w:val="single"/>
              </w:rPr>
            </w:pPr>
            <w:r>
              <w:rPr>
                <w:rFonts w:hint="eastAsia"/>
                <w:color w:val="auto"/>
                <w:u w:val="single"/>
              </w:rPr>
              <w:t>管控要求</w:t>
            </w:r>
          </w:p>
        </w:tc>
        <w:tc>
          <w:tcPr>
            <w:tcW w:w="4329" w:type="dxa"/>
            <w:gridSpan w:val="2"/>
            <w:noWrap w:val="0"/>
            <w:vAlign w:val="center"/>
          </w:tcPr>
          <w:p>
            <w:pPr>
              <w:pStyle w:val="123"/>
              <w:bidi w:val="0"/>
              <w:rPr>
                <w:rFonts w:hint="eastAsia" w:eastAsia="宋体"/>
                <w:color w:val="auto"/>
                <w:u w:val="single"/>
                <w:lang w:val="en-US" w:eastAsia="zh-CN"/>
              </w:rPr>
            </w:pPr>
            <w:r>
              <w:rPr>
                <w:rFonts w:hint="eastAsia"/>
                <w:color w:val="auto"/>
                <w:u w:val="single"/>
                <w:lang w:val="en-US" w:eastAsia="zh-CN"/>
              </w:rPr>
              <w:t>本项目</w:t>
            </w:r>
          </w:p>
        </w:tc>
        <w:tc>
          <w:tcPr>
            <w:tcW w:w="1199" w:type="dxa"/>
            <w:noWrap w:val="0"/>
            <w:vAlign w:val="center"/>
          </w:tcPr>
          <w:p>
            <w:pPr>
              <w:pStyle w:val="123"/>
              <w:bidi w:val="0"/>
              <w:rPr>
                <w:rFonts w:hint="eastAsia" w:eastAsia="宋体"/>
                <w:color w:val="auto"/>
                <w:u w:val="single"/>
                <w:lang w:eastAsia="zh-CN"/>
              </w:rPr>
            </w:pPr>
            <w:r>
              <w:rPr>
                <w:rFonts w:hint="eastAsia"/>
                <w:color w:val="auto"/>
                <w:u w:val="single"/>
                <w:lang w:eastAsia="zh-CN"/>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976" w:type="dxa"/>
            <w:noWrap w:val="0"/>
            <w:vAlign w:val="center"/>
          </w:tcPr>
          <w:p>
            <w:pPr>
              <w:pStyle w:val="123"/>
              <w:bidi w:val="0"/>
              <w:rPr>
                <w:rFonts w:hint="eastAsia"/>
                <w:color w:val="auto"/>
                <w:u w:val="single"/>
              </w:rPr>
            </w:pPr>
            <w:r>
              <w:rPr>
                <w:rFonts w:hint="eastAsia"/>
                <w:color w:val="auto"/>
                <w:u w:val="single"/>
              </w:rPr>
              <w:t>空间布局约束</w:t>
            </w:r>
          </w:p>
        </w:tc>
        <w:tc>
          <w:tcPr>
            <w:tcW w:w="7449" w:type="dxa"/>
            <w:gridSpan w:val="9"/>
            <w:noWrap w:val="0"/>
            <w:vAlign w:val="center"/>
          </w:tcPr>
          <w:p>
            <w:pPr>
              <w:pStyle w:val="123"/>
              <w:bidi w:val="0"/>
              <w:jc w:val="both"/>
              <w:rPr>
                <w:rFonts w:hint="eastAsia" w:eastAsia="宋体"/>
                <w:color w:val="auto"/>
                <w:u w:val="single"/>
                <w:lang w:eastAsia="zh-CN"/>
              </w:rPr>
            </w:pPr>
            <w:r>
              <w:rPr>
                <w:rFonts w:hint="eastAsia"/>
                <w:color w:val="auto"/>
                <w:u w:val="single"/>
              </w:rPr>
              <w:t>东部老工业区、西部新规划区</w:t>
            </w:r>
            <w:r>
              <w:rPr>
                <w:rFonts w:hint="eastAsia"/>
                <w:color w:val="auto"/>
                <w:u w:val="single"/>
                <w:lang w:eastAsia="zh-CN"/>
              </w:rPr>
              <w:t>：</w:t>
            </w:r>
          </w:p>
          <w:p>
            <w:pPr>
              <w:pStyle w:val="123"/>
              <w:bidi w:val="0"/>
              <w:jc w:val="both"/>
              <w:rPr>
                <w:rFonts w:hint="eastAsia"/>
                <w:color w:val="auto"/>
                <w:u w:val="single"/>
              </w:rPr>
            </w:pPr>
            <w:r>
              <w:rPr>
                <w:rFonts w:hint="eastAsia"/>
                <w:color w:val="auto"/>
                <w:u w:val="single"/>
              </w:rPr>
              <w:t>(1.1) 园区引进企业应当符合“花垣县产业准入负面清单”的有关规定。</w:t>
            </w:r>
          </w:p>
          <w:p>
            <w:pPr>
              <w:pStyle w:val="123"/>
              <w:bidi w:val="0"/>
              <w:jc w:val="both"/>
              <w:rPr>
                <w:rFonts w:hint="eastAsia"/>
                <w:color w:val="auto"/>
                <w:u w:val="single"/>
              </w:rPr>
            </w:pPr>
            <w:r>
              <w:rPr>
                <w:rFonts w:hint="eastAsia"/>
                <w:color w:val="auto"/>
                <w:u w:val="single"/>
              </w:rPr>
              <w:t>(1.2) 限制引进耗水量大或水型污染为主的企业。</w:t>
            </w:r>
          </w:p>
          <w:p>
            <w:pPr>
              <w:pStyle w:val="123"/>
              <w:bidi w:val="0"/>
              <w:jc w:val="both"/>
              <w:rPr>
                <w:rFonts w:hint="eastAsia"/>
                <w:color w:val="auto"/>
                <w:u w:val="single"/>
              </w:rPr>
            </w:pPr>
            <w:r>
              <w:rPr>
                <w:rFonts w:hint="eastAsia"/>
                <w:color w:val="auto"/>
                <w:u w:val="single"/>
              </w:rPr>
              <w:t>(1.3)园区与花坦县城区相邻的区域应设置合理的防护距高。合理规划道路两侧用地，靠近交通干线两侧一定范围内不得建设对噪声敏感的建筑物，居住区与工业区设置合理的噪声防护距高。</w:t>
            </w:r>
          </w:p>
          <w:p>
            <w:pPr>
              <w:pStyle w:val="123"/>
              <w:bidi w:val="0"/>
              <w:jc w:val="both"/>
              <w:rPr>
                <w:rFonts w:hint="eastAsia" w:eastAsia="宋体"/>
                <w:color w:val="auto"/>
                <w:u w:val="single"/>
                <w:lang w:eastAsia="zh-CN"/>
              </w:rPr>
            </w:pPr>
            <w:r>
              <w:rPr>
                <w:rFonts w:hint="eastAsia"/>
                <w:color w:val="auto"/>
                <w:u w:val="single"/>
              </w:rPr>
              <w:t>东部老工业区</w:t>
            </w:r>
            <w:r>
              <w:rPr>
                <w:rFonts w:hint="eastAsia"/>
                <w:color w:val="auto"/>
                <w:u w:val="single"/>
                <w:lang w:eastAsia="zh-CN"/>
              </w:rPr>
              <w:t>：</w:t>
            </w:r>
          </w:p>
          <w:p>
            <w:pPr>
              <w:pStyle w:val="123"/>
              <w:bidi w:val="0"/>
              <w:jc w:val="both"/>
              <w:rPr>
                <w:rFonts w:hint="eastAsia"/>
                <w:color w:val="auto"/>
                <w:u w:val="single"/>
              </w:rPr>
            </w:pPr>
            <w:r>
              <w:rPr>
                <w:rFonts w:hint="eastAsia"/>
                <w:color w:val="auto"/>
                <w:u w:val="single"/>
              </w:rPr>
              <w:t>(1.4) 东部老工业区不再新增三类工业，限制二类企业、禁止三类企业和气型污染企业进入。</w:t>
            </w:r>
          </w:p>
          <w:p>
            <w:pPr>
              <w:pStyle w:val="123"/>
              <w:bidi w:val="0"/>
              <w:jc w:val="both"/>
              <w:rPr>
                <w:rFonts w:hint="eastAsia"/>
                <w:color w:val="auto"/>
                <w:u w:val="single"/>
              </w:rPr>
            </w:pPr>
            <w:r>
              <w:rPr>
                <w:rFonts w:hint="eastAsia"/>
                <w:color w:val="auto"/>
                <w:u w:val="single"/>
              </w:rPr>
              <w:t>(1.5)东部老工业区涉及湖南花垣古苗河省级地质公园，应当严格执行《湘西自治州地质公园保护管理办法》的相关规定。</w:t>
            </w:r>
          </w:p>
        </w:tc>
        <w:tc>
          <w:tcPr>
            <w:tcW w:w="4329" w:type="dxa"/>
            <w:gridSpan w:val="2"/>
            <w:noWrap w:val="0"/>
            <w:vAlign w:val="center"/>
          </w:tcPr>
          <w:p>
            <w:pPr>
              <w:pStyle w:val="123"/>
              <w:bidi w:val="0"/>
              <w:jc w:val="both"/>
              <w:rPr>
                <w:rFonts w:hint="eastAsia" w:eastAsia="宋体"/>
                <w:color w:val="auto"/>
                <w:u w:val="single"/>
                <w:lang w:val="en-US" w:eastAsia="zh-CN"/>
              </w:rPr>
            </w:pPr>
            <w:r>
              <w:rPr>
                <w:rFonts w:hint="eastAsia" w:eastAsia="宋体"/>
                <w:color w:val="auto"/>
                <w:u w:val="single"/>
                <w:lang w:val="en-US" w:eastAsia="zh-CN"/>
              </w:rPr>
              <w:t>本项目不属于花垣产业准入负面清单，项目为废水处理项目，本身不属于耗水量大的水污染为主的企业，本项目建设符合花垣县工业集中区产业定位。本项目不涉及湖南花垣古苗河省级地质公园</w:t>
            </w:r>
          </w:p>
        </w:tc>
        <w:tc>
          <w:tcPr>
            <w:tcW w:w="1199" w:type="dxa"/>
            <w:noWrap w:val="0"/>
            <w:vAlign w:val="center"/>
          </w:tcPr>
          <w:p>
            <w:pPr>
              <w:pStyle w:val="123"/>
              <w:bidi w:val="0"/>
              <w:jc w:val="center"/>
              <w:rPr>
                <w:rFonts w:hint="eastAsia"/>
                <w:color w:val="auto"/>
                <w:u w:val="single"/>
                <w:lang w:eastAsia="zh-CN"/>
              </w:rPr>
            </w:pPr>
            <w:r>
              <w:rPr>
                <w:rFonts w:hint="eastAsia"/>
                <w:color w:val="auto"/>
                <w:u w:val="singl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976" w:type="dxa"/>
            <w:noWrap w:val="0"/>
            <w:vAlign w:val="center"/>
          </w:tcPr>
          <w:p>
            <w:pPr>
              <w:pStyle w:val="123"/>
              <w:bidi w:val="0"/>
              <w:rPr>
                <w:rFonts w:hint="eastAsia"/>
                <w:color w:val="auto"/>
                <w:u w:val="single"/>
              </w:rPr>
            </w:pPr>
            <w:r>
              <w:rPr>
                <w:rFonts w:hint="eastAsia"/>
                <w:color w:val="auto"/>
                <w:u w:val="single"/>
              </w:rPr>
              <w:t>污染物排放管控</w:t>
            </w:r>
          </w:p>
        </w:tc>
        <w:tc>
          <w:tcPr>
            <w:tcW w:w="7449" w:type="dxa"/>
            <w:gridSpan w:val="9"/>
            <w:noWrap w:val="0"/>
            <w:vAlign w:val="center"/>
          </w:tcPr>
          <w:p>
            <w:pPr>
              <w:pStyle w:val="123"/>
              <w:bidi w:val="0"/>
              <w:jc w:val="both"/>
              <w:rPr>
                <w:rFonts w:hint="eastAsia"/>
                <w:color w:val="auto"/>
                <w:u w:val="single"/>
              </w:rPr>
            </w:pPr>
            <w:r>
              <w:rPr>
                <w:rFonts w:hint="eastAsia"/>
                <w:color w:val="auto"/>
                <w:u w:val="single"/>
              </w:rPr>
              <w:t>(2.1)废水</w:t>
            </w:r>
            <w:r>
              <w:rPr>
                <w:rFonts w:hint="eastAsia"/>
                <w:color w:val="auto"/>
                <w:u w:val="single"/>
                <w:lang w:eastAsia="zh-CN"/>
              </w:rPr>
              <w:t>：</w:t>
            </w:r>
            <w:r>
              <w:rPr>
                <w:rFonts w:hint="eastAsia"/>
                <w:color w:val="auto"/>
                <w:u w:val="single"/>
              </w:rPr>
              <w:t>园区排水实施雨污分流。园区内有色金属等行业水污染物排放应满足《湖南省生态环境厅关于执行污染物特别排放限值(第-批)的公告》的要求。</w:t>
            </w:r>
          </w:p>
          <w:p>
            <w:pPr>
              <w:pStyle w:val="123"/>
              <w:bidi w:val="0"/>
              <w:jc w:val="both"/>
              <w:rPr>
                <w:rFonts w:hint="eastAsia"/>
                <w:color w:val="auto"/>
                <w:u w:val="single"/>
              </w:rPr>
            </w:pPr>
            <w:r>
              <w:rPr>
                <w:rFonts w:hint="eastAsia"/>
                <w:color w:val="auto"/>
                <w:u w:val="single"/>
              </w:rPr>
              <w:t>西部新规划区</w:t>
            </w:r>
            <w:r>
              <w:rPr>
                <w:rFonts w:hint="eastAsia"/>
                <w:color w:val="auto"/>
                <w:u w:val="single"/>
                <w:lang w:eastAsia="zh-CN"/>
              </w:rPr>
              <w:t>：</w:t>
            </w:r>
            <w:r>
              <w:rPr>
                <w:rFonts w:hint="eastAsia"/>
                <w:color w:val="auto"/>
                <w:u w:val="single"/>
              </w:rPr>
              <w:t>加快西部片区1万吨/日集中式污水处理厂建设，区内污废水经处理达标后排入花垣河。污水处理厂建成投运且集中区配套排水管网接管建成前，集中区废污水须处理达相应标准后方可排入花垣河。</w:t>
            </w:r>
          </w:p>
          <w:p>
            <w:pPr>
              <w:pStyle w:val="123"/>
              <w:bidi w:val="0"/>
              <w:jc w:val="both"/>
              <w:rPr>
                <w:rFonts w:hint="eastAsia"/>
                <w:color w:val="auto"/>
                <w:u w:val="single"/>
              </w:rPr>
            </w:pPr>
            <w:r>
              <w:rPr>
                <w:rFonts w:hint="eastAsia"/>
                <w:color w:val="auto"/>
                <w:u w:val="single"/>
              </w:rPr>
              <w:t>东部老工业区</w:t>
            </w:r>
            <w:r>
              <w:rPr>
                <w:rFonts w:hint="eastAsia"/>
                <w:color w:val="auto"/>
                <w:u w:val="single"/>
                <w:lang w:eastAsia="zh-CN"/>
              </w:rPr>
              <w:t>：</w:t>
            </w:r>
            <w:r>
              <w:rPr>
                <w:rFonts w:hint="eastAsia"/>
                <w:color w:val="auto"/>
                <w:u w:val="single"/>
              </w:rPr>
              <w:t>现有企业污废水经自行处理达相应标准后回用或排入花垣河，其中三立集团的生活污水经厂内预处理后进入花垣县城镇污水处理厂。</w:t>
            </w:r>
          </w:p>
          <w:p>
            <w:pPr>
              <w:pStyle w:val="123"/>
              <w:bidi w:val="0"/>
              <w:jc w:val="both"/>
              <w:rPr>
                <w:rFonts w:hint="eastAsia" w:eastAsia="宋体"/>
                <w:color w:val="auto"/>
                <w:u w:val="single"/>
                <w:lang w:eastAsia="zh-CN"/>
              </w:rPr>
            </w:pPr>
            <w:r>
              <w:rPr>
                <w:rFonts w:hint="eastAsia"/>
                <w:color w:val="auto"/>
                <w:u w:val="single"/>
              </w:rPr>
              <w:t>(2.2)废气</w:t>
            </w:r>
            <w:r>
              <w:rPr>
                <w:rFonts w:hint="eastAsia"/>
                <w:color w:val="auto"/>
                <w:u w:val="single"/>
                <w:lang w:eastAsia="zh-CN"/>
              </w:rPr>
              <w:t>：</w:t>
            </w:r>
          </w:p>
          <w:p>
            <w:pPr>
              <w:pStyle w:val="123"/>
              <w:bidi w:val="0"/>
              <w:jc w:val="both"/>
              <w:rPr>
                <w:rFonts w:hint="eastAsia"/>
                <w:color w:val="auto"/>
                <w:u w:val="single"/>
              </w:rPr>
            </w:pPr>
            <w:r>
              <w:rPr>
                <w:rFonts w:hint="eastAsia"/>
                <w:color w:val="auto"/>
                <w:u w:val="single"/>
              </w:rPr>
              <w:t>(2.2.1)做好对现有重污染企业环境污染整治工程的监督管理，确保污防设施正常运行和稳定达标排放;加强生产工艺研究与技术改进，采取有效措施，减少园区企业工艺废气的无组织排放</w:t>
            </w:r>
            <w:r>
              <w:rPr>
                <w:rFonts w:hint="eastAsia"/>
                <w:color w:val="auto"/>
                <w:u w:val="single"/>
                <w:lang w:eastAsia="zh-CN"/>
              </w:rPr>
              <w:t>；</w:t>
            </w:r>
            <w:r>
              <w:rPr>
                <w:rFonts w:hint="eastAsia"/>
                <w:color w:val="auto"/>
                <w:u w:val="single"/>
              </w:rPr>
              <w:t>入园企业各生产装置排放的废气须经处理达到相应标准，有色金属等行业及涉锅炉大气污染物排放应满足《湖南省生态环境厅关于执行污染物特别排放限值(第一批)的公告》的要求。</w:t>
            </w:r>
          </w:p>
          <w:p>
            <w:pPr>
              <w:pStyle w:val="123"/>
              <w:bidi w:val="0"/>
              <w:jc w:val="both"/>
              <w:rPr>
                <w:rFonts w:hint="eastAsia"/>
                <w:color w:val="auto"/>
                <w:u w:val="single"/>
              </w:rPr>
            </w:pPr>
            <w:r>
              <w:rPr>
                <w:rFonts w:hint="eastAsia"/>
                <w:color w:val="auto"/>
                <w:u w:val="single"/>
              </w:rPr>
              <w:t>(2.2.2)以有色金属冶炼等行业为重点，全面推进清洁生产技术改造，注重过程控制。加快推进生物医药、食品加工等重点行业VOCs治理。风量在5万立方米/小时以上的单个排气口必须安装在线监测设备。排气口高度超过45米的高架源以及VOCs排放重点源纳入重点排污单位名录，安装烟气排放自动监控设施，并实现与生态环境部门联网。</w:t>
            </w:r>
          </w:p>
          <w:p>
            <w:pPr>
              <w:pStyle w:val="123"/>
              <w:bidi w:val="0"/>
              <w:jc w:val="both"/>
              <w:rPr>
                <w:rFonts w:hint="eastAsia" w:eastAsia="宋体"/>
                <w:color w:val="auto"/>
                <w:u w:val="single"/>
                <w:lang w:eastAsia="zh-CN"/>
              </w:rPr>
            </w:pPr>
            <w:r>
              <w:rPr>
                <w:rFonts w:hint="eastAsia"/>
                <w:color w:val="auto"/>
                <w:u w:val="single"/>
              </w:rPr>
              <w:t>(2.3) 固废</w:t>
            </w:r>
            <w:r>
              <w:rPr>
                <w:rFonts w:hint="eastAsia"/>
                <w:color w:val="auto"/>
                <w:u w:val="single"/>
                <w:lang w:eastAsia="zh-CN"/>
              </w:rPr>
              <w:t>：</w:t>
            </w:r>
          </w:p>
          <w:p>
            <w:pPr>
              <w:pStyle w:val="123"/>
              <w:bidi w:val="0"/>
              <w:jc w:val="both"/>
              <w:rPr>
                <w:rFonts w:hint="eastAsia"/>
                <w:color w:val="auto"/>
                <w:u w:val="single"/>
              </w:rPr>
            </w:pPr>
            <w:r>
              <w:rPr>
                <w:rFonts w:hint="eastAsia"/>
                <w:color w:val="auto"/>
                <w:u w:val="single"/>
              </w:rPr>
              <w:t>(2.3.1)做好工业固体废物和生活垃圾的分类收集、转运、综合利用和无害化处理，建立统一的固废收集、贮存、运输、综合利用和安全处置的运营管理体系。推行清洁生产，减少固体废物产生量</w:t>
            </w:r>
            <w:r>
              <w:rPr>
                <w:rFonts w:hint="eastAsia"/>
                <w:color w:val="auto"/>
                <w:u w:val="single"/>
                <w:lang w:eastAsia="zh-CN"/>
              </w:rPr>
              <w:t>；</w:t>
            </w:r>
            <w:r>
              <w:rPr>
                <w:rFonts w:hint="eastAsia"/>
                <w:color w:val="auto"/>
                <w:u w:val="single"/>
              </w:rPr>
              <w:t>加强固体废物的资源化进程，提高综合利用率;规范固体废物处理措施，对工业企业产生固体废物特别是危险废物应按国家有关规定综合利用或妥善处置，严防二次污染。</w:t>
            </w:r>
          </w:p>
          <w:p>
            <w:pPr>
              <w:pStyle w:val="123"/>
              <w:bidi w:val="0"/>
              <w:jc w:val="both"/>
              <w:rPr>
                <w:rFonts w:hint="eastAsia"/>
                <w:color w:val="auto"/>
                <w:u w:val="single"/>
              </w:rPr>
            </w:pPr>
            <w:r>
              <w:rPr>
                <w:rFonts w:hint="eastAsia"/>
                <w:color w:val="auto"/>
                <w:u w:val="single"/>
              </w:rPr>
              <w:t>(2.3.2)酸浸渣、铜镉渣和中和渣等危险废物应由有资质单位安全处置</w:t>
            </w:r>
            <w:r>
              <w:rPr>
                <w:rFonts w:hint="eastAsia"/>
                <w:color w:val="auto"/>
                <w:u w:val="single"/>
                <w:lang w:eastAsia="zh-CN"/>
              </w:rPr>
              <w:t>；</w:t>
            </w:r>
            <w:r>
              <w:rPr>
                <w:rFonts w:hint="eastAsia"/>
                <w:color w:val="auto"/>
                <w:u w:val="single"/>
              </w:rPr>
              <w:t>电解锰渣、锌渣等须按照国家相关规定全部回收利用或安全处置，锰渣库须达到II类一般工业固体废物库要求方可投入使用。</w:t>
            </w:r>
          </w:p>
          <w:p>
            <w:pPr>
              <w:pStyle w:val="123"/>
              <w:bidi w:val="0"/>
              <w:jc w:val="both"/>
              <w:rPr>
                <w:rFonts w:hint="eastAsia"/>
                <w:color w:val="auto"/>
                <w:u w:val="single"/>
              </w:rPr>
            </w:pPr>
            <w:r>
              <w:rPr>
                <w:rFonts w:hint="eastAsia"/>
                <w:color w:val="auto"/>
                <w:u w:val="single"/>
              </w:rPr>
              <w:t>(2.3.3) 全面开展冶炼渣、锰渣堆存场所排查和整治，完善防扬散、防流失、防渗漏等设施，制定完成整治方案并有序实施。</w:t>
            </w:r>
          </w:p>
        </w:tc>
        <w:tc>
          <w:tcPr>
            <w:tcW w:w="4329" w:type="dxa"/>
            <w:gridSpan w:val="2"/>
            <w:noWrap w:val="0"/>
            <w:vAlign w:val="center"/>
          </w:tcPr>
          <w:p>
            <w:pPr>
              <w:pStyle w:val="123"/>
              <w:bidi w:val="0"/>
              <w:jc w:val="both"/>
              <w:rPr>
                <w:rFonts w:hint="eastAsia"/>
                <w:color w:val="auto"/>
                <w:u w:val="single"/>
                <w:lang w:val="en-US" w:eastAsia="zh-CN"/>
              </w:rPr>
            </w:pPr>
            <w:r>
              <w:rPr>
                <w:rFonts w:hint="eastAsia"/>
                <w:color w:val="auto"/>
                <w:u w:val="single"/>
                <w:lang w:val="en-US" w:eastAsia="zh-CN"/>
              </w:rPr>
              <w:t>本项目属于花垣工业集中区污水处理厂配套设施，主要处理重金属废水，本项目含一类污染物（铬、铅）的废水经处理在车间排口达到《污水综合排放标准》( GB8978-1996)表1最高允许排放浓度要求后方可接管，本项目废水经处理后出水水质总钒指标执行《钒工业污染物排放标准》（GB26452-2001）表2标准限值，其他污染物指标达到《城镇污水处理厂污染物排放标准》（GB18918-2002）表2、表3中标准限值。</w:t>
            </w:r>
          </w:p>
        </w:tc>
        <w:tc>
          <w:tcPr>
            <w:tcW w:w="1199" w:type="dxa"/>
            <w:noWrap w:val="0"/>
            <w:vAlign w:val="center"/>
          </w:tcPr>
          <w:p>
            <w:pPr>
              <w:pStyle w:val="123"/>
              <w:bidi w:val="0"/>
              <w:rPr>
                <w:rFonts w:hint="eastAsia"/>
                <w:color w:val="auto"/>
                <w:u w:val="single"/>
                <w:lang w:eastAsia="zh-CN"/>
              </w:rPr>
            </w:pPr>
            <w:r>
              <w:rPr>
                <w:rFonts w:hint="eastAsia"/>
                <w:color w:val="auto"/>
                <w:u w:val="singl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976" w:type="dxa"/>
            <w:noWrap w:val="0"/>
            <w:vAlign w:val="center"/>
          </w:tcPr>
          <w:p>
            <w:pPr>
              <w:pStyle w:val="123"/>
              <w:bidi w:val="0"/>
              <w:rPr>
                <w:rFonts w:hint="eastAsia"/>
                <w:color w:val="auto"/>
                <w:u w:val="single"/>
              </w:rPr>
            </w:pPr>
            <w:r>
              <w:rPr>
                <w:rFonts w:hint="eastAsia"/>
                <w:color w:val="auto"/>
                <w:u w:val="single"/>
              </w:rPr>
              <w:t>环境风险防控</w:t>
            </w:r>
          </w:p>
        </w:tc>
        <w:tc>
          <w:tcPr>
            <w:tcW w:w="7449" w:type="dxa"/>
            <w:gridSpan w:val="9"/>
            <w:noWrap w:val="0"/>
            <w:vAlign w:val="center"/>
          </w:tcPr>
          <w:p>
            <w:pPr>
              <w:pStyle w:val="123"/>
              <w:bidi w:val="0"/>
              <w:jc w:val="both"/>
              <w:rPr>
                <w:rFonts w:hint="eastAsia"/>
                <w:color w:val="auto"/>
                <w:u w:val="single"/>
              </w:rPr>
            </w:pPr>
            <w:r>
              <w:rPr>
                <w:rFonts w:hint="eastAsia"/>
                <w:color w:val="auto"/>
                <w:u w:val="single"/>
              </w:rPr>
              <w:t>(3.1)园区应建立健全环境风险防控体系，组织落实《花垣工业集中区突发环境事件应急预案》提出的相关要求，加强环境风险事故防范和应急管理，加强对集中区环境风险重点防控企业、重点防控尾矿库的管理。</w:t>
            </w:r>
          </w:p>
          <w:p>
            <w:pPr>
              <w:pStyle w:val="123"/>
              <w:bidi w:val="0"/>
              <w:jc w:val="both"/>
              <w:rPr>
                <w:rFonts w:hint="eastAsia"/>
                <w:color w:val="auto"/>
                <w:u w:val="single"/>
              </w:rPr>
            </w:pPr>
            <w:r>
              <w:rPr>
                <w:rFonts w:hint="eastAsia"/>
                <w:color w:val="auto"/>
                <w:u w:val="single"/>
              </w:rPr>
              <w:t>(3.2) 园区可能发生突发环境事件的污染物排放企业，储存、运输、使用危险化学品的企业，产生、收集、贮存、运输、利用、处置危险废物的企业，尾矿库(锰渣库)企业等应当编制和实施环境应急预案;鼓励其他企业制定单独的环境应急预案，或在突发事件应急预案中制定环境应急预案专章，并备案。</w:t>
            </w:r>
          </w:p>
          <w:p>
            <w:pPr>
              <w:pStyle w:val="123"/>
              <w:bidi w:val="0"/>
              <w:jc w:val="both"/>
              <w:rPr>
                <w:rFonts w:hint="eastAsia"/>
                <w:color w:val="auto"/>
                <w:u w:val="single"/>
              </w:rPr>
            </w:pPr>
            <w:r>
              <w:rPr>
                <w:rFonts w:hint="eastAsia"/>
                <w:color w:val="auto"/>
                <w:u w:val="single"/>
              </w:rPr>
              <w:t>(3.3) 落实东部老工业区落后产能淘汰方案，做好淘汰落后产能遗留环境问题处置工作。对历史遗留的锰渣库进行有效治理，杜绝环境安全隐患。原锰锌高科技污染场地在移出污染地块名录以前，不得作为居住用地和商业、学校、医疗、养老机构等公共设施用地。</w:t>
            </w:r>
          </w:p>
          <w:p>
            <w:pPr>
              <w:pStyle w:val="123"/>
              <w:bidi w:val="0"/>
              <w:jc w:val="both"/>
              <w:rPr>
                <w:rFonts w:hint="eastAsia"/>
                <w:color w:val="auto"/>
                <w:u w:val="single"/>
              </w:rPr>
            </w:pPr>
            <w:r>
              <w:rPr>
                <w:rFonts w:hint="eastAsia"/>
                <w:color w:val="auto"/>
                <w:u w:val="single"/>
              </w:rPr>
              <w:t>(3.4) 建设用地土壤风险防控</w:t>
            </w:r>
            <w:r>
              <w:rPr>
                <w:rFonts w:hint="eastAsia"/>
                <w:color w:val="auto"/>
                <w:u w:val="single"/>
                <w:lang w:eastAsia="zh-CN"/>
              </w:rPr>
              <w:t>：</w:t>
            </w:r>
            <w:r>
              <w:rPr>
                <w:rFonts w:hint="eastAsia"/>
                <w:color w:val="auto"/>
                <w:u w:val="single"/>
              </w:rPr>
              <w:t>加强涉重金属行业污染防控力度。将涉重金属行业企业纳入土壤环境重点监管企业名羊，加大涉重金属企业治污与清洁生产改造力度，规范企业无组织排放与物料、固体废物堆场堆存，稳步推进重佥属减排。排放重点污染物的建设项目，严格落实土壤环境影响的评价内容，并提出防范土壤污染的具体措施。新(改、扩)建电解锰项目应采用国家推荐的清洁生产工艺和污染防治技术。电解锰行业对以下污染物进行重点防治</w:t>
            </w:r>
            <w:r>
              <w:rPr>
                <w:rFonts w:hint="eastAsia"/>
                <w:color w:val="auto"/>
                <w:u w:val="single"/>
                <w:lang w:eastAsia="zh-CN"/>
              </w:rPr>
              <w:t>：</w:t>
            </w:r>
            <w:r>
              <w:rPr>
                <w:rFonts w:hint="eastAsia"/>
                <w:color w:val="auto"/>
                <w:u w:val="single"/>
              </w:rPr>
              <w:t>铬、硒、锰、氨氮、酸雾、工业粉尘、锰渣、阳板泥、硫化渣和铬渣。</w:t>
            </w:r>
          </w:p>
        </w:tc>
        <w:tc>
          <w:tcPr>
            <w:tcW w:w="4329" w:type="dxa"/>
            <w:gridSpan w:val="2"/>
            <w:noWrap w:val="0"/>
            <w:vAlign w:val="center"/>
          </w:tcPr>
          <w:p>
            <w:pPr>
              <w:pStyle w:val="123"/>
              <w:bidi w:val="0"/>
              <w:jc w:val="both"/>
              <w:rPr>
                <w:rFonts w:hint="default"/>
                <w:color w:val="auto"/>
                <w:u w:val="single"/>
                <w:lang w:val="en-US" w:eastAsia="zh-CN"/>
              </w:rPr>
            </w:pPr>
            <w:r>
              <w:rPr>
                <w:rFonts w:hint="eastAsia"/>
                <w:color w:val="auto"/>
                <w:u w:val="single"/>
                <w:lang w:val="en-US" w:eastAsia="zh-CN"/>
              </w:rPr>
              <w:t>本项目属于重金属集中处理项目，纳污范围为花垣工业集中区卡地片区，项目的建设对该园区重金属减排、环境风险防控等作用明显。</w:t>
            </w:r>
          </w:p>
        </w:tc>
        <w:tc>
          <w:tcPr>
            <w:tcW w:w="1199" w:type="dxa"/>
            <w:noWrap w:val="0"/>
            <w:vAlign w:val="center"/>
          </w:tcPr>
          <w:p>
            <w:pPr>
              <w:pStyle w:val="123"/>
              <w:bidi w:val="0"/>
              <w:rPr>
                <w:rFonts w:hint="eastAsia"/>
                <w:color w:val="auto"/>
                <w:u w:val="single"/>
                <w:lang w:eastAsia="zh-CN"/>
              </w:rPr>
            </w:pPr>
            <w:r>
              <w:rPr>
                <w:rFonts w:hint="eastAsia"/>
                <w:color w:val="auto"/>
                <w:u w:val="single"/>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976" w:type="dxa"/>
            <w:noWrap w:val="0"/>
            <w:vAlign w:val="center"/>
          </w:tcPr>
          <w:p>
            <w:pPr>
              <w:pStyle w:val="123"/>
              <w:bidi w:val="0"/>
              <w:rPr>
                <w:rFonts w:hint="eastAsia"/>
                <w:color w:val="auto"/>
                <w:u w:val="single"/>
              </w:rPr>
            </w:pPr>
            <w:r>
              <w:rPr>
                <w:rFonts w:hint="eastAsia"/>
                <w:color w:val="auto"/>
                <w:u w:val="single"/>
              </w:rPr>
              <w:t>资源开发效率要求</w:t>
            </w:r>
          </w:p>
        </w:tc>
        <w:tc>
          <w:tcPr>
            <w:tcW w:w="7449" w:type="dxa"/>
            <w:gridSpan w:val="9"/>
            <w:noWrap w:val="0"/>
            <w:vAlign w:val="center"/>
          </w:tcPr>
          <w:p>
            <w:pPr>
              <w:pStyle w:val="123"/>
              <w:bidi w:val="0"/>
              <w:jc w:val="both"/>
              <w:rPr>
                <w:rFonts w:hint="eastAsia"/>
                <w:color w:val="auto"/>
                <w:u w:val="single"/>
              </w:rPr>
            </w:pPr>
            <w:r>
              <w:rPr>
                <w:rFonts w:hint="eastAsia"/>
                <w:color w:val="auto"/>
                <w:u w:val="single"/>
              </w:rPr>
              <w:t>(4.1) 能源</w:t>
            </w:r>
            <w:r>
              <w:rPr>
                <w:rFonts w:hint="eastAsia"/>
                <w:color w:val="auto"/>
                <w:u w:val="single"/>
                <w:lang w:eastAsia="zh-CN"/>
              </w:rPr>
              <w:t>：</w:t>
            </w:r>
            <w:r>
              <w:rPr>
                <w:rFonts w:hint="eastAsia"/>
                <w:color w:val="auto"/>
                <w:u w:val="single"/>
              </w:rPr>
              <w:t>加快推进天然气管网建设，积极推广清洁能源。积板应用炉前风机及二氧化硫风机高压高频改造、阳极板改造等先进节能技术，尽量选用节能机电设备，积板推行清洁生产、余热余压回收利用、节水、绿色建筑节能、公共机构节能及采用信息化能源管理系统等。到2020年，园区综合能源消赉量预测值为13.69万吨标煤(当量值)，单位GDP能耗预测值为0.478吨标煤/万元</w:t>
            </w:r>
            <w:r>
              <w:rPr>
                <w:rFonts w:hint="eastAsia"/>
                <w:color w:val="auto"/>
                <w:u w:val="single"/>
                <w:lang w:eastAsia="zh-CN"/>
              </w:rPr>
              <w:t>；</w:t>
            </w:r>
            <w:r>
              <w:rPr>
                <w:rFonts w:hint="eastAsia"/>
                <w:color w:val="auto"/>
                <w:u w:val="single"/>
              </w:rPr>
              <w:t>到2025年，园区综合能 源消赉量预测值为21.26万吨标煤(当量值)，单位GDP能耗预测值为0.461 吨标煤/万元，单位GDP能耗较2018年下降15%。</w:t>
            </w:r>
          </w:p>
          <w:p>
            <w:pPr>
              <w:pStyle w:val="123"/>
              <w:bidi w:val="0"/>
              <w:jc w:val="both"/>
              <w:rPr>
                <w:rFonts w:hint="eastAsia"/>
                <w:color w:val="auto"/>
                <w:u w:val="single"/>
              </w:rPr>
            </w:pPr>
            <w:r>
              <w:rPr>
                <w:rFonts w:hint="eastAsia"/>
                <w:color w:val="auto"/>
                <w:u w:val="single"/>
              </w:rPr>
              <w:t>(4.2)水资源</w:t>
            </w:r>
            <w:r>
              <w:rPr>
                <w:rFonts w:hint="eastAsia"/>
                <w:color w:val="auto"/>
                <w:u w:val="single"/>
                <w:lang w:eastAsia="zh-CN"/>
              </w:rPr>
              <w:t>：</w:t>
            </w:r>
            <w:r>
              <w:rPr>
                <w:rFonts w:hint="eastAsia"/>
                <w:color w:val="auto"/>
                <w:u w:val="single"/>
              </w:rPr>
              <w:t>强化工业节水，重点开展食品等高耗水工业节水技术改造，大力推广工业水循环利用，推进节水型企业、节水型园区建设。到2020年，花垣县万元国内生产总值用水量比2015年下降27.4%，万元工业增加值用水量比2015年下降26.7%。</w:t>
            </w:r>
          </w:p>
          <w:p>
            <w:pPr>
              <w:pStyle w:val="123"/>
              <w:bidi w:val="0"/>
              <w:jc w:val="both"/>
              <w:rPr>
                <w:rFonts w:hint="eastAsia"/>
                <w:color w:val="auto"/>
                <w:u w:val="single"/>
              </w:rPr>
            </w:pPr>
            <w:r>
              <w:rPr>
                <w:rFonts w:hint="eastAsia"/>
                <w:color w:val="auto"/>
                <w:u w:val="single"/>
              </w:rPr>
              <w:t>(4.3)土地资源</w:t>
            </w:r>
            <w:r>
              <w:rPr>
                <w:rFonts w:hint="eastAsia"/>
                <w:color w:val="auto"/>
                <w:u w:val="single"/>
                <w:lang w:eastAsia="zh-CN"/>
              </w:rPr>
              <w:t>：</w:t>
            </w:r>
            <w:r>
              <w:rPr>
                <w:rFonts w:hint="eastAsia"/>
                <w:color w:val="auto"/>
                <w:u w:val="single"/>
              </w:rPr>
              <w:t>新增建设用地指标优先保障承接产业转移项目建设，必须满足重大产业项目发展需要。优先保障主动进入园区的涉矿加工企业用地。到2025年，园区工业固定资产投资强度不低于150万元/亩。</w:t>
            </w:r>
          </w:p>
        </w:tc>
        <w:tc>
          <w:tcPr>
            <w:tcW w:w="4329" w:type="dxa"/>
            <w:gridSpan w:val="2"/>
            <w:noWrap w:val="0"/>
            <w:vAlign w:val="center"/>
          </w:tcPr>
          <w:p>
            <w:pPr>
              <w:pStyle w:val="123"/>
              <w:bidi w:val="0"/>
              <w:jc w:val="both"/>
              <w:rPr>
                <w:rFonts w:hint="eastAsia"/>
                <w:color w:val="auto"/>
                <w:u w:val="single"/>
                <w:lang w:val="en-US" w:eastAsia="zh-CN"/>
              </w:rPr>
            </w:pPr>
            <w:r>
              <w:rPr>
                <w:rFonts w:hint="eastAsia"/>
                <w:color w:val="auto"/>
                <w:u w:val="single"/>
                <w:lang w:val="en-US" w:eastAsia="zh-CN"/>
              </w:rPr>
              <w:t>本项目为废水处理项目，不属于高耗水工业，项目使用能源为电能</w:t>
            </w:r>
          </w:p>
        </w:tc>
        <w:tc>
          <w:tcPr>
            <w:tcW w:w="1199" w:type="dxa"/>
            <w:noWrap w:val="0"/>
            <w:vAlign w:val="center"/>
          </w:tcPr>
          <w:p>
            <w:pPr>
              <w:pStyle w:val="123"/>
              <w:bidi w:val="0"/>
              <w:rPr>
                <w:rFonts w:hint="eastAsia"/>
                <w:color w:val="auto"/>
                <w:u w:val="single"/>
                <w:lang w:eastAsia="zh-CN"/>
              </w:rPr>
            </w:pPr>
            <w:r>
              <w:rPr>
                <w:rFonts w:hint="eastAsia"/>
                <w:color w:val="auto"/>
                <w:u w:val="single"/>
                <w:lang w:eastAsia="zh-CN"/>
              </w:rPr>
              <w:t>符合</w:t>
            </w:r>
          </w:p>
        </w:tc>
      </w:tr>
    </w:tbl>
    <w:p>
      <w:pPr>
        <w:pStyle w:val="121"/>
        <w:keepNext w:val="0"/>
        <w:keepLines w:val="0"/>
        <w:pageBreakBefore w:val="0"/>
        <w:widowControl/>
        <w:kinsoku/>
        <w:wordWrap/>
        <w:overflowPunct/>
        <w:topLinePunct w:val="0"/>
        <w:autoSpaceDE/>
        <w:autoSpaceDN/>
        <w:bidi w:val="0"/>
        <w:adjustRightInd/>
        <w:snapToGrid w:val="0"/>
        <w:ind w:left="0" w:leftChars="0" w:firstLine="480" w:firstLineChars="200"/>
        <w:jc w:val="both"/>
        <w:textAlignment w:val="auto"/>
        <w:rPr>
          <w:rFonts w:hint="eastAsia" w:ascii="Times New Roman" w:hAnsi="Times New Roman" w:eastAsia="宋体" w:cs="Times New Roman"/>
          <w:b w:val="0"/>
          <w:kern w:val="2"/>
          <w:sz w:val="24"/>
          <w:szCs w:val="24"/>
          <w:u w:val="single"/>
          <w:lang w:val="en-US" w:eastAsia="zh-CN" w:bidi="ar-SA"/>
        </w:rPr>
        <w:sectPr>
          <w:pgSz w:w="16838" w:h="11906" w:orient="landscape"/>
          <w:pgMar w:top="1800" w:right="1440" w:bottom="1800" w:left="1440" w:header="851" w:footer="794" w:gutter="0"/>
          <w:pgBorders>
            <w:top w:val="none" w:sz="0" w:space="0"/>
            <w:left w:val="none" w:sz="0" w:space="0"/>
            <w:bottom w:val="none" w:sz="0" w:space="0"/>
            <w:right w:val="none" w:sz="0" w:space="0"/>
          </w:pgBorders>
          <w:pgNumType w:fmt="decimal"/>
          <w:cols w:space="720" w:num="1"/>
          <w:docGrid w:type="lines" w:linePitch="326" w:charSpace="0"/>
        </w:sectPr>
      </w:pPr>
      <w:r>
        <w:rPr>
          <w:rFonts w:hint="eastAsia" w:ascii="Times New Roman" w:hAnsi="Times New Roman" w:eastAsia="宋体" w:cs="Times New Roman"/>
          <w:b w:val="0"/>
          <w:kern w:val="2"/>
          <w:sz w:val="24"/>
          <w:szCs w:val="24"/>
          <w:u w:val="single"/>
          <w:lang w:val="en-US" w:eastAsia="zh-CN" w:bidi="ar-SA"/>
        </w:rPr>
        <w:t>综上，项目与《湖南省“三线一单”生态环境总体管控要求暨省级以上产业园区生态环境准入清单》相符合。</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4"/>
        <w:rPr>
          <w:rFonts w:hint="eastAsia" w:ascii="Times New Roman" w:hAnsi="Times New Roman" w:eastAsia="宋体" w:cs="Times New Roman"/>
          <w:b/>
          <w:bCs/>
          <w:sz w:val="24"/>
          <w:u w:val="none"/>
          <w:lang w:val="en-US" w:eastAsia="zh-CN"/>
        </w:rPr>
      </w:pPr>
      <w:r>
        <w:rPr>
          <w:rFonts w:hint="eastAsia" w:ascii="Times New Roman" w:hAnsi="Times New Roman" w:eastAsia="宋体" w:cs="Times New Roman"/>
          <w:b/>
          <w:bCs/>
          <w:sz w:val="24"/>
          <w:u w:val="none"/>
          <w:lang w:val="en-US" w:eastAsia="zh-CN"/>
        </w:rPr>
        <w:t>（4）与“《湖南省人民政府关于实施“三线一单”生态环境分区管控的意见》（湘政发〔2020〕12 号）的相符性</w:t>
      </w:r>
    </w:p>
    <w:p>
      <w:pPr>
        <w:wordWrap/>
        <w:topLinePunct w:val="0"/>
        <w:spacing w:line="360" w:lineRule="auto"/>
        <w:ind w:firstLine="480" w:firstLineChars="200"/>
        <w:rPr>
          <w:rFonts w:cs="宋体"/>
          <w:color w:val="000000"/>
          <w:kern w:val="0"/>
          <w:szCs w:val="22"/>
          <w:u w:val="none"/>
          <w:lang w:val="zh-CN" w:bidi="zh-CN"/>
        </w:rPr>
      </w:pPr>
      <w:r>
        <w:rPr>
          <w:sz w:val="24"/>
          <w:u w:val="none"/>
        </w:rPr>
        <w:t>本项目选址位于</w:t>
      </w:r>
      <w:r>
        <w:rPr>
          <w:rFonts w:hint="eastAsia"/>
          <w:sz w:val="24"/>
          <w:u w:val="none"/>
          <w:lang w:val="en-US" w:eastAsia="zh-CN"/>
        </w:rPr>
        <w:t>花垣县花垣产业开发区</w:t>
      </w:r>
      <w:r>
        <w:rPr>
          <w:sz w:val="24"/>
          <w:u w:val="none"/>
        </w:rPr>
        <w:t>，根据湖南省环境管控单元图，项目所在地属于重点管控单元，项目与湖南省人民政府关于实施“三线一单”生态环境分区管控的意见符合性分析对照表见下表。</w:t>
      </w:r>
    </w:p>
    <w:p>
      <w:pPr>
        <w:pStyle w:val="94"/>
        <w:rPr>
          <w:rFonts w:hint="eastAsia"/>
          <w:u w:val="none"/>
          <w:lang w:val="zh-CN"/>
        </w:rPr>
        <w:sectPr>
          <w:pgSz w:w="11906" w:h="16838"/>
          <w:pgMar w:top="1440" w:right="1800" w:bottom="1440" w:left="1800" w:header="851" w:footer="794" w:gutter="0"/>
          <w:pgBorders>
            <w:top w:val="none" w:sz="0" w:space="0"/>
            <w:left w:val="none" w:sz="0" w:space="0"/>
            <w:bottom w:val="none" w:sz="0" w:space="0"/>
            <w:right w:val="none" w:sz="0" w:space="0"/>
          </w:pgBorders>
          <w:pgNumType w:fmt="decimal"/>
          <w:cols w:space="720" w:num="1"/>
          <w:docGrid w:type="lines" w:linePitch="326" w:charSpace="0"/>
        </w:sectPr>
      </w:pPr>
    </w:p>
    <w:p>
      <w:pPr>
        <w:pStyle w:val="102"/>
        <w:rPr>
          <w:rFonts w:hint="eastAsia"/>
          <w:color w:val="auto"/>
        </w:rPr>
      </w:pPr>
      <w:r>
        <w:rPr>
          <w:rFonts w:hint="eastAsia"/>
          <w:color w:val="auto"/>
        </w:rPr>
        <w:t>表</w:t>
      </w:r>
      <w:r>
        <w:rPr>
          <w:rFonts w:hint="eastAsia"/>
          <w:color w:val="auto"/>
          <w:lang w:val="en-US" w:eastAsia="zh-CN"/>
        </w:rPr>
        <w:t xml:space="preserve"> 2</w:t>
      </w:r>
      <w:r>
        <w:rPr>
          <w:rFonts w:hint="eastAsia"/>
          <w:color w:val="auto"/>
        </w:rPr>
        <w:t xml:space="preserve"> 本项目与湖南省人民政府关于实施“三线一单”生态环境分区管控的意见对照表</w:t>
      </w:r>
    </w:p>
    <w:tbl>
      <w:tblPr>
        <w:tblStyle w:val="37"/>
        <w:tblW w:w="14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0"/>
        <w:gridCol w:w="1083"/>
        <w:gridCol w:w="1940"/>
        <w:gridCol w:w="3963"/>
        <w:gridCol w:w="5462"/>
        <w:gridCol w:w="11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0" w:type="dxa"/>
            <w:noWrap w:val="0"/>
            <w:vAlign w:val="center"/>
          </w:tcPr>
          <w:p>
            <w:pPr>
              <w:pStyle w:val="79"/>
              <w:rPr>
                <w:rFonts w:hint="eastAsia"/>
                <w:color w:val="auto"/>
              </w:rPr>
            </w:pPr>
            <w:r>
              <w:rPr>
                <w:rFonts w:hint="eastAsia"/>
                <w:color w:val="auto"/>
              </w:rPr>
              <w:t>序号</w:t>
            </w:r>
          </w:p>
        </w:tc>
        <w:tc>
          <w:tcPr>
            <w:tcW w:w="6986" w:type="dxa"/>
            <w:gridSpan w:val="3"/>
            <w:noWrap w:val="0"/>
            <w:vAlign w:val="center"/>
          </w:tcPr>
          <w:p>
            <w:pPr>
              <w:pStyle w:val="79"/>
              <w:rPr>
                <w:rFonts w:hint="eastAsia"/>
                <w:color w:val="auto"/>
              </w:rPr>
            </w:pPr>
            <w:r>
              <w:rPr>
                <w:rFonts w:hint="eastAsia"/>
                <w:color w:val="auto"/>
              </w:rPr>
              <w:t>湖南省人民政府关于实施“三线一单”生态环境分区管控的意见</w:t>
            </w:r>
          </w:p>
        </w:tc>
        <w:tc>
          <w:tcPr>
            <w:tcW w:w="5462" w:type="dxa"/>
            <w:noWrap w:val="0"/>
            <w:vAlign w:val="center"/>
          </w:tcPr>
          <w:p>
            <w:pPr>
              <w:pStyle w:val="79"/>
              <w:rPr>
                <w:rFonts w:hint="eastAsia"/>
                <w:color w:val="auto"/>
              </w:rPr>
            </w:pPr>
            <w:r>
              <w:rPr>
                <w:rFonts w:hint="eastAsia"/>
                <w:color w:val="auto"/>
              </w:rPr>
              <w:t>本项目</w:t>
            </w:r>
          </w:p>
        </w:tc>
        <w:tc>
          <w:tcPr>
            <w:tcW w:w="1145" w:type="dxa"/>
            <w:noWrap w:val="0"/>
            <w:vAlign w:val="center"/>
          </w:tcPr>
          <w:p>
            <w:pPr>
              <w:pStyle w:val="79"/>
              <w:rPr>
                <w:rFonts w:hint="eastAsia"/>
                <w:color w:val="auto"/>
              </w:rPr>
            </w:pPr>
            <w:r>
              <w:rPr>
                <w:rFonts w:hint="eastAsia"/>
                <w:color w:val="auto"/>
              </w:rPr>
              <w:t>是否符合要求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restart"/>
            <w:noWrap w:val="0"/>
            <w:vAlign w:val="center"/>
          </w:tcPr>
          <w:p>
            <w:pPr>
              <w:pStyle w:val="79"/>
              <w:rPr>
                <w:rFonts w:hint="eastAsia" w:eastAsia="宋体"/>
                <w:color w:val="auto"/>
                <w:lang w:eastAsia="zh-CN"/>
              </w:rPr>
            </w:pPr>
            <w:r>
              <w:rPr>
                <w:rFonts w:hint="eastAsia"/>
                <w:color w:val="auto"/>
                <w:lang w:val="en-US" w:eastAsia="zh-CN"/>
              </w:rPr>
              <w:t>1</w:t>
            </w:r>
          </w:p>
        </w:tc>
        <w:tc>
          <w:tcPr>
            <w:tcW w:w="1083" w:type="dxa"/>
            <w:vMerge w:val="restart"/>
            <w:noWrap w:val="0"/>
            <w:vAlign w:val="center"/>
          </w:tcPr>
          <w:p>
            <w:pPr>
              <w:pStyle w:val="79"/>
              <w:rPr>
                <w:rFonts w:hint="eastAsia"/>
                <w:color w:val="auto"/>
              </w:rPr>
            </w:pPr>
            <w:r>
              <w:rPr>
                <w:rFonts w:hint="eastAsia"/>
                <w:color w:val="auto"/>
              </w:rPr>
              <w:t>重点管控单元生态环境总体管控要求</w:t>
            </w:r>
          </w:p>
        </w:tc>
        <w:tc>
          <w:tcPr>
            <w:tcW w:w="1940" w:type="dxa"/>
            <w:vMerge w:val="restart"/>
            <w:noWrap w:val="0"/>
            <w:vAlign w:val="center"/>
          </w:tcPr>
          <w:p>
            <w:pPr>
              <w:pStyle w:val="79"/>
              <w:rPr>
                <w:rFonts w:hint="eastAsia"/>
                <w:color w:val="auto"/>
              </w:rPr>
            </w:pPr>
            <w:r>
              <w:rPr>
                <w:rFonts w:hint="eastAsia"/>
                <w:color w:val="auto"/>
              </w:rPr>
              <w:t>大气环境重点管控区</w:t>
            </w:r>
          </w:p>
        </w:tc>
        <w:tc>
          <w:tcPr>
            <w:tcW w:w="3963" w:type="dxa"/>
            <w:noWrap w:val="0"/>
            <w:vAlign w:val="center"/>
          </w:tcPr>
          <w:p>
            <w:pPr>
              <w:pStyle w:val="79"/>
              <w:rPr>
                <w:rFonts w:hint="eastAsia"/>
                <w:color w:val="auto"/>
              </w:rPr>
            </w:pPr>
            <w:r>
              <w:rPr>
                <w:rFonts w:hint="eastAsia"/>
                <w:color w:val="auto"/>
              </w:rPr>
              <w:t>受体敏感区：城镇中心及集中居住、医疗、教育等区域</w:t>
            </w:r>
          </w:p>
        </w:tc>
        <w:tc>
          <w:tcPr>
            <w:tcW w:w="5462" w:type="dxa"/>
            <w:noWrap w:val="0"/>
            <w:vAlign w:val="center"/>
          </w:tcPr>
          <w:p>
            <w:pPr>
              <w:pStyle w:val="79"/>
              <w:rPr>
                <w:rFonts w:hint="eastAsia"/>
                <w:color w:val="auto"/>
              </w:rPr>
            </w:pPr>
            <w:r>
              <w:rPr>
                <w:rFonts w:hint="eastAsia"/>
                <w:color w:val="auto"/>
              </w:rPr>
              <w:t>本项目选址在</w:t>
            </w:r>
            <w:r>
              <w:rPr>
                <w:rFonts w:hint="eastAsia"/>
                <w:color w:val="auto"/>
                <w:kern w:val="0"/>
                <w:u w:val="none"/>
                <w:lang w:eastAsia="zh-CN"/>
              </w:rPr>
              <w:t>花垣产业开发区</w:t>
            </w:r>
            <w:r>
              <w:rPr>
                <w:rFonts w:hint="eastAsia"/>
                <w:color w:val="auto"/>
              </w:rPr>
              <w:t>，不属于城镇中心及集中居住、医疗、教育等区域</w:t>
            </w:r>
          </w:p>
        </w:tc>
        <w:tc>
          <w:tcPr>
            <w:tcW w:w="1145" w:type="dxa"/>
            <w:noWrap w:val="0"/>
            <w:vAlign w:val="center"/>
          </w:tcPr>
          <w:p>
            <w:pPr>
              <w:pStyle w:val="79"/>
              <w:rPr>
                <w:rFonts w:hint="eastAsia"/>
                <w:color w:val="auto"/>
              </w:rPr>
            </w:pPr>
            <w:r>
              <w:rPr>
                <w:rFonts w:hint="eastAsia"/>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9"/>
              <w:rPr>
                <w:color w:val="auto"/>
              </w:rPr>
            </w:pPr>
          </w:p>
        </w:tc>
        <w:tc>
          <w:tcPr>
            <w:tcW w:w="1083" w:type="dxa"/>
            <w:vMerge w:val="continue"/>
            <w:noWrap w:val="0"/>
            <w:vAlign w:val="center"/>
          </w:tcPr>
          <w:p>
            <w:pPr>
              <w:pStyle w:val="79"/>
              <w:rPr>
                <w:color w:val="auto"/>
              </w:rPr>
            </w:pPr>
          </w:p>
        </w:tc>
        <w:tc>
          <w:tcPr>
            <w:tcW w:w="1940" w:type="dxa"/>
            <w:vMerge w:val="continue"/>
            <w:noWrap w:val="0"/>
            <w:vAlign w:val="center"/>
          </w:tcPr>
          <w:p>
            <w:pPr>
              <w:pStyle w:val="79"/>
              <w:rPr>
                <w:color w:val="auto"/>
              </w:rPr>
            </w:pPr>
          </w:p>
        </w:tc>
        <w:tc>
          <w:tcPr>
            <w:tcW w:w="3963" w:type="dxa"/>
            <w:noWrap w:val="0"/>
            <w:vAlign w:val="center"/>
          </w:tcPr>
          <w:p>
            <w:pPr>
              <w:pStyle w:val="79"/>
              <w:rPr>
                <w:rFonts w:hint="eastAsia"/>
                <w:color w:val="auto"/>
              </w:rPr>
            </w:pPr>
            <w:r>
              <w:rPr>
                <w:rFonts w:hint="eastAsia"/>
                <w:color w:val="auto"/>
              </w:rPr>
              <w:t>布局敏感区：上风向、扩散通道、环流通道等影响空气质量的区域</w:t>
            </w:r>
          </w:p>
        </w:tc>
        <w:tc>
          <w:tcPr>
            <w:tcW w:w="5462" w:type="dxa"/>
            <w:noWrap w:val="0"/>
            <w:vAlign w:val="center"/>
          </w:tcPr>
          <w:p>
            <w:pPr>
              <w:pStyle w:val="79"/>
              <w:rPr>
                <w:rFonts w:hint="eastAsia"/>
                <w:color w:val="auto"/>
              </w:rPr>
            </w:pPr>
            <w:r>
              <w:rPr>
                <w:rFonts w:hint="eastAsia"/>
                <w:color w:val="auto"/>
              </w:rPr>
              <w:t>项目选址不处于上风向、扩散通道、环流通道等</w:t>
            </w:r>
          </w:p>
        </w:tc>
        <w:tc>
          <w:tcPr>
            <w:tcW w:w="1145" w:type="dxa"/>
            <w:noWrap w:val="0"/>
            <w:vAlign w:val="center"/>
          </w:tcPr>
          <w:p>
            <w:pPr>
              <w:pStyle w:val="79"/>
              <w:rPr>
                <w:rFonts w:hint="eastAsia"/>
                <w:color w:val="auto"/>
              </w:rPr>
            </w:pPr>
            <w:r>
              <w:rPr>
                <w:rFonts w:hint="eastAsia"/>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9"/>
              <w:rPr>
                <w:rFonts w:hint="eastAsia"/>
                <w:color w:val="auto"/>
              </w:rPr>
            </w:pPr>
          </w:p>
        </w:tc>
        <w:tc>
          <w:tcPr>
            <w:tcW w:w="1083" w:type="dxa"/>
            <w:vMerge w:val="continue"/>
            <w:noWrap w:val="0"/>
            <w:vAlign w:val="center"/>
          </w:tcPr>
          <w:p>
            <w:pPr>
              <w:pStyle w:val="79"/>
              <w:rPr>
                <w:rFonts w:hint="eastAsia"/>
                <w:color w:val="auto"/>
              </w:rPr>
            </w:pPr>
          </w:p>
        </w:tc>
        <w:tc>
          <w:tcPr>
            <w:tcW w:w="1940" w:type="dxa"/>
            <w:vMerge w:val="continue"/>
            <w:noWrap w:val="0"/>
            <w:vAlign w:val="center"/>
          </w:tcPr>
          <w:p>
            <w:pPr>
              <w:pStyle w:val="79"/>
              <w:rPr>
                <w:rFonts w:hint="eastAsia"/>
                <w:color w:val="auto"/>
              </w:rPr>
            </w:pPr>
          </w:p>
        </w:tc>
        <w:tc>
          <w:tcPr>
            <w:tcW w:w="3963" w:type="dxa"/>
            <w:noWrap w:val="0"/>
            <w:vAlign w:val="center"/>
          </w:tcPr>
          <w:p>
            <w:pPr>
              <w:pStyle w:val="79"/>
              <w:rPr>
                <w:rFonts w:hint="eastAsia"/>
                <w:color w:val="auto"/>
              </w:rPr>
            </w:pPr>
            <w:r>
              <w:rPr>
                <w:rFonts w:hint="eastAsia"/>
                <w:color w:val="auto"/>
              </w:rPr>
              <w:t>弱扩散区：静风或风速较小的区域</w:t>
            </w:r>
          </w:p>
        </w:tc>
        <w:tc>
          <w:tcPr>
            <w:tcW w:w="5462" w:type="dxa"/>
            <w:noWrap w:val="0"/>
            <w:vAlign w:val="center"/>
          </w:tcPr>
          <w:p>
            <w:pPr>
              <w:pStyle w:val="79"/>
              <w:rPr>
                <w:rFonts w:hint="eastAsia" w:eastAsia="宋体"/>
                <w:color w:val="auto"/>
                <w:lang w:eastAsia="zh-CN"/>
              </w:rPr>
            </w:pPr>
            <w:r>
              <w:rPr>
                <w:rFonts w:hint="eastAsia"/>
                <w:color w:val="auto"/>
                <w:lang w:eastAsia="zh-CN"/>
              </w:rPr>
              <w:t>不涉及</w:t>
            </w:r>
          </w:p>
        </w:tc>
        <w:tc>
          <w:tcPr>
            <w:tcW w:w="1145" w:type="dxa"/>
            <w:noWrap w:val="0"/>
            <w:vAlign w:val="center"/>
          </w:tcPr>
          <w:p>
            <w:pPr>
              <w:pStyle w:val="79"/>
              <w:rPr>
                <w:rFonts w:hint="eastAsia"/>
                <w:color w:val="auto"/>
              </w:rPr>
            </w:pPr>
            <w:r>
              <w:rPr>
                <w:rFonts w:hint="eastAsia"/>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9"/>
              <w:rPr>
                <w:rFonts w:hint="eastAsia"/>
                <w:color w:val="auto"/>
              </w:rPr>
            </w:pPr>
          </w:p>
        </w:tc>
        <w:tc>
          <w:tcPr>
            <w:tcW w:w="1083" w:type="dxa"/>
            <w:vMerge w:val="continue"/>
            <w:noWrap w:val="0"/>
            <w:vAlign w:val="center"/>
          </w:tcPr>
          <w:p>
            <w:pPr>
              <w:pStyle w:val="79"/>
              <w:rPr>
                <w:rFonts w:hint="eastAsia"/>
                <w:color w:val="auto"/>
              </w:rPr>
            </w:pPr>
          </w:p>
        </w:tc>
        <w:tc>
          <w:tcPr>
            <w:tcW w:w="1940" w:type="dxa"/>
            <w:vMerge w:val="continue"/>
            <w:noWrap w:val="0"/>
            <w:vAlign w:val="center"/>
          </w:tcPr>
          <w:p>
            <w:pPr>
              <w:pStyle w:val="79"/>
              <w:rPr>
                <w:rFonts w:hint="eastAsia"/>
                <w:color w:val="auto"/>
              </w:rPr>
            </w:pPr>
          </w:p>
        </w:tc>
        <w:tc>
          <w:tcPr>
            <w:tcW w:w="3963" w:type="dxa"/>
            <w:noWrap w:val="0"/>
            <w:vAlign w:val="center"/>
          </w:tcPr>
          <w:p>
            <w:pPr>
              <w:pStyle w:val="79"/>
              <w:rPr>
                <w:rFonts w:hint="eastAsia"/>
                <w:color w:val="auto"/>
              </w:rPr>
            </w:pPr>
            <w:r>
              <w:rPr>
                <w:rFonts w:hint="eastAsia"/>
                <w:color w:val="auto"/>
              </w:rPr>
              <w:t>高排放区：环境空气二类功能区中的工业集聚区域</w:t>
            </w:r>
          </w:p>
        </w:tc>
        <w:tc>
          <w:tcPr>
            <w:tcW w:w="5462" w:type="dxa"/>
            <w:noWrap w:val="0"/>
            <w:vAlign w:val="center"/>
          </w:tcPr>
          <w:p>
            <w:pPr>
              <w:pStyle w:val="79"/>
              <w:rPr>
                <w:color w:val="auto"/>
              </w:rPr>
            </w:pPr>
            <w:r>
              <w:rPr>
                <w:rFonts w:hint="eastAsia"/>
                <w:color w:val="auto"/>
              </w:rPr>
              <w:t>本项目位于</w:t>
            </w:r>
            <w:r>
              <w:rPr>
                <w:rFonts w:hint="eastAsia"/>
                <w:color w:val="auto"/>
                <w:lang w:eastAsia="zh-CN"/>
              </w:rPr>
              <w:t>花垣县花垣产业开发区</w:t>
            </w:r>
            <w:r>
              <w:rPr>
                <w:rFonts w:hint="eastAsia"/>
                <w:color w:val="auto"/>
              </w:rPr>
              <w:t>，</w:t>
            </w:r>
            <w:r>
              <w:rPr>
                <w:rFonts w:hint="eastAsia"/>
                <w:color w:val="auto"/>
                <w:lang w:eastAsia="zh-CN"/>
              </w:rPr>
              <w:t>属于高排放区，本项目严格执行大气污染物达标排放、环境影响评价、总量控制、环保设施“三同时”、在线监测、排污许可等环保制度</w:t>
            </w:r>
          </w:p>
        </w:tc>
        <w:tc>
          <w:tcPr>
            <w:tcW w:w="1145" w:type="dxa"/>
            <w:noWrap w:val="0"/>
            <w:vAlign w:val="center"/>
          </w:tcPr>
          <w:p>
            <w:pPr>
              <w:pStyle w:val="79"/>
              <w:rPr>
                <w:rFonts w:hint="eastAsia"/>
                <w:color w:val="auto"/>
              </w:rPr>
            </w:pPr>
            <w:r>
              <w:rPr>
                <w:rFonts w:hint="eastAsia"/>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9"/>
              <w:rPr>
                <w:rFonts w:hint="eastAsia"/>
                <w:color w:val="auto"/>
              </w:rPr>
            </w:pPr>
          </w:p>
        </w:tc>
        <w:tc>
          <w:tcPr>
            <w:tcW w:w="1083" w:type="dxa"/>
            <w:vMerge w:val="continue"/>
            <w:noWrap w:val="0"/>
            <w:vAlign w:val="center"/>
          </w:tcPr>
          <w:p>
            <w:pPr>
              <w:pStyle w:val="79"/>
              <w:rPr>
                <w:rFonts w:hint="eastAsia"/>
                <w:color w:val="auto"/>
              </w:rPr>
            </w:pPr>
          </w:p>
        </w:tc>
        <w:tc>
          <w:tcPr>
            <w:tcW w:w="1940" w:type="dxa"/>
            <w:vMerge w:val="restart"/>
            <w:noWrap w:val="0"/>
            <w:vAlign w:val="center"/>
          </w:tcPr>
          <w:p>
            <w:pPr>
              <w:pStyle w:val="79"/>
              <w:rPr>
                <w:rFonts w:hint="eastAsia"/>
                <w:color w:val="auto"/>
              </w:rPr>
            </w:pPr>
            <w:r>
              <w:rPr>
                <w:rFonts w:hint="eastAsia"/>
                <w:color w:val="auto"/>
              </w:rPr>
              <w:t>水环境重点管控区</w:t>
            </w:r>
          </w:p>
        </w:tc>
        <w:tc>
          <w:tcPr>
            <w:tcW w:w="3963" w:type="dxa"/>
            <w:noWrap w:val="0"/>
            <w:vAlign w:val="center"/>
          </w:tcPr>
          <w:p>
            <w:pPr>
              <w:pStyle w:val="79"/>
              <w:rPr>
                <w:rFonts w:hint="eastAsia"/>
                <w:color w:val="auto"/>
              </w:rPr>
            </w:pPr>
            <w:r>
              <w:rPr>
                <w:rFonts w:hint="eastAsia"/>
                <w:color w:val="auto"/>
              </w:rPr>
              <w:t>省级以上产业园区所属水环境控制区域</w:t>
            </w:r>
          </w:p>
        </w:tc>
        <w:tc>
          <w:tcPr>
            <w:tcW w:w="5462" w:type="dxa"/>
            <w:noWrap w:val="0"/>
            <w:vAlign w:val="center"/>
          </w:tcPr>
          <w:p>
            <w:pPr>
              <w:pStyle w:val="79"/>
              <w:rPr>
                <w:rFonts w:hint="eastAsia" w:eastAsia="宋体"/>
                <w:color w:val="auto"/>
                <w:lang w:eastAsia="zh-CN"/>
              </w:rPr>
            </w:pPr>
            <w:r>
              <w:rPr>
                <w:rFonts w:hint="eastAsia"/>
                <w:color w:val="auto"/>
              </w:rPr>
              <w:t>本项目选址在</w:t>
            </w:r>
            <w:r>
              <w:rPr>
                <w:rFonts w:hint="eastAsia"/>
                <w:color w:val="auto"/>
                <w:kern w:val="0"/>
                <w:u w:val="none"/>
                <w:lang w:eastAsia="zh-CN"/>
              </w:rPr>
              <w:t>花垣产业开发区</w:t>
            </w:r>
            <w:r>
              <w:rPr>
                <w:rFonts w:hint="eastAsia"/>
                <w:color w:val="auto"/>
              </w:rPr>
              <w:t>，</w:t>
            </w:r>
            <w:r>
              <w:rPr>
                <w:rFonts w:hint="eastAsia"/>
                <w:color w:val="auto"/>
                <w:lang w:eastAsia="zh-CN"/>
              </w:rPr>
              <w:t>项目属于重金属废水处理项目，可以做到达标排放，所在水环境控制单元或断面能满足</w:t>
            </w:r>
            <w:r>
              <w:rPr>
                <w:color w:val="auto"/>
              </w:rPr>
              <w:t>《地表水环境质量标准》（GB3838-2002）</w:t>
            </w:r>
            <w:r>
              <w:rPr>
                <w:rFonts w:hint="eastAsia"/>
                <w:color w:val="auto"/>
              </w:rPr>
              <w:t>Ⅲ</w:t>
            </w:r>
            <w:r>
              <w:rPr>
                <w:color w:val="auto"/>
              </w:rPr>
              <w:t>类标准</w:t>
            </w:r>
            <w:r>
              <w:rPr>
                <w:rFonts w:hint="eastAsia"/>
                <w:color w:val="auto"/>
                <w:lang w:eastAsia="zh-CN"/>
              </w:rPr>
              <w:t>，</w:t>
            </w:r>
            <w:r>
              <w:rPr>
                <w:rFonts w:hint="eastAsia"/>
                <w:color w:val="auto"/>
              </w:rPr>
              <w:t>不属于水质超标断面</w:t>
            </w:r>
          </w:p>
        </w:tc>
        <w:tc>
          <w:tcPr>
            <w:tcW w:w="1145" w:type="dxa"/>
            <w:noWrap w:val="0"/>
            <w:vAlign w:val="center"/>
          </w:tcPr>
          <w:p>
            <w:pPr>
              <w:pStyle w:val="79"/>
              <w:rPr>
                <w:rFonts w:hint="eastAsia"/>
                <w:color w:val="auto"/>
              </w:rPr>
            </w:pPr>
            <w:r>
              <w:rPr>
                <w:rFonts w:hint="eastAsia"/>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9"/>
              <w:rPr>
                <w:color w:val="auto"/>
              </w:rPr>
            </w:pPr>
          </w:p>
        </w:tc>
        <w:tc>
          <w:tcPr>
            <w:tcW w:w="1083" w:type="dxa"/>
            <w:vMerge w:val="continue"/>
            <w:noWrap w:val="0"/>
            <w:vAlign w:val="center"/>
          </w:tcPr>
          <w:p>
            <w:pPr>
              <w:pStyle w:val="79"/>
              <w:rPr>
                <w:color w:val="auto"/>
              </w:rPr>
            </w:pPr>
          </w:p>
        </w:tc>
        <w:tc>
          <w:tcPr>
            <w:tcW w:w="1940" w:type="dxa"/>
            <w:vMerge w:val="continue"/>
            <w:noWrap w:val="0"/>
            <w:vAlign w:val="center"/>
          </w:tcPr>
          <w:p>
            <w:pPr>
              <w:pStyle w:val="79"/>
              <w:rPr>
                <w:color w:val="auto"/>
              </w:rPr>
            </w:pPr>
          </w:p>
        </w:tc>
        <w:tc>
          <w:tcPr>
            <w:tcW w:w="3963" w:type="dxa"/>
            <w:noWrap w:val="0"/>
            <w:vAlign w:val="center"/>
          </w:tcPr>
          <w:p>
            <w:pPr>
              <w:pStyle w:val="79"/>
              <w:rPr>
                <w:rFonts w:hint="eastAsia"/>
                <w:color w:val="auto"/>
              </w:rPr>
            </w:pPr>
            <w:r>
              <w:rPr>
                <w:rFonts w:hint="eastAsia"/>
                <w:color w:val="auto"/>
              </w:rPr>
              <w:t>水质超标断面所属水环境控制区域</w:t>
            </w:r>
          </w:p>
        </w:tc>
        <w:tc>
          <w:tcPr>
            <w:tcW w:w="5462" w:type="dxa"/>
            <w:noWrap w:val="0"/>
            <w:vAlign w:val="center"/>
          </w:tcPr>
          <w:p>
            <w:pPr>
              <w:pStyle w:val="79"/>
              <w:rPr>
                <w:rFonts w:hint="eastAsia"/>
                <w:color w:val="auto"/>
              </w:rPr>
            </w:pPr>
            <w:r>
              <w:rPr>
                <w:rFonts w:hint="eastAsia"/>
                <w:color w:val="auto"/>
              </w:rPr>
              <w:t>根据区域内地表水</w:t>
            </w:r>
            <w:r>
              <w:rPr>
                <w:rFonts w:hint="eastAsia"/>
                <w:color w:val="auto"/>
                <w:lang w:eastAsia="zh-CN"/>
              </w:rPr>
              <w:t>花垣河</w:t>
            </w:r>
            <w:r>
              <w:rPr>
                <w:rFonts w:hint="eastAsia"/>
                <w:color w:val="auto"/>
              </w:rPr>
              <w:t>断面监控数据，</w:t>
            </w:r>
            <w:r>
              <w:rPr>
                <w:color w:val="auto"/>
              </w:rPr>
              <w:t>能达到《地表水环境质量标准》（GB3838-2002）</w:t>
            </w:r>
            <w:r>
              <w:rPr>
                <w:rFonts w:hint="eastAsia"/>
                <w:color w:val="auto"/>
              </w:rPr>
              <w:t>Ⅲ</w:t>
            </w:r>
            <w:r>
              <w:rPr>
                <w:color w:val="auto"/>
              </w:rPr>
              <w:t>类标准</w:t>
            </w:r>
            <w:r>
              <w:rPr>
                <w:rFonts w:hint="eastAsia"/>
                <w:color w:val="auto"/>
              </w:rPr>
              <w:t>，不属于水质超标断面</w:t>
            </w:r>
          </w:p>
        </w:tc>
        <w:tc>
          <w:tcPr>
            <w:tcW w:w="1145" w:type="dxa"/>
            <w:noWrap w:val="0"/>
            <w:vAlign w:val="center"/>
          </w:tcPr>
          <w:p>
            <w:pPr>
              <w:pStyle w:val="79"/>
              <w:rPr>
                <w:rFonts w:hint="eastAsia"/>
                <w:color w:val="auto"/>
              </w:rPr>
            </w:pPr>
            <w:r>
              <w:rPr>
                <w:rFonts w:hint="eastAsia"/>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80" w:type="dxa"/>
            <w:vMerge w:val="continue"/>
            <w:noWrap w:val="0"/>
            <w:vAlign w:val="center"/>
          </w:tcPr>
          <w:p>
            <w:pPr>
              <w:pStyle w:val="79"/>
              <w:rPr>
                <w:rFonts w:hint="eastAsia"/>
                <w:color w:val="auto"/>
              </w:rPr>
            </w:pPr>
          </w:p>
        </w:tc>
        <w:tc>
          <w:tcPr>
            <w:tcW w:w="1083" w:type="dxa"/>
            <w:vMerge w:val="continue"/>
            <w:noWrap w:val="0"/>
            <w:vAlign w:val="center"/>
          </w:tcPr>
          <w:p>
            <w:pPr>
              <w:pStyle w:val="79"/>
              <w:rPr>
                <w:rFonts w:hint="eastAsia"/>
                <w:color w:val="auto"/>
              </w:rPr>
            </w:pPr>
          </w:p>
        </w:tc>
        <w:tc>
          <w:tcPr>
            <w:tcW w:w="1940" w:type="dxa"/>
            <w:vMerge w:val="continue"/>
            <w:noWrap w:val="0"/>
            <w:vAlign w:val="center"/>
          </w:tcPr>
          <w:p>
            <w:pPr>
              <w:pStyle w:val="79"/>
              <w:rPr>
                <w:rFonts w:hint="eastAsia"/>
                <w:color w:val="auto"/>
              </w:rPr>
            </w:pPr>
          </w:p>
        </w:tc>
        <w:tc>
          <w:tcPr>
            <w:tcW w:w="3963" w:type="dxa"/>
            <w:noWrap w:val="0"/>
            <w:vAlign w:val="center"/>
          </w:tcPr>
          <w:p>
            <w:pPr>
              <w:pStyle w:val="79"/>
              <w:rPr>
                <w:rFonts w:hint="eastAsia"/>
                <w:color w:val="auto"/>
              </w:rPr>
            </w:pPr>
            <w:r>
              <w:rPr>
                <w:rFonts w:hint="eastAsia"/>
                <w:color w:val="auto"/>
              </w:rPr>
              <w:t>城镇生活污染源所属水环境控制区域</w:t>
            </w:r>
          </w:p>
        </w:tc>
        <w:tc>
          <w:tcPr>
            <w:tcW w:w="5462" w:type="dxa"/>
            <w:noWrap w:val="0"/>
            <w:vAlign w:val="center"/>
          </w:tcPr>
          <w:p>
            <w:pPr>
              <w:pStyle w:val="79"/>
              <w:rPr>
                <w:rFonts w:hint="eastAsia" w:eastAsia="宋体"/>
                <w:color w:val="auto"/>
                <w:lang w:eastAsia="zh-CN"/>
              </w:rPr>
            </w:pPr>
            <w:r>
              <w:rPr>
                <w:rFonts w:hint="eastAsia"/>
                <w:color w:val="auto"/>
                <w:lang w:eastAsia="zh-CN"/>
              </w:rPr>
              <w:t>本项目不属于城镇生活污染源所属水环境控制区域</w:t>
            </w:r>
          </w:p>
        </w:tc>
        <w:tc>
          <w:tcPr>
            <w:tcW w:w="1145" w:type="dxa"/>
            <w:noWrap w:val="0"/>
            <w:vAlign w:val="center"/>
          </w:tcPr>
          <w:p>
            <w:pPr>
              <w:pStyle w:val="79"/>
              <w:rPr>
                <w:rFonts w:hint="eastAsia"/>
                <w:color w:val="auto"/>
              </w:rPr>
            </w:pPr>
            <w:r>
              <w:rPr>
                <w:rFonts w:hint="eastAsia"/>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580" w:type="dxa"/>
            <w:vMerge w:val="continue"/>
            <w:noWrap w:val="0"/>
            <w:vAlign w:val="center"/>
          </w:tcPr>
          <w:p>
            <w:pPr>
              <w:pStyle w:val="79"/>
              <w:rPr>
                <w:rFonts w:hint="eastAsia"/>
                <w:color w:val="auto"/>
              </w:rPr>
            </w:pPr>
          </w:p>
        </w:tc>
        <w:tc>
          <w:tcPr>
            <w:tcW w:w="1083" w:type="dxa"/>
            <w:vMerge w:val="continue"/>
            <w:noWrap w:val="0"/>
            <w:vAlign w:val="center"/>
          </w:tcPr>
          <w:p>
            <w:pPr>
              <w:pStyle w:val="79"/>
              <w:rPr>
                <w:rFonts w:hint="eastAsia"/>
                <w:color w:val="auto"/>
              </w:rPr>
            </w:pPr>
          </w:p>
        </w:tc>
        <w:tc>
          <w:tcPr>
            <w:tcW w:w="1940" w:type="dxa"/>
            <w:vMerge w:val="continue"/>
            <w:noWrap w:val="0"/>
            <w:vAlign w:val="center"/>
          </w:tcPr>
          <w:p>
            <w:pPr>
              <w:pStyle w:val="79"/>
              <w:rPr>
                <w:rFonts w:hint="eastAsia"/>
                <w:color w:val="auto"/>
              </w:rPr>
            </w:pPr>
          </w:p>
        </w:tc>
        <w:tc>
          <w:tcPr>
            <w:tcW w:w="3963" w:type="dxa"/>
            <w:noWrap w:val="0"/>
            <w:vAlign w:val="center"/>
          </w:tcPr>
          <w:p>
            <w:pPr>
              <w:pStyle w:val="79"/>
              <w:rPr>
                <w:rFonts w:hint="eastAsia"/>
                <w:color w:val="auto"/>
              </w:rPr>
            </w:pPr>
            <w:r>
              <w:rPr>
                <w:rFonts w:hint="eastAsia"/>
                <w:color w:val="auto"/>
              </w:rPr>
              <w:t>涉重金属矿区所属水环境控制区域</w:t>
            </w:r>
          </w:p>
        </w:tc>
        <w:tc>
          <w:tcPr>
            <w:tcW w:w="5462" w:type="dxa"/>
            <w:noWrap w:val="0"/>
            <w:vAlign w:val="center"/>
          </w:tcPr>
          <w:p>
            <w:pPr>
              <w:pStyle w:val="79"/>
              <w:rPr>
                <w:rFonts w:hint="eastAsia"/>
                <w:color w:val="auto"/>
              </w:rPr>
            </w:pPr>
            <w:r>
              <w:rPr>
                <w:rFonts w:hint="eastAsia"/>
                <w:color w:val="auto"/>
              </w:rPr>
              <w:t>本项目</w:t>
            </w:r>
            <w:r>
              <w:rPr>
                <w:rFonts w:hint="eastAsia"/>
                <w:color w:val="auto"/>
                <w:lang w:eastAsia="zh-CN"/>
              </w:rPr>
              <w:t>选址不属于</w:t>
            </w:r>
            <w:r>
              <w:rPr>
                <w:rFonts w:hint="eastAsia"/>
                <w:color w:val="auto"/>
              </w:rPr>
              <w:t>涉重金属矿区</w:t>
            </w:r>
          </w:p>
        </w:tc>
        <w:tc>
          <w:tcPr>
            <w:tcW w:w="1145" w:type="dxa"/>
            <w:noWrap w:val="0"/>
            <w:vAlign w:val="center"/>
          </w:tcPr>
          <w:p>
            <w:pPr>
              <w:pStyle w:val="79"/>
              <w:rPr>
                <w:rFonts w:hint="eastAsia"/>
                <w:color w:val="auto"/>
              </w:rPr>
            </w:pPr>
            <w:r>
              <w:rPr>
                <w:rFonts w:hint="eastAsia"/>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9"/>
              <w:rPr>
                <w:rFonts w:hint="eastAsia"/>
                <w:color w:val="auto"/>
              </w:rPr>
            </w:pPr>
          </w:p>
        </w:tc>
        <w:tc>
          <w:tcPr>
            <w:tcW w:w="1083" w:type="dxa"/>
            <w:vMerge w:val="continue"/>
            <w:noWrap w:val="0"/>
            <w:vAlign w:val="center"/>
          </w:tcPr>
          <w:p>
            <w:pPr>
              <w:pStyle w:val="79"/>
              <w:rPr>
                <w:rFonts w:hint="eastAsia"/>
                <w:color w:val="auto"/>
              </w:rPr>
            </w:pPr>
          </w:p>
        </w:tc>
        <w:tc>
          <w:tcPr>
            <w:tcW w:w="1940" w:type="dxa"/>
            <w:vMerge w:val="restart"/>
            <w:noWrap w:val="0"/>
            <w:vAlign w:val="center"/>
          </w:tcPr>
          <w:p>
            <w:pPr>
              <w:pStyle w:val="79"/>
              <w:rPr>
                <w:rFonts w:hint="eastAsia"/>
                <w:color w:val="auto"/>
              </w:rPr>
            </w:pPr>
            <w:r>
              <w:rPr>
                <w:rFonts w:hint="eastAsia"/>
                <w:color w:val="auto"/>
              </w:rPr>
              <w:t>土壤环境风险重点管控区</w:t>
            </w:r>
          </w:p>
        </w:tc>
        <w:tc>
          <w:tcPr>
            <w:tcW w:w="3963" w:type="dxa"/>
            <w:noWrap w:val="0"/>
            <w:vAlign w:val="center"/>
          </w:tcPr>
          <w:p>
            <w:pPr>
              <w:pStyle w:val="79"/>
              <w:rPr>
                <w:rFonts w:hint="eastAsia"/>
                <w:color w:val="auto"/>
              </w:rPr>
            </w:pPr>
            <w:r>
              <w:rPr>
                <w:rFonts w:hint="eastAsia"/>
                <w:color w:val="auto"/>
              </w:rPr>
              <w:t>农用地污染风险重点管控区</w:t>
            </w:r>
          </w:p>
        </w:tc>
        <w:tc>
          <w:tcPr>
            <w:tcW w:w="5462" w:type="dxa"/>
            <w:noWrap w:val="0"/>
            <w:vAlign w:val="center"/>
          </w:tcPr>
          <w:p>
            <w:pPr>
              <w:pStyle w:val="79"/>
              <w:rPr>
                <w:rFonts w:hint="eastAsia" w:eastAsia="宋体"/>
                <w:color w:val="auto"/>
                <w:lang w:eastAsia="zh-CN"/>
              </w:rPr>
            </w:pPr>
            <w:r>
              <w:rPr>
                <w:rFonts w:hint="eastAsia"/>
                <w:color w:val="auto"/>
              </w:rPr>
              <w:t>本项目</w:t>
            </w:r>
            <w:r>
              <w:rPr>
                <w:rFonts w:hint="eastAsia"/>
                <w:color w:val="auto"/>
                <w:lang w:eastAsia="zh-CN"/>
              </w:rPr>
              <w:t>选址不涉及</w:t>
            </w:r>
            <w:r>
              <w:rPr>
                <w:rFonts w:hint="eastAsia"/>
                <w:color w:val="auto"/>
              </w:rPr>
              <w:t>农用地污染风险重点管控区</w:t>
            </w:r>
          </w:p>
        </w:tc>
        <w:tc>
          <w:tcPr>
            <w:tcW w:w="1145" w:type="dxa"/>
            <w:noWrap w:val="0"/>
            <w:vAlign w:val="center"/>
          </w:tcPr>
          <w:p>
            <w:pPr>
              <w:pStyle w:val="79"/>
              <w:rPr>
                <w:rFonts w:hint="eastAsia"/>
                <w:color w:val="auto"/>
              </w:rPr>
            </w:pPr>
            <w:r>
              <w:rPr>
                <w:rFonts w:hint="eastAsia"/>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9"/>
              <w:rPr>
                <w:rFonts w:hint="eastAsia"/>
                <w:color w:val="auto"/>
              </w:rPr>
            </w:pPr>
          </w:p>
        </w:tc>
        <w:tc>
          <w:tcPr>
            <w:tcW w:w="1083" w:type="dxa"/>
            <w:vMerge w:val="continue"/>
            <w:noWrap w:val="0"/>
            <w:vAlign w:val="center"/>
          </w:tcPr>
          <w:p>
            <w:pPr>
              <w:pStyle w:val="79"/>
              <w:rPr>
                <w:rFonts w:hint="eastAsia"/>
                <w:color w:val="auto"/>
              </w:rPr>
            </w:pPr>
          </w:p>
        </w:tc>
        <w:tc>
          <w:tcPr>
            <w:tcW w:w="1940" w:type="dxa"/>
            <w:vMerge w:val="continue"/>
            <w:noWrap w:val="0"/>
            <w:vAlign w:val="center"/>
          </w:tcPr>
          <w:p>
            <w:pPr>
              <w:pStyle w:val="79"/>
              <w:rPr>
                <w:rFonts w:hint="eastAsia"/>
                <w:color w:val="auto"/>
              </w:rPr>
            </w:pPr>
          </w:p>
        </w:tc>
        <w:tc>
          <w:tcPr>
            <w:tcW w:w="3963" w:type="dxa"/>
            <w:noWrap w:val="0"/>
            <w:vAlign w:val="center"/>
          </w:tcPr>
          <w:p>
            <w:pPr>
              <w:pStyle w:val="79"/>
              <w:rPr>
                <w:rFonts w:hint="eastAsia"/>
                <w:color w:val="auto"/>
              </w:rPr>
            </w:pPr>
            <w:r>
              <w:rPr>
                <w:rFonts w:hint="eastAsia"/>
                <w:color w:val="auto"/>
              </w:rPr>
              <w:t>建设用地污染风险重点管控区，含重金属污染防治重点区域及疑似污染地块</w:t>
            </w:r>
          </w:p>
        </w:tc>
        <w:tc>
          <w:tcPr>
            <w:tcW w:w="5462" w:type="dxa"/>
            <w:noWrap w:val="0"/>
            <w:vAlign w:val="center"/>
          </w:tcPr>
          <w:p>
            <w:pPr>
              <w:pStyle w:val="79"/>
              <w:rPr>
                <w:rFonts w:hint="eastAsia" w:eastAsia="宋体"/>
                <w:color w:val="auto"/>
                <w:lang w:eastAsia="zh-CN"/>
              </w:rPr>
            </w:pPr>
            <w:r>
              <w:rPr>
                <w:rFonts w:hint="eastAsia"/>
                <w:color w:val="auto"/>
                <w:lang w:eastAsia="zh-CN"/>
              </w:rPr>
              <w:t>本项目选址不涉及</w:t>
            </w:r>
            <w:r>
              <w:rPr>
                <w:rFonts w:hint="eastAsia"/>
                <w:color w:val="auto"/>
              </w:rPr>
              <w:t>建设用地污染风险重点管控区，含重金属污染防治重点区域及疑似污染地块</w:t>
            </w:r>
          </w:p>
        </w:tc>
        <w:tc>
          <w:tcPr>
            <w:tcW w:w="1145" w:type="dxa"/>
            <w:noWrap w:val="0"/>
            <w:vAlign w:val="center"/>
          </w:tcPr>
          <w:p>
            <w:pPr>
              <w:pStyle w:val="79"/>
              <w:rPr>
                <w:rFonts w:hint="eastAsia"/>
                <w:color w:val="auto"/>
              </w:rPr>
            </w:pPr>
            <w:r>
              <w:rPr>
                <w:rFonts w:hint="eastAsia"/>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9"/>
              <w:rPr>
                <w:rFonts w:hint="eastAsia"/>
                <w:color w:val="auto"/>
              </w:rPr>
            </w:pPr>
          </w:p>
        </w:tc>
        <w:tc>
          <w:tcPr>
            <w:tcW w:w="1083" w:type="dxa"/>
            <w:vMerge w:val="continue"/>
            <w:noWrap w:val="0"/>
            <w:vAlign w:val="center"/>
          </w:tcPr>
          <w:p>
            <w:pPr>
              <w:pStyle w:val="79"/>
              <w:rPr>
                <w:rFonts w:hint="eastAsia"/>
                <w:color w:val="auto"/>
              </w:rPr>
            </w:pPr>
          </w:p>
        </w:tc>
        <w:tc>
          <w:tcPr>
            <w:tcW w:w="1940" w:type="dxa"/>
            <w:vMerge w:val="continue"/>
            <w:noWrap w:val="0"/>
            <w:vAlign w:val="center"/>
          </w:tcPr>
          <w:p>
            <w:pPr>
              <w:pStyle w:val="79"/>
              <w:rPr>
                <w:rFonts w:hint="eastAsia"/>
                <w:color w:val="auto"/>
              </w:rPr>
            </w:pPr>
          </w:p>
        </w:tc>
        <w:tc>
          <w:tcPr>
            <w:tcW w:w="3963" w:type="dxa"/>
            <w:noWrap w:val="0"/>
            <w:vAlign w:val="center"/>
          </w:tcPr>
          <w:p>
            <w:pPr>
              <w:pStyle w:val="79"/>
              <w:rPr>
                <w:rFonts w:hint="eastAsia"/>
                <w:color w:val="auto"/>
              </w:rPr>
            </w:pPr>
            <w:r>
              <w:rPr>
                <w:rFonts w:hint="eastAsia"/>
                <w:color w:val="auto"/>
              </w:rPr>
              <w:t>其他土壤环境风险重点管控区，含湖南省矿产资源总体规划中的部、省、市、县级矿区</w:t>
            </w:r>
          </w:p>
        </w:tc>
        <w:tc>
          <w:tcPr>
            <w:tcW w:w="5462" w:type="dxa"/>
            <w:noWrap w:val="0"/>
            <w:vAlign w:val="center"/>
          </w:tcPr>
          <w:p>
            <w:pPr>
              <w:pStyle w:val="79"/>
              <w:rPr>
                <w:rFonts w:hint="eastAsia" w:eastAsia="宋体"/>
                <w:color w:val="auto"/>
                <w:lang w:eastAsia="zh-CN"/>
              </w:rPr>
            </w:pPr>
            <w:r>
              <w:rPr>
                <w:rFonts w:hint="eastAsia"/>
                <w:color w:val="auto"/>
                <w:lang w:eastAsia="zh-CN"/>
              </w:rPr>
              <w:t>本项目选址不涉及</w:t>
            </w:r>
            <w:r>
              <w:rPr>
                <w:rFonts w:hint="eastAsia"/>
                <w:color w:val="auto"/>
              </w:rPr>
              <w:t>其他土壤环境风险重点管控区，含湖南省矿产资源总体规划中的部、省、市、县级矿区</w:t>
            </w:r>
          </w:p>
        </w:tc>
        <w:tc>
          <w:tcPr>
            <w:tcW w:w="1145" w:type="dxa"/>
            <w:noWrap w:val="0"/>
            <w:vAlign w:val="center"/>
          </w:tcPr>
          <w:p>
            <w:pPr>
              <w:pStyle w:val="79"/>
              <w:rPr>
                <w:rFonts w:hint="eastAsia"/>
                <w:color w:val="auto"/>
              </w:rPr>
            </w:pPr>
            <w:r>
              <w:rPr>
                <w:rFonts w:hint="eastAsia"/>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9"/>
              <w:rPr>
                <w:rFonts w:hint="eastAsia"/>
                <w:color w:val="auto"/>
              </w:rPr>
            </w:pPr>
          </w:p>
        </w:tc>
        <w:tc>
          <w:tcPr>
            <w:tcW w:w="1083" w:type="dxa"/>
            <w:vMerge w:val="continue"/>
            <w:noWrap w:val="0"/>
            <w:vAlign w:val="center"/>
          </w:tcPr>
          <w:p>
            <w:pPr>
              <w:pStyle w:val="79"/>
              <w:rPr>
                <w:rFonts w:hint="eastAsia"/>
                <w:color w:val="auto"/>
              </w:rPr>
            </w:pPr>
          </w:p>
        </w:tc>
        <w:tc>
          <w:tcPr>
            <w:tcW w:w="1940" w:type="dxa"/>
            <w:noWrap w:val="0"/>
            <w:vAlign w:val="center"/>
          </w:tcPr>
          <w:p>
            <w:pPr>
              <w:pStyle w:val="79"/>
              <w:rPr>
                <w:rFonts w:hint="eastAsia"/>
                <w:color w:val="auto"/>
              </w:rPr>
            </w:pPr>
            <w:r>
              <w:rPr>
                <w:rFonts w:hint="eastAsia"/>
                <w:color w:val="auto"/>
              </w:rPr>
              <w:t>能源利用重点管控区</w:t>
            </w:r>
          </w:p>
        </w:tc>
        <w:tc>
          <w:tcPr>
            <w:tcW w:w="3963" w:type="dxa"/>
            <w:noWrap w:val="0"/>
            <w:vAlign w:val="center"/>
          </w:tcPr>
          <w:p>
            <w:pPr>
              <w:pStyle w:val="79"/>
              <w:rPr>
                <w:rFonts w:hint="eastAsia"/>
                <w:color w:val="auto"/>
              </w:rPr>
            </w:pPr>
            <w:r>
              <w:rPr>
                <w:rFonts w:hint="eastAsia"/>
                <w:color w:val="auto"/>
              </w:rPr>
              <w:t>各城市建成区划定的高污染燃料禁燃区</w:t>
            </w:r>
          </w:p>
        </w:tc>
        <w:tc>
          <w:tcPr>
            <w:tcW w:w="5462" w:type="dxa"/>
            <w:noWrap w:val="0"/>
            <w:vAlign w:val="center"/>
          </w:tcPr>
          <w:p>
            <w:pPr>
              <w:pStyle w:val="79"/>
              <w:rPr>
                <w:rFonts w:hint="eastAsia"/>
                <w:color w:val="auto"/>
              </w:rPr>
            </w:pPr>
            <w:r>
              <w:rPr>
                <w:rFonts w:hint="eastAsia"/>
                <w:color w:val="auto"/>
              </w:rPr>
              <w:t>本项目不涉及城市建成区划定的高污染燃料禁燃区</w:t>
            </w:r>
          </w:p>
        </w:tc>
        <w:tc>
          <w:tcPr>
            <w:tcW w:w="1145" w:type="dxa"/>
            <w:noWrap w:val="0"/>
            <w:vAlign w:val="center"/>
          </w:tcPr>
          <w:p>
            <w:pPr>
              <w:pStyle w:val="79"/>
              <w:rPr>
                <w:rFonts w:hint="eastAsia"/>
                <w:color w:val="auto"/>
              </w:rPr>
            </w:pPr>
            <w:r>
              <w:rPr>
                <w:rFonts w:hint="eastAsia"/>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9"/>
              <w:rPr>
                <w:rFonts w:hint="eastAsia"/>
                <w:color w:val="auto"/>
              </w:rPr>
            </w:pPr>
          </w:p>
        </w:tc>
        <w:tc>
          <w:tcPr>
            <w:tcW w:w="1083" w:type="dxa"/>
            <w:vMerge w:val="continue"/>
            <w:noWrap w:val="0"/>
            <w:vAlign w:val="center"/>
          </w:tcPr>
          <w:p>
            <w:pPr>
              <w:pStyle w:val="79"/>
              <w:rPr>
                <w:rFonts w:hint="eastAsia"/>
                <w:color w:val="auto"/>
              </w:rPr>
            </w:pPr>
          </w:p>
        </w:tc>
        <w:tc>
          <w:tcPr>
            <w:tcW w:w="1940" w:type="dxa"/>
            <w:vMerge w:val="restart"/>
            <w:noWrap w:val="0"/>
            <w:vAlign w:val="center"/>
          </w:tcPr>
          <w:p>
            <w:pPr>
              <w:pStyle w:val="79"/>
              <w:rPr>
                <w:rFonts w:hint="eastAsia"/>
                <w:color w:val="auto"/>
              </w:rPr>
            </w:pPr>
            <w:r>
              <w:rPr>
                <w:rFonts w:hint="eastAsia"/>
                <w:color w:val="auto"/>
              </w:rPr>
              <w:t>水资源重点管控区</w:t>
            </w:r>
          </w:p>
        </w:tc>
        <w:tc>
          <w:tcPr>
            <w:tcW w:w="3963" w:type="dxa"/>
            <w:noWrap w:val="0"/>
            <w:vAlign w:val="center"/>
          </w:tcPr>
          <w:p>
            <w:pPr>
              <w:pStyle w:val="79"/>
              <w:rPr>
                <w:rFonts w:hint="eastAsia"/>
                <w:color w:val="auto"/>
              </w:rPr>
            </w:pPr>
            <w:r>
              <w:rPr>
                <w:rFonts w:hint="eastAsia"/>
                <w:color w:val="auto"/>
              </w:rPr>
              <w:t>水资源利用重点管控区，含水资源利用效率临界超载（含临界达标）的区域</w:t>
            </w:r>
          </w:p>
        </w:tc>
        <w:tc>
          <w:tcPr>
            <w:tcW w:w="5462" w:type="dxa"/>
            <w:noWrap w:val="0"/>
            <w:vAlign w:val="center"/>
          </w:tcPr>
          <w:p>
            <w:pPr>
              <w:pStyle w:val="79"/>
              <w:rPr>
                <w:rFonts w:hint="eastAsia"/>
                <w:color w:val="auto"/>
              </w:rPr>
            </w:pPr>
            <w:r>
              <w:rPr>
                <w:rFonts w:hint="eastAsia"/>
                <w:color w:val="auto"/>
              </w:rPr>
              <w:t>本项目不涉及水资源利用重点管控区</w:t>
            </w:r>
          </w:p>
        </w:tc>
        <w:tc>
          <w:tcPr>
            <w:tcW w:w="1145" w:type="dxa"/>
            <w:noWrap w:val="0"/>
            <w:vAlign w:val="center"/>
          </w:tcPr>
          <w:p>
            <w:pPr>
              <w:pStyle w:val="79"/>
              <w:rPr>
                <w:rFonts w:hint="eastAsia"/>
                <w:color w:val="auto"/>
              </w:rPr>
            </w:pPr>
            <w:r>
              <w:rPr>
                <w:rFonts w:hint="eastAsia"/>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9"/>
              <w:rPr>
                <w:rFonts w:hint="eastAsia"/>
                <w:color w:val="auto"/>
              </w:rPr>
            </w:pPr>
          </w:p>
        </w:tc>
        <w:tc>
          <w:tcPr>
            <w:tcW w:w="1083" w:type="dxa"/>
            <w:vMerge w:val="continue"/>
            <w:noWrap w:val="0"/>
            <w:vAlign w:val="center"/>
          </w:tcPr>
          <w:p>
            <w:pPr>
              <w:pStyle w:val="79"/>
              <w:rPr>
                <w:rFonts w:hint="eastAsia"/>
                <w:color w:val="auto"/>
              </w:rPr>
            </w:pPr>
          </w:p>
        </w:tc>
        <w:tc>
          <w:tcPr>
            <w:tcW w:w="1940" w:type="dxa"/>
            <w:vMerge w:val="continue"/>
            <w:noWrap w:val="0"/>
            <w:vAlign w:val="center"/>
          </w:tcPr>
          <w:p>
            <w:pPr>
              <w:pStyle w:val="79"/>
              <w:rPr>
                <w:rFonts w:hint="eastAsia"/>
                <w:color w:val="auto"/>
              </w:rPr>
            </w:pPr>
          </w:p>
        </w:tc>
        <w:tc>
          <w:tcPr>
            <w:tcW w:w="3963" w:type="dxa"/>
            <w:noWrap w:val="0"/>
            <w:vAlign w:val="center"/>
          </w:tcPr>
          <w:p>
            <w:pPr>
              <w:pStyle w:val="79"/>
              <w:rPr>
                <w:rFonts w:hint="eastAsia"/>
                <w:color w:val="auto"/>
              </w:rPr>
            </w:pPr>
            <w:r>
              <w:rPr>
                <w:rFonts w:hint="eastAsia"/>
                <w:color w:val="auto"/>
              </w:rPr>
              <w:t>生态用水补给区，含生态用水保障不足及临界的区域</w:t>
            </w:r>
          </w:p>
        </w:tc>
        <w:tc>
          <w:tcPr>
            <w:tcW w:w="5462" w:type="dxa"/>
            <w:noWrap w:val="0"/>
            <w:vAlign w:val="center"/>
          </w:tcPr>
          <w:p>
            <w:pPr>
              <w:pStyle w:val="79"/>
              <w:rPr>
                <w:rFonts w:hint="eastAsia"/>
                <w:color w:val="auto"/>
              </w:rPr>
            </w:pPr>
            <w:r>
              <w:rPr>
                <w:rFonts w:hint="eastAsia"/>
                <w:color w:val="auto"/>
              </w:rPr>
              <w:t>本项目不涉及生态用水补给区</w:t>
            </w:r>
          </w:p>
        </w:tc>
        <w:tc>
          <w:tcPr>
            <w:tcW w:w="1145" w:type="dxa"/>
            <w:noWrap w:val="0"/>
            <w:vAlign w:val="center"/>
          </w:tcPr>
          <w:p>
            <w:pPr>
              <w:pStyle w:val="79"/>
              <w:rPr>
                <w:rFonts w:hint="eastAsia"/>
                <w:color w:val="auto"/>
              </w:rPr>
            </w:pPr>
            <w:r>
              <w:rPr>
                <w:rFonts w:hint="eastAsia"/>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0" w:type="dxa"/>
            <w:vMerge w:val="continue"/>
            <w:noWrap w:val="0"/>
            <w:vAlign w:val="center"/>
          </w:tcPr>
          <w:p>
            <w:pPr>
              <w:pStyle w:val="79"/>
              <w:rPr>
                <w:rFonts w:hint="eastAsia"/>
                <w:color w:val="auto"/>
              </w:rPr>
            </w:pPr>
          </w:p>
        </w:tc>
        <w:tc>
          <w:tcPr>
            <w:tcW w:w="1083" w:type="dxa"/>
            <w:vMerge w:val="continue"/>
            <w:noWrap w:val="0"/>
            <w:vAlign w:val="center"/>
          </w:tcPr>
          <w:p>
            <w:pPr>
              <w:pStyle w:val="79"/>
              <w:rPr>
                <w:rFonts w:hint="eastAsia"/>
                <w:color w:val="auto"/>
              </w:rPr>
            </w:pPr>
          </w:p>
        </w:tc>
        <w:tc>
          <w:tcPr>
            <w:tcW w:w="1940" w:type="dxa"/>
            <w:noWrap w:val="0"/>
            <w:vAlign w:val="center"/>
          </w:tcPr>
          <w:p>
            <w:pPr>
              <w:pStyle w:val="79"/>
              <w:rPr>
                <w:rFonts w:hint="eastAsia"/>
                <w:color w:val="auto"/>
              </w:rPr>
            </w:pPr>
            <w:r>
              <w:rPr>
                <w:rFonts w:hint="eastAsia"/>
                <w:color w:val="auto"/>
              </w:rPr>
              <w:t>土地资源重点管控区</w:t>
            </w:r>
          </w:p>
        </w:tc>
        <w:tc>
          <w:tcPr>
            <w:tcW w:w="3963" w:type="dxa"/>
            <w:noWrap w:val="0"/>
            <w:vAlign w:val="center"/>
          </w:tcPr>
          <w:p>
            <w:pPr>
              <w:pStyle w:val="79"/>
              <w:rPr>
                <w:rFonts w:hint="eastAsia"/>
                <w:color w:val="auto"/>
              </w:rPr>
            </w:pPr>
            <w:r>
              <w:rPr>
                <w:rFonts w:hint="eastAsia"/>
                <w:color w:val="auto"/>
              </w:rPr>
              <w:t>含生态保护红线集中、重度污染农用地或污染地块集中的区域</w:t>
            </w:r>
          </w:p>
        </w:tc>
        <w:tc>
          <w:tcPr>
            <w:tcW w:w="5462" w:type="dxa"/>
            <w:noWrap w:val="0"/>
            <w:vAlign w:val="center"/>
          </w:tcPr>
          <w:p>
            <w:pPr>
              <w:pStyle w:val="79"/>
              <w:rPr>
                <w:rFonts w:hint="eastAsia"/>
                <w:color w:val="auto"/>
              </w:rPr>
            </w:pPr>
            <w:r>
              <w:rPr>
                <w:rFonts w:hint="eastAsia"/>
                <w:color w:val="auto"/>
              </w:rPr>
              <w:t>本项目</w:t>
            </w:r>
            <w:r>
              <w:rPr>
                <w:color w:val="auto"/>
              </w:rPr>
              <w:t>符合生态保护红线要求</w:t>
            </w:r>
            <w:r>
              <w:rPr>
                <w:rFonts w:hint="eastAsia"/>
                <w:color w:val="auto"/>
              </w:rPr>
              <w:t>；本项目</w:t>
            </w:r>
            <w:r>
              <w:rPr>
                <w:rFonts w:hint="eastAsia"/>
                <w:color w:val="auto"/>
                <w:lang w:eastAsia="zh-CN"/>
              </w:rPr>
              <w:t>选址不涉及</w:t>
            </w:r>
            <w:r>
              <w:rPr>
                <w:rFonts w:hint="eastAsia"/>
                <w:color w:val="auto"/>
              </w:rPr>
              <w:t>重度污染农用地或污染地块集中的区域</w:t>
            </w:r>
          </w:p>
        </w:tc>
        <w:tc>
          <w:tcPr>
            <w:tcW w:w="1145" w:type="dxa"/>
            <w:noWrap w:val="0"/>
            <w:vAlign w:val="center"/>
          </w:tcPr>
          <w:p>
            <w:pPr>
              <w:pStyle w:val="79"/>
              <w:rPr>
                <w:rFonts w:hint="eastAsia"/>
                <w:color w:val="auto"/>
              </w:rPr>
            </w:pPr>
            <w:r>
              <w:rPr>
                <w:rFonts w:hint="eastAsia"/>
                <w:color w:val="auto"/>
              </w:rPr>
              <w:t>符合</w:t>
            </w:r>
          </w:p>
        </w:tc>
      </w:tr>
    </w:tbl>
    <w:p>
      <w:pPr>
        <w:spacing w:line="360" w:lineRule="auto"/>
        <w:ind w:firstLine="480" w:firstLineChars="200"/>
        <w:rPr>
          <w:rFonts w:hint="eastAsia" w:ascii="Times New Roman" w:hAnsi="Times New Roman" w:eastAsia="宋体" w:cs="Times New Roman"/>
          <w:color w:val="000000"/>
          <w:sz w:val="24"/>
          <w:szCs w:val="24"/>
          <w:lang w:val="zh-CN"/>
        </w:rPr>
        <w:sectPr>
          <w:pgSz w:w="16838" w:h="11906" w:orient="landscape"/>
          <w:pgMar w:top="1800" w:right="1440" w:bottom="1800" w:left="1440" w:header="851" w:footer="794" w:gutter="0"/>
          <w:pgBorders>
            <w:top w:val="none" w:sz="0" w:space="0"/>
            <w:left w:val="none" w:sz="0" w:space="0"/>
            <w:bottom w:val="none" w:sz="0" w:space="0"/>
            <w:right w:val="none" w:sz="0" w:space="0"/>
          </w:pgBorders>
          <w:pgNumType w:fmt="decimal"/>
          <w:cols w:space="720" w:num="1"/>
          <w:docGrid w:type="lines" w:linePitch="326" w:charSpace="0"/>
        </w:sectPr>
      </w:pPr>
      <w:r>
        <w:rPr>
          <w:rFonts w:hint="eastAsia" w:ascii="Times New Roman" w:hAnsi="Times New Roman" w:eastAsia="宋体" w:cs="Times New Roman"/>
          <w:color w:val="000000"/>
          <w:sz w:val="24"/>
          <w:szCs w:val="24"/>
          <w:lang w:val="zh-CN"/>
        </w:rPr>
        <w:t>综上，评价认为本项目在严格落实工程设计及评价要求的各种污染防治及管理措施后，项目符合与“《湖南省人民政府关于实施“三线一单”生态环境分区管控的意见》（湘政发〔2020〕12 号）有关要求</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textAlignment w:val="auto"/>
        <w:outlineLvl w:val="4"/>
        <w:rPr>
          <w:rFonts w:hint="eastAsia" w:ascii="Times New Roman" w:hAnsi="Times New Roman" w:eastAsia="宋体" w:cs="Times New Roman"/>
          <w:b/>
          <w:bCs/>
          <w:sz w:val="24"/>
          <w:u w:val="none"/>
          <w:lang w:val="en-US" w:eastAsia="zh-CN"/>
        </w:rPr>
      </w:pPr>
      <w:r>
        <w:rPr>
          <w:rFonts w:hint="eastAsia" w:ascii="Times New Roman" w:hAnsi="Times New Roman" w:eastAsia="宋体" w:cs="Times New Roman"/>
          <w:b/>
          <w:bCs/>
          <w:sz w:val="24"/>
          <w:u w:val="none"/>
          <w:lang w:val="en-US" w:eastAsia="zh-CN"/>
        </w:rPr>
        <w:t>（6）与《花垣县工业园区发展规划》（2008-2025）符合性分析</w:t>
      </w:r>
    </w:p>
    <w:p>
      <w:pPr>
        <w:ind w:firstLine="480"/>
        <w:rPr>
          <w:rFonts w:hint="eastAsia" w:eastAsia="宋体"/>
          <w:b/>
          <w:bCs/>
          <w:color w:val="000000"/>
          <w:u w:val="none"/>
          <w:lang w:val="en-US" w:eastAsia="zh-CN"/>
        </w:rPr>
      </w:pPr>
      <w:r>
        <w:rPr>
          <w:rFonts w:hint="eastAsia" w:ascii="宋体" w:hAnsi="宋体" w:eastAsia="宋体" w:cs="宋体"/>
          <w:b/>
          <w:bCs/>
          <w:color w:val="000000"/>
          <w:u w:val="none"/>
        </w:rPr>
        <w:t>①</w:t>
      </w:r>
      <w:r>
        <w:rPr>
          <w:rFonts w:hint="eastAsia" w:ascii="宋体" w:hAnsi="宋体" w:eastAsia="宋体" w:cs="宋体"/>
          <w:b/>
          <w:bCs/>
          <w:color w:val="000000"/>
          <w:u w:val="none"/>
          <w:lang w:val="en-US" w:eastAsia="zh-CN"/>
        </w:rPr>
        <w:t xml:space="preserve"> 园区概况</w:t>
      </w:r>
    </w:p>
    <w:p>
      <w:pPr>
        <w:ind w:firstLine="480"/>
        <w:rPr>
          <w:rFonts w:hint="eastAsia"/>
          <w:color w:val="000000"/>
          <w:u w:val="none"/>
        </w:rPr>
      </w:pPr>
      <w:r>
        <w:rPr>
          <w:rFonts w:hint="eastAsia"/>
          <w:color w:val="000000"/>
          <w:u w:val="none"/>
        </w:rPr>
        <w:t>花垣县工业园位于花垣县城西部，规划控制面积约6.90km</w:t>
      </w:r>
      <w:r>
        <w:rPr>
          <w:rFonts w:hint="eastAsia"/>
          <w:color w:val="000000"/>
          <w:u w:val="none"/>
          <w:vertAlign w:val="superscript"/>
        </w:rPr>
        <w:t>2</w:t>
      </w:r>
      <w:r>
        <w:rPr>
          <w:rFonts w:hint="eastAsia"/>
          <w:color w:val="000000"/>
          <w:u w:val="none"/>
        </w:rPr>
        <w:t>，2009年工业园管委会委托湖南省环境保护科学研究院编制了《花垣县工业园环境影响报告书》并得到了省环保厅的批复（湘环评[2009]51号），后由于花垣县工业园申报条件不符合发改委关于设立工业园的要求，工业园的规划建设暂时搁置。2011年，根据湖南省人民政府《关于加快产业园区体系建设的意见》（湘政发[2011]25号文）的精神，花垣县政府决定在原申报花垣县工业园6.9km</w:t>
      </w:r>
      <w:r>
        <w:rPr>
          <w:rFonts w:hint="eastAsia"/>
          <w:color w:val="000000"/>
          <w:u w:val="none"/>
          <w:vertAlign w:val="superscript"/>
        </w:rPr>
        <w:t>2</w:t>
      </w:r>
      <w:r>
        <w:rPr>
          <w:rFonts w:hint="eastAsia"/>
          <w:color w:val="000000"/>
          <w:u w:val="none"/>
        </w:rPr>
        <w:t>的基础上向西拓展至省道231，新增面积5.8km</w:t>
      </w:r>
      <w:r>
        <w:rPr>
          <w:rFonts w:hint="eastAsia"/>
          <w:color w:val="000000"/>
          <w:u w:val="none"/>
          <w:vertAlign w:val="superscript"/>
        </w:rPr>
        <w:t>2</w:t>
      </w:r>
      <w:r>
        <w:rPr>
          <w:rFonts w:hint="eastAsia"/>
          <w:color w:val="000000"/>
          <w:u w:val="none"/>
        </w:rPr>
        <w:t>，并把县城东部老工业集中区2.5km</w:t>
      </w:r>
      <w:r>
        <w:rPr>
          <w:rFonts w:hint="eastAsia"/>
          <w:color w:val="000000"/>
          <w:u w:val="none"/>
          <w:vertAlign w:val="superscript"/>
        </w:rPr>
        <w:t>2</w:t>
      </w:r>
      <w:r>
        <w:rPr>
          <w:rFonts w:hint="eastAsia"/>
          <w:color w:val="000000"/>
          <w:u w:val="none"/>
        </w:rPr>
        <w:t>的范围纳入其中形成新的花垣县工业集中区，集中区总规划面积15.2km</w:t>
      </w:r>
      <w:r>
        <w:rPr>
          <w:rFonts w:hint="eastAsia"/>
          <w:color w:val="000000"/>
          <w:u w:val="none"/>
          <w:vertAlign w:val="superscript"/>
        </w:rPr>
        <w:t>2</w:t>
      </w:r>
      <w:r>
        <w:rPr>
          <w:rFonts w:hint="eastAsia"/>
          <w:color w:val="000000"/>
          <w:u w:val="none"/>
        </w:rPr>
        <w:t>，分为两部分，东部老工业区规划面积2.5km</w:t>
      </w:r>
      <w:r>
        <w:rPr>
          <w:rFonts w:hint="eastAsia"/>
          <w:color w:val="000000"/>
          <w:u w:val="none"/>
          <w:vertAlign w:val="superscript"/>
        </w:rPr>
        <w:t>2</w:t>
      </w:r>
      <w:r>
        <w:rPr>
          <w:rFonts w:hint="eastAsia"/>
          <w:color w:val="000000"/>
          <w:u w:val="none"/>
        </w:rPr>
        <w:t>，西部新规划区规划面积12.7km</w:t>
      </w:r>
      <w:r>
        <w:rPr>
          <w:rFonts w:hint="eastAsia"/>
          <w:color w:val="000000"/>
          <w:u w:val="none"/>
          <w:vertAlign w:val="superscript"/>
        </w:rPr>
        <w:t>2</w:t>
      </w:r>
      <w:r>
        <w:rPr>
          <w:rFonts w:hint="eastAsia"/>
          <w:color w:val="000000"/>
          <w:u w:val="none"/>
        </w:rPr>
        <w:t>。</w:t>
      </w:r>
    </w:p>
    <w:p>
      <w:pPr>
        <w:ind w:firstLine="480"/>
        <w:rPr>
          <w:rFonts w:hint="eastAsia"/>
          <w:color w:val="000000"/>
          <w:u w:val="none"/>
        </w:rPr>
      </w:pPr>
      <w:r>
        <w:rPr>
          <w:rFonts w:hint="eastAsia"/>
          <w:color w:val="000000"/>
          <w:u w:val="none"/>
        </w:rPr>
        <w:t>区域总体规划结构为“一园三基地”。“一园”即花垣工业集中区，“三基地”即锰、锌加工生产基地</w:t>
      </w:r>
      <w:r>
        <w:rPr>
          <w:rFonts w:hint="eastAsia"/>
          <w:color w:val="000000"/>
          <w:u w:val="none"/>
          <w:lang w:eastAsia="zh-CN"/>
        </w:rPr>
        <w:t>、</w:t>
      </w:r>
      <w:r>
        <w:rPr>
          <w:rFonts w:hint="eastAsia"/>
          <w:color w:val="000000"/>
          <w:u w:val="none"/>
        </w:rPr>
        <w:t>新材料生产基地、和配套服务基地。</w:t>
      </w:r>
    </w:p>
    <w:p>
      <w:pPr>
        <w:ind w:firstLine="480"/>
        <w:rPr>
          <w:rFonts w:hint="eastAsia" w:ascii="Times New Roman" w:hAnsi="Times New Roman" w:eastAsia="宋体" w:cs="Times New Roman"/>
          <w:color w:val="000000"/>
          <w:u w:val="none"/>
        </w:rPr>
      </w:pPr>
      <w:r>
        <w:rPr>
          <w:rFonts w:hint="eastAsia" w:ascii="Times New Roman" w:hAnsi="Times New Roman" w:eastAsia="宋体" w:cs="Times New Roman"/>
          <w:color w:val="000000"/>
          <w:u w:val="none"/>
        </w:rPr>
        <w:t>新材料生产基地：位于西部新区中部，是以锰、锌新材料开发的高技术产业基地，同时，适当发展生物制药和农副产品加工业(油脂加工业、粮食加工、饲料加工、种子加工等)。 新材料生产基地发展重点行业：电解二氧化锰、电解锌、锰酸锂、电子级无硒高纯四氧化三锰及高性能软磁铁氧体等下游产品。</w:t>
      </w:r>
    </w:p>
    <w:p>
      <w:pPr>
        <w:ind w:firstLine="480"/>
        <w:rPr>
          <w:rFonts w:hint="eastAsia" w:ascii="Times New Roman" w:hAnsi="Times New Roman" w:eastAsia="宋体" w:cs="Times New Roman"/>
          <w:color w:val="000000"/>
          <w:u w:val="none"/>
        </w:rPr>
      </w:pPr>
      <w:r>
        <w:rPr>
          <w:rFonts w:hint="eastAsia" w:ascii="Times New Roman" w:hAnsi="Times New Roman" w:eastAsia="宋体" w:cs="Times New Roman"/>
          <w:color w:val="000000"/>
          <w:u w:val="none"/>
        </w:rPr>
        <w:t xml:space="preserve"> 锰、锌加工生产基地：为东部老工业区，现状以电解锰、电解锌生产企业主要积聚之地，规划通过对现状企业进行技改提升，走循环经济之路。</w:t>
      </w:r>
    </w:p>
    <w:p>
      <w:pPr>
        <w:ind w:firstLine="480"/>
        <w:rPr>
          <w:rFonts w:hint="eastAsia" w:ascii="Times New Roman" w:hAnsi="Times New Roman" w:eastAsia="宋体" w:cs="Times New Roman"/>
          <w:color w:val="000000"/>
          <w:u w:val="none"/>
        </w:rPr>
      </w:pPr>
      <w:r>
        <w:rPr>
          <w:rFonts w:hint="eastAsia" w:ascii="Times New Roman" w:hAnsi="Times New Roman" w:eastAsia="宋体" w:cs="Times New Roman"/>
          <w:color w:val="000000"/>
          <w:u w:val="none"/>
        </w:rPr>
        <w:t xml:space="preserve"> 配套服务基地：位于西部新区东部，张花高速公路东部。基地是工业集中区以及县城的物流仓储中心，同时也是工业集中区商务、会展、办公中心。</w:t>
      </w:r>
    </w:p>
    <w:p>
      <w:pPr>
        <w:ind w:firstLine="480"/>
        <w:rPr>
          <w:rFonts w:hint="eastAsia" w:ascii="Times New Roman" w:hAnsi="Times New Roman" w:eastAsia="宋体" w:cs="Times New Roman"/>
          <w:color w:val="000000"/>
          <w:u w:val="none"/>
        </w:rPr>
      </w:pPr>
      <w:r>
        <w:rPr>
          <w:rFonts w:hint="eastAsia" w:ascii="Times New Roman" w:hAnsi="Times New Roman" w:eastAsia="宋体" w:cs="Times New Roman"/>
          <w:color w:val="000000"/>
          <w:u w:val="none"/>
        </w:rPr>
        <w:t>2021年7月13日，湖南省发展和改革委员会发布关系长沙临空产业集聚区等44家省级工业集中区更名的通知（湘发改地区[2021]517号），花垣工业集中区正式更名为花垣产业开发区。</w:t>
      </w:r>
    </w:p>
    <w:p>
      <w:pPr>
        <w:tabs>
          <w:tab w:val="left" w:pos="909"/>
        </w:tabs>
        <w:spacing w:before="34"/>
        <w:ind w:left="0" w:right="52" w:firstLine="0"/>
        <w:jc w:val="center"/>
        <w:rPr>
          <w:rFonts w:ascii="宋体" w:hAnsi="宋体" w:eastAsia="宋体" w:cs="宋体"/>
          <w:sz w:val="21"/>
          <w:szCs w:val="21"/>
        </w:rPr>
      </w:pPr>
      <w:r>
        <w:rPr>
          <w:rFonts w:ascii="宋体" w:hAnsi="宋体" w:eastAsia="宋体" w:cs="宋体"/>
          <w:b/>
          <w:bCs/>
          <w:sz w:val="21"/>
          <w:szCs w:val="21"/>
        </w:rPr>
        <w:t>表</w:t>
      </w:r>
      <w:r>
        <w:rPr>
          <w:rFonts w:ascii="宋体" w:hAnsi="宋体" w:eastAsia="宋体" w:cs="宋体"/>
          <w:b/>
          <w:bCs/>
          <w:spacing w:val="-56"/>
          <w:sz w:val="21"/>
          <w:szCs w:val="21"/>
        </w:rPr>
        <w:t xml:space="preserve"> </w:t>
      </w:r>
      <w:r>
        <w:rPr>
          <w:rFonts w:hint="eastAsia" w:ascii="宋体" w:hAnsi="宋体" w:eastAsia="宋体" w:cs="宋体"/>
          <w:b/>
          <w:bCs/>
          <w:spacing w:val="-56"/>
          <w:sz w:val="21"/>
          <w:szCs w:val="21"/>
          <w:lang w:val="en-US" w:eastAsia="zh-CN"/>
        </w:rPr>
        <w:t xml:space="preserve">  </w:t>
      </w:r>
      <w:r>
        <w:rPr>
          <w:rFonts w:hint="eastAsia" w:eastAsia="宋体" w:cs="Times New Roman"/>
          <w:b/>
          <w:bCs/>
          <w:sz w:val="21"/>
          <w:szCs w:val="21"/>
          <w:lang w:val="en-US" w:eastAsia="zh-CN"/>
        </w:rPr>
        <w:t>3</w:t>
      </w:r>
      <w:r>
        <w:rPr>
          <w:rFonts w:ascii="Times New Roman" w:hAnsi="Times New Roman" w:eastAsia="Times New Roman" w:cs="Times New Roman"/>
          <w:b/>
          <w:bCs/>
          <w:sz w:val="21"/>
          <w:szCs w:val="21"/>
        </w:rPr>
        <w:tab/>
      </w:r>
      <w:r>
        <w:rPr>
          <w:rFonts w:ascii="宋体" w:hAnsi="宋体" w:eastAsia="宋体" w:cs="宋体"/>
          <w:b/>
          <w:bCs/>
          <w:sz w:val="21"/>
          <w:szCs w:val="21"/>
        </w:rPr>
        <w:t>集中区基本信息调查表</w:t>
      </w:r>
    </w:p>
    <w:tbl>
      <w:tblPr>
        <w:tblStyle w:val="38"/>
        <w:tblW w:w="84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758"/>
        <w:gridCol w:w="49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92" w:hRule="atLeast"/>
          <w:jc w:val="center"/>
        </w:trPr>
        <w:tc>
          <w:tcPr>
            <w:tcW w:w="70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b/>
                <w:bCs/>
                <w:sz w:val="21"/>
                <w:szCs w:val="21"/>
                <w:vertAlign w:val="baseline"/>
              </w:rPr>
            </w:pPr>
            <w:r>
              <w:rPr>
                <w:rFonts w:hint="eastAsia" w:ascii="Times New Roman" w:hAnsi="Times New Roman" w:eastAsia="宋体" w:cs="Times New Roman"/>
                <w:b/>
                <w:bCs/>
                <w:sz w:val="21"/>
                <w:szCs w:val="21"/>
                <w:u w:val="none"/>
                <w:vertAlign w:val="baseline"/>
                <w:lang w:val="zh-CN"/>
              </w:rPr>
              <w:t>序号</w:t>
            </w:r>
          </w:p>
        </w:tc>
        <w:tc>
          <w:tcPr>
            <w:tcW w:w="2758"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b/>
                <w:bCs/>
                <w:sz w:val="21"/>
                <w:szCs w:val="21"/>
                <w:vertAlign w:val="baseline"/>
              </w:rPr>
            </w:pPr>
            <w:r>
              <w:rPr>
                <w:rFonts w:hint="eastAsia" w:ascii="Times New Roman" w:hAnsi="Times New Roman" w:eastAsia="宋体" w:cs="Times New Roman"/>
                <w:b/>
                <w:bCs/>
                <w:sz w:val="21"/>
                <w:szCs w:val="21"/>
                <w:u w:val="none"/>
                <w:vertAlign w:val="baseline"/>
                <w:lang w:val="zh-CN"/>
              </w:rPr>
              <w:t>项目</w:t>
            </w:r>
          </w:p>
        </w:tc>
        <w:tc>
          <w:tcPr>
            <w:tcW w:w="495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b/>
                <w:bCs/>
                <w:sz w:val="21"/>
                <w:szCs w:val="21"/>
                <w:vertAlign w:val="baseline"/>
              </w:rPr>
            </w:pPr>
            <w:r>
              <w:rPr>
                <w:rFonts w:hint="eastAsia" w:ascii="Times New Roman" w:hAnsi="Times New Roman" w:eastAsia="宋体" w:cs="Times New Roman"/>
                <w:b/>
                <w:bCs/>
                <w:sz w:val="21"/>
                <w:szCs w:val="21"/>
                <w:u w:val="none"/>
                <w:vertAlign w:val="baseline"/>
                <w:lang w:val="zh-CN"/>
              </w:rPr>
              <w:t>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73" w:hRule="atLeast"/>
          <w:jc w:val="center"/>
        </w:trPr>
        <w:tc>
          <w:tcPr>
            <w:tcW w:w="70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1</w:t>
            </w:r>
          </w:p>
        </w:tc>
        <w:tc>
          <w:tcPr>
            <w:tcW w:w="2758"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集中区名称</w:t>
            </w:r>
          </w:p>
        </w:tc>
        <w:tc>
          <w:tcPr>
            <w:tcW w:w="495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eastAsia="宋体" w:cs="Times New Roman"/>
                <w:sz w:val="21"/>
                <w:szCs w:val="21"/>
                <w:u w:val="none"/>
                <w:vertAlign w:val="baseline"/>
                <w:lang w:val="zh-CN"/>
              </w:rPr>
              <w:t>花垣产业开发区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4" w:hRule="atLeast"/>
          <w:jc w:val="center"/>
        </w:trPr>
        <w:tc>
          <w:tcPr>
            <w:tcW w:w="70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2</w:t>
            </w:r>
          </w:p>
        </w:tc>
        <w:tc>
          <w:tcPr>
            <w:tcW w:w="2758"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集中区级别</w:t>
            </w:r>
          </w:p>
        </w:tc>
        <w:tc>
          <w:tcPr>
            <w:tcW w:w="495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省级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73" w:hRule="atLeast"/>
          <w:jc w:val="center"/>
        </w:trPr>
        <w:tc>
          <w:tcPr>
            <w:tcW w:w="70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3</w:t>
            </w:r>
          </w:p>
        </w:tc>
        <w:tc>
          <w:tcPr>
            <w:tcW w:w="2758"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集中区审批类型</w:t>
            </w:r>
          </w:p>
        </w:tc>
        <w:tc>
          <w:tcPr>
            <w:tcW w:w="495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工业主导型工业集中区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73" w:hRule="atLeast"/>
          <w:jc w:val="center"/>
        </w:trPr>
        <w:tc>
          <w:tcPr>
            <w:tcW w:w="70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4</w:t>
            </w:r>
          </w:p>
        </w:tc>
        <w:tc>
          <w:tcPr>
            <w:tcW w:w="2758"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集中区设立时间</w:t>
            </w:r>
          </w:p>
        </w:tc>
        <w:tc>
          <w:tcPr>
            <w:tcW w:w="495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2012年11月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73" w:hRule="atLeast"/>
          <w:jc w:val="center"/>
        </w:trPr>
        <w:tc>
          <w:tcPr>
            <w:tcW w:w="70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5</w:t>
            </w:r>
          </w:p>
        </w:tc>
        <w:tc>
          <w:tcPr>
            <w:tcW w:w="2758"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集中区审批单位</w:t>
            </w:r>
          </w:p>
        </w:tc>
        <w:tc>
          <w:tcPr>
            <w:tcW w:w="495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湖南省人民政府湘政办函〔2012〕187号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73" w:hRule="atLeast"/>
          <w:jc w:val="center"/>
        </w:trPr>
        <w:tc>
          <w:tcPr>
            <w:tcW w:w="70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6</w:t>
            </w:r>
          </w:p>
        </w:tc>
        <w:tc>
          <w:tcPr>
            <w:tcW w:w="2758"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集中区管理机构</w:t>
            </w:r>
          </w:p>
        </w:tc>
        <w:tc>
          <w:tcPr>
            <w:tcW w:w="495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花垣工业集中区管理委员会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73" w:hRule="atLeast"/>
          <w:jc w:val="center"/>
        </w:trPr>
        <w:tc>
          <w:tcPr>
            <w:tcW w:w="70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7</w:t>
            </w:r>
          </w:p>
        </w:tc>
        <w:tc>
          <w:tcPr>
            <w:tcW w:w="2758"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集中区管理机构地址</w:t>
            </w:r>
          </w:p>
        </w:tc>
        <w:tc>
          <w:tcPr>
            <w:tcW w:w="495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花垣县四方井路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92" w:hRule="atLeast"/>
          <w:jc w:val="center"/>
        </w:trPr>
        <w:tc>
          <w:tcPr>
            <w:tcW w:w="70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8</w:t>
            </w:r>
          </w:p>
        </w:tc>
        <w:tc>
          <w:tcPr>
            <w:tcW w:w="2758"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集中区主导产业</w:t>
            </w:r>
          </w:p>
        </w:tc>
        <w:tc>
          <w:tcPr>
            <w:tcW w:w="495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黑色金属和有色金属冶炼和压延加工业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36" w:hRule="atLeast"/>
          <w:jc w:val="center"/>
        </w:trPr>
        <w:tc>
          <w:tcPr>
            <w:tcW w:w="70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9</w:t>
            </w:r>
          </w:p>
        </w:tc>
        <w:tc>
          <w:tcPr>
            <w:tcW w:w="2758"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集中区依法审批土地面积</w:t>
            </w:r>
          </w:p>
        </w:tc>
        <w:tc>
          <w:tcPr>
            <w:tcW w:w="495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总规划面积15.2km</w:t>
            </w:r>
            <w:r>
              <w:rPr>
                <w:rFonts w:hint="eastAsia" w:ascii="Times New Roman" w:hAnsi="Times New Roman" w:eastAsia="宋体" w:cs="Times New Roman"/>
                <w:sz w:val="21"/>
                <w:szCs w:val="21"/>
                <w:u w:val="none"/>
                <w:vertAlign w:val="superscript"/>
                <w:lang w:val="zh-CN"/>
              </w:rPr>
              <w:t>2</w:t>
            </w:r>
            <w:r>
              <w:rPr>
                <w:rFonts w:hint="eastAsia" w:ascii="Times New Roman" w:hAnsi="Times New Roman" w:eastAsia="宋体" w:cs="Times New Roman"/>
                <w:sz w:val="21"/>
                <w:szCs w:val="21"/>
                <w:u w:val="none"/>
                <w:vertAlign w:val="baseline"/>
                <w:lang w:val="zh-CN"/>
              </w:rPr>
              <w:t>，分为东西俩部分。东部老区规划面积2.5km</w:t>
            </w:r>
            <w:r>
              <w:rPr>
                <w:rFonts w:hint="eastAsia" w:ascii="Times New Roman" w:hAnsi="Times New Roman" w:eastAsia="宋体" w:cs="Times New Roman"/>
                <w:sz w:val="21"/>
                <w:szCs w:val="21"/>
                <w:u w:val="none"/>
                <w:vertAlign w:val="superscript"/>
                <w:lang w:val="zh-CN"/>
              </w:rPr>
              <w:t>2</w:t>
            </w:r>
            <w:r>
              <w:rPr>
                <w:rFonts w:hint="eastAsia" w:ascii="Times New Roman" w:hAnsi="Times New Roman" w:eastAsia="宋体" w:cs="Times New Roman"/>
                <w:sz w:val="21"/>
                <w:szCs w:val="21"/>
                <w:u w:val="none"/>
                <w:vertAlign w:val="baseline"/>
                <w:lang w:val="zh-CN"/>
              </w:rPr>
              <w:t>，西部新区规划面积12.7km</w:t>
            </w:r>
            <w:r>
              <w:rPr>
                <w:rFonts w:hint="eastAsia" w:ascii="Times New Roman" w:hAnsi="Times New Roman" w:eastAsia="宋体" w:cs="Times New Roman"/>
                <w:sz w:val="21"/>
                <w:szCs w:val="21"/>
                <w:u w:val="none"/>
                <w:vertAlign w:val="superscript"/>
                <w:lang w:val="zh-CN"/>
              </w:rPr>
              <w:t>2</w:t>
            </w:r>
            <w:r>
              <w:rPr>
                <w:rFonts w:hint="eastAsia" w:ascii="Times New Roman" w:hAnsi="Times New Roman" w:eastAsia="宋体" w:cs="Times New Roman"/>
                <w:sz w:val="21"/>
                <w:szCs w:val="21"/>
                <w:u w:val="none"/>
                <w:vertAlign w:val="baseline"/>
                <w:lang w:val="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73" w:hRule="atLeast"/>
          <w:jc w:val="center"/>
        </w:trPr>
        <w:tc>
          <w:tcPr>
            <w:tcW w:w="70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10</w:t>
            </w:r>
          </w:p>
        </w:tc>
        <w:tc>
          <w:tcPr>
            <w:tcW w:w="2758"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土地开发率（%）</w:t>
            </w:r>
          </w:p>
        </w:tc>
        <w:tc>
          <w:tcPr>
            <w:tcW w:w="495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41.52%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01" w:hRule="atLeast"/>
          <w:jc w:val="center"/>
        </w:trPr>
        <w:tc>
          <w:tcPr>
            <w:tcW w:w="70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11</w:t>
            </w:r>
          </w:p>
        </w:tc>
        <w:tc>
          <w:tcPr>
            <w:tcW w:w="2758"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集中区常住人口（人）</w:t>
            </w:r>
          </w:p>
        </w:tc>
        <w:tc>
          <w:tcPr>
            <w:tcW w:w="4955" w:type="dxa"/>
            <w:tcBorders>
              <w:tl2br w:val="nil"/>
              <w:tr2bl w:val="nil"/>
            </w:tcBorders>
            <w:noWrap w:val="0"/>
            <w:vAlign w:val="center"/>
          </w:tcPr>
          <w:p>
            <w:pPr>
              <w:keepNext w:val="0"/>
              <w:keepLines w:val="0"/>
              <w:pageBreakBefore w:val="0"/>
              <w:widowControl/>
              <w:kinsoku/>
              <w:wordWrap w:val="0"/>
              <w:overflowPunct/>
              <w:topLinePunct/>
              <w:autoSpaceDE/>
              <w:autoSpaceDN/>
              <w:bidi w:val="0"/>
              <w:adjustRightInd/>
              <w:snapToGrid/>
              <w:ind w:firstLine="0" w:firstLineChars="0"/>
              <w:jc w:val="center"/>
              <w:textAlignment w:val="auto"/>
              <w:rPr>
                <w:rFonts w:hint="eastAsia"/>
                <w:sz w:val="21"/>
                <w:szCs w:val="21"/>
                <w:vertAlign w:val="baseline"/>
              </w:rPr>
            </w:pPr>
            <w:r>
              <w:rPr>
                <w:rFonts w:hint="eastAsia" w:ascii="Times New Roman" w:hAnsi="Times New Roman" w:eastAsia="宋体" w:cs="Times New Roman"/>
                <w:sz w:val="21"/>
                <w:szCs w:val="21"/>
                <w:u w:val="none"/>
                <w:vertAlign w:val="baseline"/>
                <w:lang w:val="zh-CN"/>
              </w:rPr>
              <w:t>6074</w:t>
            </w:r>
          </w:p>
        </w:tc>
      </w:tr>
    </w:tbl>
    <w:p>
      <w:pPr>
        <w:ind w:firstLine="480"/>
        <w:rPr>
          <w:rFonts w:hint="eastAsia" w:ascii="宋体" w:hAnsi="宋体" w:eastAsia="宋体" w:cs="宋体"/>
          <w:b/>
          <w:bCs/>
          <w:color w:val="000000"/>
          <w:u w:val="none"/>
          <w:lang w:val="en-US" w:eastAsia="zh-CN"/>
        </w:rPr>
      </w:pPr>
      <w:r>
        <w:rPr>
          <w:rFonts w:hint="eastAsia" w:ascii="宋体" w:hAnsi="宋体" w:eastAsia="宋体" w:cs="宋体"/>
          <w:b/>
          <w:bCs/>
          <w:color w:val="000000"/>
          <w:u w:val="none"/>
        </w:rPr>
        <w:t>②</w:t>
      </w:r>
      <w:r>
        <w:rPr>
          <w:rFonts w:hint="eastAsia" w:ascii="宋体" w:hAnsi="宋体" w:eastAsia="宋体" w:cs="宋体"/>
          <w:b/>
          <w:bCs/>
          <w:color w:val="000000"/>
          <w:u w:val="none"/>
          <w:lang w:val="en-US" w:eastAsia="zh-CN"/>
        </w:rPr>
        <w:t xml:space="preserve"> 产业定位</w:t>
      </w:r>
    </w:p>
    <w:p>
      <w:pPr>
        <w:ind w:firstLine="480"/>
        <w:rPr>
          <w:rFonts w:hint="eastAsia" w:ascii="Times New Roman" w:hAnsi="Times New Roman" w:eastAsia="宋体" w:cs="Times New Roman"/>
          <w:color w:val="000000"/>
          <w:u w:val="none"/>
        </w:rPr>
      </w:pPr>
      <w:r>
        <w:rPr>
          <w:rFonts w:hint="eastAsia" w:ascii="Times New Roman" w:hAnsi="Times New Roman" w:eastAsia="宋体" w:cs="Times New Roman"/>
          <w:b/>
          <w:bCs/>
          <w:color w:val="000000"/>
          <w:u w:val="none"/>
        </w:rPr>
        <w:t>新材料生产基地发展重点行业：</w:t>
      </w:r>
      <w:r>
        <w:rPr>
          <w:rFonts w:hint="eastAsia" w:ascii="Times New Roman" w:hAnsi="Times New Roman" w:eastAsia="宋体" w:cs="Times New Roman"/>
          <w:color w:val="000000"/>
          <w:u w:val="none"/>
        </w:rPr>
        <w:t>电解二氧化锰、电解锌、锰酸锂、电子级无硒高纯四氧化三锰及高性能软磁铁氧体等下游产品。</w:t>
      </w:r>
    </w:p>
    <w:p>
      <w:pPr>
        <w:ind w:firstLine="480"/>
        <w:rPr>
          <w:rFonts w:hint="eastAsia" w:ascii="Times New Roman" w:hAnsi="Times New Roman" w:eastAsia="宋体" w:cs="Times New Roman"/>
          <w:color w:val="000000"/>
          <w:u w:val="none"/>
        </w:rPr>
      </w:pPr>
      <w:r>
        <w:rPr>
          <w:rFonts w:hint="eastAsia" w:ascii="Times New Roman" w:hAnsi="Times New Roman" w:eastAsia="宋体" w:cs="Times New Roman"/>
          <w:b/>
          <w:bCs/>
          <w:color w:val="000000"/>
          <w:u w:val="none"/>
        </w:rPr>
        <w:t>锰、锌加工生产基地：</w:t>
      </w:r>
      <w:r>
        <w:rPr>
          <w:rFonts w:hint="eastAsia" w:ascii="Times New Roman" w:hAnsi="Times New Roman" w:eastAsia="宋体" w:cs="Times New Roman"/>
          <w:color w:val="000000"/>
          <w:u w:val="none"/>
        </w:rPr>
        <w:t>为东部老工业区，现状以电解锰、电解锌生产企业主要积聚之地，规划通过对现状企业进行技改提升，走循环经济之路。</w:t>
      </w:r>
    </w:p>
    <w:p>
      <w:pPr>
        <w:ind w:firstLine="480"/>
        <w:rPr>
          <w:rFonts w:hint="eastAsia" w:ascii="Times New Roman" w:hAnsi="Times New Roman" w:eastAsia="宋体" w:cs="Times New Roman"/>
          <w:color w:val="000000"/>
          <w:u w:val="none"/>
        </w:rPr>
      </w:pPr>
      <w:r>
        <w:rPr>
          <w:rFonts w:hint="eastAsia" w:ascii="Times New Roman" w:hAnsi="Times New Roman" w:eastAsia="宋体" w:cs="Times New Roman"/>
          <w:b/>
          <w:bCs/>
          <w:color w:val="000000"/>
          <w:u w:val="none"/>
        </w:rPr>
        <w:t>配套服务基地：</w:t>
      </w:r>
      <w:r>
        <w:rPr>
          <w:rFonts w:hint="eastAsia" w:ascii="Times New Roman" w:hAnsi="Times New Roman" w:eastAsia="宋体" w:cs="Times New Roman"/>
          <w:color w:val="000000"/>
          <w:u w:val="none"/>
        </w:rPr>
        <w:t>位于西部新规划区东部，张花高速公路东部。基地是工业集中区以及县城的物流仓储中心，同时也是工业集中区商务、会展、办公中心。</w:t>
      </w:r>
    </w:p>
    <w:p>
      <w:pPr>
        <w:rPr>
          <w:rFonts w:hint="eastAsia" w:eastAsia="宋体"/>
          <w:color w:val="000000"/>
          <w:u w:val="none"/>
          <w:lang w:eastAsia="zh-CN"/>
        </w:rPr>
      </w:pPr>
      <w:r>
        <w:rPr>
          <w:rFonts w:hint="eastAsia"/>
          <w:color w:val="000000"/>
          <w:u w:val="none"/>
          <w:lang w:eastAsia="zh-CN"/>
        </w:rPr>
        <w:t>本项目位于新材料生产基地，根据园区产业定位，新材料基地涉及到重金属企业，有重金属废水产生，本项目主要针对园区涉重企业应急情况下重金属废水的处理，属于园区的配套基础设施项目，符合园区的产业定位。</w:t>
      </w:r>
    </w:p>
    <w:p>
      <w:pPr>
        <w:ind w:firstLine="482"/>
        <w:rPr>
          <w:rFonts w:hint="eastAsia"/>
          <w:b/>
          <w:bCs/>
          <w:color w:val="000000"/>
          <w:u w:val="none"/>
        </w:rPr>
      </w:pPr>
      <w:r>
        <w:rPr>
          <w:rFonts w:hint="eastAsia" w:ascii="宋体" w:hAnsi="宋体" w:eastAsia="宋体" w:cs="宋体"/>
          <w:b/>
          <w:bCs/>
          <w:color w:val="000000"/>
          <w:u w:val="none"/>
        </w:rPr>
        <w:t>③</w:t>
      </w:r>
      <w:r>
        <w:rPr>
          <w:rFonts w:hint="eastAsia"/>
          <w:b/>
          <w:bCs/>
          <w:color w:val="000000"/>
          <w:u w:val="none"/>
        </w:rPr>
        <w:t>排水体制</w:t>
      </w:r>
    </w:p>
    <w:p>
      <w:pPr>
        <w:widowControl w:val="0"/>
        <w:ind w:firstLine="482" w:firstLineChars="0"/>
        <w:jc w:val="both"/>
        <w:rPr>
          <w:color w:val="000000"/>
          <w:u w:val="none"/>
        </w:rPr>
      </w:pPr>
      <w:r>
        <w:rPr>
          <w:rFonts w:hint="eastAsia"/>
          <w:color w:val="000000"/>
          <w:u w:val="none"/>
        </w:rPr>
        <w:t>工业集中区排水系统采用雨、污分流制排水体制</w:t>
      </w:r>
      <w:r>
        <w:rPr>
          <w:color w:val="000000"/>
          <w:u w:val="none"/>
        </w:rPr>
        <w:t>。</w:t>
      </w:r>
    </w:p>
    <w:p>
      <w:pPr>
        <w:ind w:firstLine="480"/>
        <w:rPr>
          <w:rFonts w:hint="eastAsia" w:eastAsia="宋体"/>
          <w:color w:val="000000"/>
          <w:u w:val="none"/>
          <w:lang w:eastAsia="zh-CN"/>
        </w:rPr>
      </w:pPr>
      <w:r>
        <w:rPr>
          <w:rFonts w:hint="eastAsia"/>
          <w:color w:val="000000"/>
          <w:u w:val="none"/>
        </w:rPr>
        <w:t>西部新区新建设有配套排水管网，由南向北敷设雨水干管，雨水就近排入花垣河支流卡地小溪、无名小溪，规划沿富园路、A3路、B2路敷设污水主干管，污水管管径分别为DN1000、DN800、DN800。目前污水管网已建设完成。 东部老区规划沿G209及建设路铺设雨水管、污水管，雨水管管径为DN500，污水管管径为DN400。规划在花垣县工业集中区管委会在东北侧卡地村、花垣河南侧 100m（坐标：E109°26′16″，N28°35′42″）建设集中区污水处理厂，采用改良型氧化沟处理工艺，尾水达到《城镇污水处理厂污染物排放标准》一级</w:t>
      </w:r>
      <w:r>
        <w:rPr>
          <w:rFonts w:hint="eastAsia"/>
          <w:color w:val="000000"/>
          <w:u w:val="none"/>
          <w:lang w:val="en-US" w:eastAsia="zh-CN"/>
        </w:rPr>
        <w:t>A</w:t>
      </w:r>
      <w:r>
        <w:rPr>
          <w:rFonts w:hint="eastAsia"/>
          <w:color w:val="000000"/>
          <w:u w:val="none"/>
        </w:rPr>
        <w:t>标准后，排入花垣河。目前污水处理厂的建设处于建设阶段，由于工期紧张，报省厅批准后先建处理能力为180m</w:t>
      </w:r>
      <w:r>
        <w:rPr>
          <w:rFonts w:hint="eastAsia"/>
          <w:color w:val="000000"/>
          <w:u w:val="none"/>
          <w:vertAlign w:val="superscript"/>
        </w:rPr>
        <w:t>3</w:t>
      </w:r>
      <w:r>
        <w:rPr>
          <w:rFonts w:hint="eastAsia"/>
          <w:color w:val="000000"/>
          <w:u w:val="none"/>
        </w:rPr>
        <w:t>/d的应急污水处理系统1套，</w:t>
      </w:r>
      <w:r>
        <w:rPr>
          <w:rFonts w:hint="eastAsia"/>
          <w:color w:val="000000"/>
          <w:u w:val="none"/>
          <w:lang w:eastAsia="zh-CN"/>
        </w:rPr>
        <w:t>已</w:t>
      </w:r>
      <w:r>
        <w:rPr>
          <w:rFonts w:hint="eastAsia"/>
          <w:color w:val="000000"/>
          <w:u w:val="none"/>
        </w:rPr>
        <w:t>建成运营。花垣县政府委托艾布鲁环保科技有限公司在集中区污水处理站西南侧建设一座处 理规模为3000m</w:t>
      </w:r>
      <w:r>
        <w:rPr>
          <w:rFonts w:hint="eastAsia"/>
          <w:color w:val="000000"/>
          <w:u w:val="none"/>
          <w:vertAlign w:val="superscript"/>
        </w:rPr>
        <w:t>3</w:t>
      </w:r>
      <w:r>
        <w:rPr>
          <w:rFonts w:hint="eastAsia"/>
          <w:color w:val="000000"/>
          <w:u w:val="none"/>
        </w:rPr>
        <w:t>/d的重金属污水处理</w:t>
      </w:r>
      <w:r>
        <w:rPr>
          <w:rFonts w:hint="eastAsia"/>
          <w:color w:val="000000"/>
          <w:u w:val="none"/>
          <w:lang w:eastAsia="zh-CN"/>
        </w:rPr>
        <w:t>站</w:t>
      </w:r>
      <w:r>
        <w:rPr>
          <w:rFonts w:hint="eastAsia"/>
          <w:color w:val="000000"/>
          <w:u w:val="none"/>
        </w:rPr>
        <w:t>及</w:t>
      </w:r>
      <w:r>
        <w:rPr>
          <w:rFonts w:hint="eastAsia"/>
          <w:color w:val="000000"/>
          <w:u w:val="none"/>
          <w:lang w:eastAsia="zh-CN"/>
        </w:rPr>
        <w:t>相</w:t>
      </w:r>
      <w:r>
        <w:rPr>
          <w:rFonts w:hint="eastAsia"/>
          <w:color w:val="000000"/>
          <w:u w:val="none"/>
        </w:rPr>
        <w:t>关配套管网。</w:t>
      </w:r>
      <w:r>
        <w:rPr>
          <w:rFonts w:hint="eastAsia"/>
          <w:color w:val="000000"/>
          <w:u w:val="none"/>
          <w:lang w:val="en-US" w:eastAsia="zh-CN"/>
        </w:rPr>
        <w:t>本项目属于规划内</w:t>
      </w:r>
      <w:r>
        <w:rPr>
          <w:rFonts w:hint="eastAsia"/>
          <w:color w:val="000000"/>
          <w:u w:val="none"/>
        </w:rPr>
        <w:t>3000m</w:t>
      </w:r>
      <w:r>
        <w:rPr>
          <w:rFonts w:hint="eastAsia"/>
          <w:color w:val="000000"/>
          <w:u w:val="none"/>
          <w:vertAlign w:val="superscript"/>
        </w:rPr>
        <w:t>3</w:t>
      </w:r>
      <w:r>
        <w:rPr>
          <w:rFonts w:hint="eastAsia"/>
          <w:color w:val="000000"/>
          <w:u w:val="none"/>
        </w:rPr>
        <w:t>/d的重金属污水处理</w:t>
      </w:r>
      <w:r>
        <w:rPr>
          <w:rFonts w:hint="eastAsia"/>
          <w:color w:val="000000"/>
          <w:u w:val="none"/>
          <w:lang w:eastAsia="zh-CN"/>
        </w:rPr>
        <w:t>站</w:t>
      </w:r>
      <w:r>
        <w:rPr>
          <w:rFonts w:hint="eastAsia"/>
          <w:color w:val="000000"/>
          <w:u w:val="none"/>
        </w:rPr>
        <w:t>及</w:t>
      </w:r>
      <w:r>
        <w:rPr>
          <w:rFonts w:hint="eastAsia"/>
          <w:color w:val="000000"/>
          <w:u w:val="none"/>
          <w:lang w:eastAsia="zh-CN"/>
        </w:rPr>
        <w:t>相</w:t>
      </w:r>
      <w:r>
        <w:rPr>
          <w:rFonts w:hint="eastAsia"/>
          <w:color w:val="000000"/>
          <w:u w:val="none"/>
        </w:rPr>
        <w:t>关配套管网</w:t>
      </w:r>
      <w:r>
        <w:rPr>
          <w:rFonts w:hint="eastAsia"/>
          <w:color w:val="000000"/>
          <w:u w:val="none"/>
          <w:lang w:eastAsia="zh-CN"/>
        </w:rPr>
        <w:t>建设项目</w:t>
      </w:r>
      <w:r>
        <w:rPr>
          <w:rFonts w:hint="eastAsia"/>
          <w:color w:val="000000"/>
          <w:u w:val="none"/>
        </w:rPr>
        <w:t>。</w:t>
      </w:r>
      <w:r>
        <w:rPr>
          <w:rFonts w:hint="eastAsia"/>
          <w:color w:val="000000"/>
          <w:u w:val="none"/>
          <w:lang w:eastAsia="zh-CN"/>
        </w:rPr>
        <w:t>项目土建已完成，未正式运行。项目的建设有效的降低了花垣县花垣产业开发区的环境风险。降低园区重金属在应急情况下外排、泄漏至外环境的风险。</w:t>
      </w:r>
    </w:p>
    <w:p>
      <w:pPr>
        <w:ind w:firstLine="482"/>
        <w:rPr>
          <w:rFonts w:hint="eastAsia" w:ascii="宋体" w:hAnsi="宋体" w:eastAsia="宋体" w:cs="宋体"/>
          <w:b/>
          <w:bCs/>
          <w:color w:val="000000"/>
          <w:u w:val="none"/>
        </w:rPr>
      </w:pPr>
      <w:r>
        <w:rPr>
          <w:rFonts w:hint="eastAsia" w:ascii="宋体" w:hAnsi="宋体" w:eastAsia="宋体" w:cs="宋体"/>
          <w:b/>
          <w:bCs/>
          <w:color w:val="000000"/>
          <w:u w:val="none"/>
        </w:rPr>
        <w:t>④土地利用规划符合性分析</w:t>
      </w:r>
    </w:p>
    <w:p>
      <w:pPr>
        <w:ind w:firstLine="480"/>
        <w:rPr>
          <w:color w:val="auto"/>
          <w:u w:val="none"/>
        </w:rPr>
      </w:pPr>
      <w:r>
        <w:rPr>
          <w:rFonts w:hint="eastAsia"/>
          <w:color w:val="auto"/>
          <w:u w:val="none"/>
        </w:rPr>
        <w:t>本项目污水处理</w:t>
      </w:r>
      <w:r>
        <w:rPr>
          <w:rFonts w:hint="eastAsia"/>
          <w:color w:val="auto"/>
          <w:u w:val="none"/>
          <w:lang w:eastAsia="zh-CN"/>
        </w:rPr>
        <w:t>站</w:t>
      </w:r>
      <w:r>
        <w:rPr>
          <w:rFonts w:hint="eastAsia"/>
          <w:color w:val="auto"/>
          <w:u w:val="none"/>
        </w:rPr>
        <w:t>占地</w:t>
      </w:r>
      <w:r>
        <w:rPr>
          <w:rFonts w:hint="eastAsia"/>
          <w:color w:val="auto"/>
          <w:u w:val="none"/>
          <w:lang w:eastAsia="zh-CN"/>
        </w:rPr>
        <w:t>于</w:t>
      </w:r>
      <w:r>
        <w:rPr>
          <w:rFonts w:hint="eastAsia"/>
          <w:color w:val="auto"/>
          <w:u w:val="none"/>
          <w:lang w:val="en-US" w:eastAsia="zh-CN"/>
        </w:rPr>
        <w:t>2017年取得了花垣县城乡规划局的建设用地规划许可证，</w:t>
      </w:r>
      <w:r>
        <w:rPr>
          <w:rFonts w:hint="eastAsia"/>
          <w:color w:val="auto"/>
          <w:u w:val="none"/>
          <w:lang w:eastAsia="zh-CN"/>
        </w:rPr>
        <w:t>根据项目用地规划许可证可知，项目用地位于</w:t>
      </w:r>
      <w:r>
        <w:rPr>
          <w:rFonts w:hint="eastAsia"/>
          <w:color w:val="auto"/>
          <w:kern w:val="0"/>
          <w:u w:val="none"/>
          <w:lang w:eastAsia="zh-CN"/>
        </w:rPr>
        <w:t>花垣产业开发区</w:t>
      </w:r>
      <w:r>
        <w:rPr>
          <w:rFonts w:hint="eastAsia"/>
          <w:color w:val="auto"/>
          <w:u w:val="none"/>
          <w:lang w:eastAsia="zh-CN"/>
        </w:rPr>
        <w:t>，属于</w:t>
      </w:r>
      <w:r>
        <w:rPr>
          <w:rFonts w:hint="eastAsia" w:ascii="宋体" w:hAnsi="宋体" w:eastAsia="宋体" w:cs="宋体"/>
          <w:color w:val="auto"/>
          <w:u w:val="none"/>
          <w:lang w:eastAsia="zh-CN"/>
        </w:rPr>
        <w:t>二</w:t>
      </w:r>
      <w:r>
        <w:rPr>
          <w:rFonts w:hint="eastAsia" w:ascii="宋体" w:hAnsi="宋体" w:cs="宋体"/>
          <w:color w:val="auto"/>
          <w:u w:val="none"/>
          <w:lang w:eastAsia="zh-CN"/>
        </w:rPr>
        <w:t>类工业用地。根据花垣县工业集中区土地总体规划可知，本项目规划用地属于园区规划的污水处理厂建设用地，因此</w:t>
      </w:r>
      <w:r>
        <w:rPr>
          <w:rFonts w:hint="eastAsia"/>
          <w:color w:val="auto"/>
          <w:u w:val="none"/>
        </w:rPr>
        <w:t>本项目符合</w:t>
      </w:r>
      <w:r>
        <w:rPr>
          <w:rFonts w:hint="eastAsia"/>
          <w:color w:val="auto"/>
          <w:spacing w:val="-7"/>
          <w:u w:val="none"/>
        </w:rPr>
        <w:t>土地利用规划</w:t>
      </w:r>
      <w:r>
        <w:rPr>
          <w:rFonts w:hint="eastAsia"/>
          <w:color w:val="auto"/>
          <w:u w:val="none"/>
        </w:rPr>
        <w:t>。</w:t>
      </w:r>
    </w:p>
    <w:p>
      <w:pPr>
        <w:ind w:firstLine="480"/>
        <w:rPr>
          <w:b/>
          <w:bCs/>
          <w:color w:val="000000"/>
          <w:u w:val="none"/>
        </w:rPr>
      </w:pPr>
      <w:r>
        <w:rPr>
          <w:rFonts w:hint="eastAsia" w:ascii="宋体" w:hAnsi="宋体" w:eastAsia="宋体" w:cs="宋体"/>
          <w:b/>
          <w:bCs/>
          <w:color w:val="000000"/>
          <w:u w:val="none"/>
        </w:rPr>
        <w:t>⑤</w:t>
      </w:r>
      <w:r>
        <w:rPr>
          <w:rFonts w:hint="eastAsia"/>
          <w:b/>
          <w:bCs/>
          <w:color w:val="000000"/>
          <w:u w:val="none"/>
        </w:rPr>
        <w:t>与</w:t>
      </w:r>
      <w:r>
        <w:rPr>
          <w:rFonts w:hint="eastAsia"/>
          <w:b/>
          <w:bCs/>
          <w:color w:val="000000"/>
          <w:u w:val="none"/>
          <w:lang w:eastAsia="zh-CN"/>
        </w:rPr>
        <w:t>花垣工业集中区环评批复的</w:t>
      </w:r>
      <w:r>
        <w:rPr>
          <w:rFonts w:hint="eastAsia"/>
          <w:b/>
          <w:bCs/>
          <w:color w:val="000000"/>
          <w:u w:val="none"/>
        </w:rPr>
        <w:t>相符性分析分析</w:t>
      </w:r>
    </w:p>
    <w:p>
      <w:pPr>
        <w:ind w:firstLine="480"/>
        <w:rPr>
          <w:rFonts w:hint="default" w:eastAsia="宋体"/>
          <w:color w:val="000000"/>
          <w:u w:val="none"/>
          <w:lang w:val="en-US" w:eastAsia="zh-CN"/>
        </w:rPr>
      </w:pPr>
      <w:r>
        <w:rPr>
          <w:rFonts w:hint="eastAsia"/>
          <w:color w:val="000000"/>
          <w:u w:val="none"/>
          <w:lang w:eastAsia="zh-CN"/>
        </w:rPr>
        <w:t>花垣县工业集中区于</w:t>
      </w:r>
      <w:r>
        <w:rPr>
          <w:rFonts w:hint="eastAsia"/>
          <w:color w:val="000000"/>
          <w:u w:val="none"/>
          <w:lang w:val="en-US" w:eastAsia="zh-CN"/>
        </w:rPr>
        <w:t>2012年取得了湖南省环境保护厅的环评批复，批复文号为湘环评</w:t>
      </w:r>
      <w:r>
        <w:rPr>
          <w:rFonts w:hint="eastAsia" w:ascii="宋体" w:hAnsi="宋体" w:eastAsia="宋体" w:cs="宋体"/>
          <w:color w:val="000000"/>
          <w:u w:val="none"/>
          <w:lang w:val="en-US" w:eastAsia="zh-CN"/>
        </w:rPr>
        <w:t>[</w:t>
      </w:r>
      <w:r>
        <w:rPr>
          <w:rFonts w:hint="eastAsia"/>
          <w:color w:val="000000"/>
          <w:u w:val="none"/>
          <w:lang w:val="en-US" w:eastAsia="zh-CN"/>
        </w:rPr>
        <w:t>2012</w:t>
      </w:r>
      <w:r>
        <w:rPr>
          <w:rFonts w:hint="eastAsia" w:ascii="宋体" w:hAnsi="宋体" w:eastAsia="宋体" w:cs="宋体"/>
          <w:color w:val="000000"/>
          <w:u w:val="none"/>
          <w:lang w:val="en-US" w:eastAsia="zh-CN"/>
        </w:rPr>
        <w:t>]</w:t>
      </w:r>
      <w:r>
        <w:rPr>
          <w:rFonts w:hint="eastAsia"/>
          <w:color w:val="000000"/>
          <w:u w:val="none"/>
          <w:lang w:val="en-US" w:eastAsia="zh-CN"/>
        </w:rPr>
        <w:t>122号，本项目与园区审查意见相符性分析见下表：</w:t>
      </w:r>
    </w:p>
    <w:p>
      <w:pPr>
        <w:pStyle w:val="2"/>
        <w:spacing w:line="360" w:lineRule="auto"/>
        <w:ind w:firstLine="422" w:firstLineChars="200"/>
        <w:jc w:val="center"/>
        <w:rPr>
          <w:rFonts w:hint="default" w:ascii="Times New Roman" w:hAnsi="Times New Roman" w:cs="Times New Roman"/>
          <w:b/>
          <w:bCs/>
          <w:kern w:val="2"/>
          <w:sz w:val="21"/>
          <w:szCs w:val="21"/>
        </w:rPr>
      </w:pPr>
      <w:r>
        <w:rPr>
          <w:rFonts w:hint="default" w:ascii="Times New Roman" w:hAnsi="Times New Roman" w:cs="Times New Roman"/>
          <w:b/>
          <w:bCs/>
          <w:kern w:val="2"/>
          <w:sz w:val="21"/>
          <w:szCs w:val="21"/>
        </w:rPr>
        <w:t>表</w:t>
      </w:r>
      <w:r>
        <w:rPr>
          <w:rFonts w:hint="eastAsia" w:ascii="Times New Roman" w:hAnsi="Times New Roman" w:cs="Times New Roman"/>
          <w:b/>
          <w:bCs/>
          <w:kern w:val="2"/>
          <w:sz w:val="21"/>
          <w:szCs w:val="21"/>
          <w:lang w:val="en-US" w:eastAsia="zh-CN"/>
        </w:rPr>
        <w:t xml:space="preserve"> 4</w:t>
      </w:r>
      <w:r>
        <w:rPr>
          <w:rFonts w:hint="default" w:ascii="Times New Roman" w:hAnsi="Times New Roman" w:cs="Times New Roman"/>
          <w:b/>
          <w:bCs/>
          <w:kern w:val="2"/>
          <w:sz w:val="21"/>
          <w:szCs w:val="21"/>
        </w:rPr>
        <w:t xml:space="preserve"> 与园区审查意见符合性分析</w:t>
      </w:r>
    </w:p>
    <w:tbl>
      <w:tblPr>
        <w:tblStyle w:val="37"/>
        <w:tblW w:w="883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90"/>
        <w:gridCol w:w="2239"/>
        <w:gridCol w:w="7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90"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园区审查意见</w:t>
            </w:r>
          </w:p>
        </w:tc>
        <w:tc>
          <w:tcPr>
            <w:tcW w:w="2239"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本项目情况</w:t>
            </w:r>
          </w:p>
        </w:tc>
        <w:tc>
          <w:tcPr>
            <w:tcW w:w="705"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是否符合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5890"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1、进一步优化规划布局，严格按照功能区划进行有序开发建设，处理好集中区内部各功能组团及与周边农业、居住等各功能组团的关系。西部新规划区自西向东依次布设三类工业用地、二类工业用地、公共服务设施用地，产业布局以新材料生产基地(主要包括电子级无硒高纯四氧化三锰下游产品区域、锰酸锂区域、电子级无硒高纯四氧化三锰区域和电解二氧化锰区域)为主，南面布设生物医药用地，东面布置农副产品加工用地和服务基地。东部老工业区不再新增三类工业</w:t>
            </w:r>
            <w:r>
              <w:rPr>
                <w:rFonts w:hint="eastAsia" w:ascii="Times New Roman" w:hAnsi="Times New Roman" w:cs="Times New Roman"/>
                <w:kern w:val="2"/>
                <w:sz w:val="21"/>
                <w:szCs w:val="21"/>
                <w:lang w:eastAsia="zh-CN"/>
              </w:rPr>
              <w:t>，</w:t>
            </w:r>
            <w:r>
              <w:rPr>
                <w:rFonts w:hint="default" w:ascii="Times New Roman" w:hAnsi="Times New Roman" w:cs="Times New Roman"/>
                <w:kern w:val="2"/>
                <w:sz w:val="21"/>
                <w:szCs w:val="21"/>
              </w:rPr>
              <w:t>除规划保留的三类企业外，其余工业用地全部规划为一类工业用地。集中区与花垣县城区相邻的区域应设置200m的防护距离，优化花垣县工业集中区总体规划，合理规划道路两侧用地</w:t>
            </w:r>
            <w:r>
              <w:rPr>
                <w:rFonts w:hint="eastAsia" w:ascii="Times New Roman" w:hAnsi="Times New Roman" w:cs="Times New Roman"/>
                <w:kern w:val="2"/>
                <w:sz w:val="21"/>
                <w:szCs w:val="21"/>
                <w:lang w:eastAsia="zh-CN"/>
              </w:rPr>
              <w:t>，</w:t>
            </w:r>
            <w:r>
              <w:rPr>
                <w:rFonts w:hint="default" w:ascii="Times New Roman" w:hAnsi="Times New Roman" w:cs="Times New Roman"/>
                <w:kern w:val="2"/>
                <w:sz w:val="21"/>
                <w:szCs w:val="21"/>
              </w:rPr>
              <w:t>在靠近交通干线两侧30m范围内不得建设对噪声敏感的建筑物，居住区与工业区设置60m以上的噪声防护距离。</w:t>
            </w:r>
          </w:p>
        </w:tc>
        <w:tc>
          <w:tcPr>
            <w:tcW w:w="2239"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kern w:val="2"/>
                <w:sz w:val="21"/>
                <w:szCs w:val="21"/>
                <w:lang w:eastAsia="zh-CN"/>
              </w:rPr>
            </w:pPr>
            <w:r>
              <w:rPr>
                <w:rFonts w:hint="eastAsia" w:ascii="Times New Roman" w:hAnsi="Times New Roman" w:cs="Times New Roman"/>
                <w:kern w:val="2"/>
                <w:sz w:val="21"/>
                <w:szCs w:val="21"/>
                <w:lang w:eastAsia="zh-CN"/>
              </w:rPr>
              <w:t>项目位于园区设置的新材料基地，用地属于二类工业用地，项目主要为处理新材料基地涉重企业在应急情况下重金属废水的处理，项目建设符合花垣县工业集中区的总体规划</w:t>
            </w:r>
          </w:p>
        </w:tc>
        <w:tc>
          <w:tcPr>
            <w:tcW w:w="705"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70" w:hRule="atLeast"/>
          <w:jc w:val="center"/>
        </w:trPr>
        <w:tc>
          <w:tcPr>
            <w:tcW w:w="5890"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2、严格执行企业准入制度，入区项目选址必须符合集中区总体发展规划、用地规划、功能布局、环保规划及主导产业定位要求，不得引进国家明令淘汰和禁止发展的能耗物耗高、环境污染严重、不符合产业政策的建设项目，限制引进耗水量大或水型污染为主的企业进入。对东部老工业区中的企业必须按规划及报告书要求逐步退出，限制二类企业、禁止三类企业和气型污染企业进入。管委会和地方环保行政主管部门必须按照报告书提出的</w:t>
            </w:r>
            <w:r>
              <w:rPr>
                <w:rFonts w:hint="eastAsia" w:ascii="Times New Roman" w:hAnsi="Times New Roman" w:cs="Times New Roman"/>
                <w:kern w:val="2"/>
                <w:sz w:val="21"/>
                <w:szCs w:val="21"/>
                <w:lang w:eastAsia="zh-CN"/>
              </w:rPr>
              <w:t>环保三同时管理要求</w:t>
            </w:r>
          </w:p>
        </w:tc>
        <w:tc>
          <w:tcPr>
            <w:tcW w:w="2239"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kern w:val="2"/>
                <w:sz w:val="21"/>
                <w:szCs w:val="21"/>
                <w:lang w:eastAsia="zh-CN"/>
              </w:rPr>
            </w:pPr>
            <w:r>
              <w:rPr>
                <w:rFonts w:hint="eastAsia" w:ascii="Times New Roman" w:hAnsi="Times New Roman" w:cs="Times New Roman"/>
                <w:kern w:val="2"/>
                <w:sz w:val="21"/>
                <w:szCs w:val="21"/>
                <w:lang w:eastAsia="zh-CN"/>
              </w:rPr>
              <w:t>根据前文分析，项目符合园区的准入制度，选址符合园区总体规划、用地规划、功能布局以及环保规划，项目不属于淘汰和禁止发展项目，项目符合国家的产业政策，项目不属于限制类企业。</w:t>
            </w:r>
          </w:p>
        </w:tc>
        <w:tc>
          <w:tcPr>
            <w:tcW w:w="705"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90"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3、集中区排水实施雨污分流，按排水规划，东部老工业区和西部新规划区张花高速南部及东部区域污水排入花垣县污水处理厂处理达《城镇污水处理厂污染物排放标准》(GB18918-2002)中一级B标准后外排至花垣河</w:t>
            </w:r>
            <w:r>
              <w:rPr>
                <w:rFonts w:hint="eastAsia" w:ascii="Times New Roman" w:hAnsi="Times New Roman" w:cs="Times New Roman"/>
                <w:kern w:val="2"/>
                <w:sz w:val="21"/>
                <w:szCs w:val="21"/>
                <w:lang w:eastAsia="zh-CN"/>
              </w:rPr>
              <w:t>；</w:t>
            </w:r>
            <w:r>
              <w:rPr>
                <w:rFonts w:hint="default" w:ascii="Times New Roman" w:hAnsi="Times New Roman" w:cs="Times New Roman"/>
                <w:kern w:val="2"/>
                <w:sz w:val="21"/>
                <w:szCs w:val="21"/>
              </w:rPr>
              <w:t>西部新规划区张花高速以北及以西区域废水进入卡地村寨东北侧拟建的工业污水处理厂进行处理达《城镇污水处理厂污染物排放标准》</w:t>
            </w:r>
            <w:r>
              <w:rPr>
                <w:rFonts w:hint="eastAsia" w:ascii="Times New Roman" w:hAnsi="Times New Roman" w:cs="Times New Roman"/>
                <w:kern w:val="2"/>
                <w:sz w:val="21"/>
                <w:szCs w:val="21"/>
                <w:lang w:eastAsia="zh-CN"/>
              </w:rPr>
              <w:t>；</w:t>
            </w:r>
            <w:r>
              <w:rPr>
                <w:rFonts w:hint="default" w:ascii="Times New Roman" w:hAnsi="Times New Roman" w:cs="Times New Roman"/>
                <w:kern w:val="2"/>
                <w:sz w:val="21"/>
                <w:szCs w:val="21"/>
              </w:rPr>
              <w:t>( GB18918-2002)中一级B标准后，通过管道排至花垣河竹篙滩电站坝下</w:t>
            </w:r>
            <w:r>
              <w:rPr>
                <w:rFonts w:hint="eastAsia" w:ascii="Times New Roman" w:hAnsi="Times New Roman" w:cs="Times New Roman"/>
                <w:kern w:val="2"/>
                <w:sz w:val="21"/>
                <w:szCs w:val="21"/>
                <w:lang w:eastAsia="zh-CN"/>
              </w:rPr>
              <w:t>；</w:t>
            </w:r>
            <w:r>
              <w:rPr>
                <w:rFonts w:hint="default" w:ascii="Times New Roman" w:hAnsi="Times New Roman" w:cs="Times New Roman"/>
                <w:kern w:val="2"/>
                <w:sz w:val="21"/>
                <w:szCs w:val="21"/>
              </w:rPr>
              <w:t>排水主管由西向东走向，并沿花垣河布设。污水集中处理厂工程应另行环境影响评价，其选址、处理工艺、规模、尾水排放路径等最终由项目环评批复明确</w:t>
            </w:r>
            <w:r>
              <w:rPr>
                <w:rFonts w:hint="eastAsia" w:ascii="Times New Roman" w:hAnsi="Times New Roman" w:cs="Times New Roman"/>
                <w:kern w:val="2"/>
                <w:sz w:val="21"/>
                <w:szCs w:val="21"/>
                <w:lang w:eastAsia="zh-CN"/>
              </w:rPr>
              <w:t>：</w:t>
            </w:r>
            <w:r>
              <w:rPr>
                <w:rFonts w:hint="default" w:ascii="Times New Roman" w:hAnsi="Times New Roman" w:cs="Times New Roman"/>
                <w:kern w:val="2"/>
                <w:sz w:val="21"/>
                <w:szCs w:val="21"/>
              </w:rPr>
              <w:t>在污水处理厂建成投运且集中区配套排水管网接管建成前，集中区生产、生活、初期雨水等污废水必须处理达到《污水综合排放标准》( CB8978-1996 )一级标准后方可外排</w:t>
            </w:r>
            <w:r>
              <w:rPr>
                <w:rFonts w:hint="eastAsia" w:ascii="Times New Roman" w:hAnsi="Times New Roman" w:cs="Times New Roman"/>
                <w:kern w:val="2"/>
                <w:sz w:val="21"/>
                <w:szCs w:val="21"/>
                <w:lang w:eastAsia="zh-CN"/>
              </w:rPr>
              <w:t>；</w:t>
            </w:r>
            <w:r>
              <w:rPr>
                <w:rFonts w:hint="default" w:ascii="Times New Roman" w:hAnsi="Times New Roman" w:cs="Times New Roman"/>
                <w:kern w:val="2"/>
                <w:sz w:val="21"/>
                <w:szCs w:val="21"/>
              </w:rPr>
              <w:t>污水可正常纳入相应的污水处理厂处理.后，园区企业生产工艺废水经预处理至《污水综合排放标准》(CB8978-1996)三级标准、含一类污染物的废水经处理在车间排口达到污水综合排放标准( GB8978-1996)表1最高允许排放浓度要求后排入园区污水管网，纳入集中污水处理厂深度处理。</w:t>
            </w:r>
          </w:p>
        </w:tc>
        <w:tc>
          <w:tcPr>
            <w:tcW w:w="2239" w:type="dxa"/>
            <w:noWrap w:val="0"/>
            <w:vAlign w:val="center"/>
          </w:tcPr>
          <w:p>
            <w:pPr>
              <w:pStyle w:val="2"/>
              <w:keepNext w:val="0"/>
              <w:keepLines w:val="0"/>
              <w:pageBreakBefore w:val="0"/>
              <w:widowControl w:val="0"/>
              <w:kinsoku/>
              <w:wordWrap w:val="0"/>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kern w:val="2"/>
                <w:sz w:val="21"/>
                <w:szCs w:val="21"/>
                <w:lang w:eastAsia="zh-CN"/>
              </w:rPr>
            </w:pPr>
            <w:r>
              <w:rPr>
                <w:rFonts w:hint="eastAsia" w:ascii="Times New Roman" w:hAnsi="Times New Roman" w:cs="Times New Roman"/>
                <w:kern w:val="2"/>
                <w:sz w:val="21"/>
                <w:szCs w:val="21"/>
                <w:lang w:eastAsia="zh-CN"/>
              </w:rPr>
              <w:t>本项目接收应急情况下西部新区涉重企业重金属</w:t>
            </w:r>
            <w:r>
              <w:rPr>
                <w:rFonts w:hint="eastAsia" w:ascii="Times New Roman" w:hAnsi="Times New Roman" w:eastAsia="宋体" w:cs="Times New Roman"/>
                <w:kern w:val="2"/>
                <w:sz w:val="21"/>
                <w:szCs w:val="21"/>
                <w:lang w:eastAsia="zh-CN"/>
              </w:rPr>
              <w:t>废水的处理，含一类污染物的废水经处理在车间排口达到污水综合排放标准( GB8978-1996)表1最高允许排放</w:t>
            </w:r>
            <w:r>
              <w:rPr>
                <w:rFonts w:hint="eastAsia" w:ascii="Times New Roman" w:hAnsi="Times New Roman" w:eastAsia="宋体" w:cs="Times New Roman"/>
                <w:color w:val="auto"/>
                <w:kern w:val="2"/>
                <w:sz w:val="21"/>
                <w:szCs w:val="21"/>
                <w:lang w:eastAsia="zh-CN"/>
              </w:rPr>
              <w:t>浓度要求后方可接管；废水处理</w:t>
            </w:r>
            <w:r>
              <w:rPr>
                <w:rFonts w:hint="eastAsia" w:ascii="Times New Roman" w:hAnsi="Times New Roman" w:eastAsia="宋体" w:cs="Times New Roman"/>
                <w:color w:val="auto"/>
                <w:kern w:val="2"/>
                <w:sz w:val="21"/>
                <w:szCs w:val="21"/>
              </w:rPr>
              <w:t>后总钒指标</w:t>
            </w:r>
            <w:r>
              <w:rPr>
                <w:rFonts w:hint="eastAsia" w:ascii="Times New Roman" w:hAnsi="Times New Roman" w:eastAsia="宋体" w:cs="Times New Roman"/>
                <w:color w:val="auto"/>
                <w:kern w:val="2"/>
                <w:sz w:val="21"/>
                <w:szCs w:val="21"/>
                <w:lang w:eastAsia="zh-CN"/>
              </w:rPr>
              <w:t>达到</w:t>
            </w:r>
            <w:r>
              <w:rPr>
                <w:rFonts w:hint="eastAsia" w:ascii="Times New Roman" w:hAnsi="Times New Roman" w:eastAsia="宋体" w:cs="Times New Roman"/>
                <w:color w:val="auto"/>
                <w:kern w:val="2"/>
                <w:sz w:val="21"/>
                <w:szCs w:val="21"/>
              </w:rPr>
              <w:t>钒工业污染物排放标准》GB26452-2011</w:t>
            </w:r>
            <w:r>
              <w:rPr>
                <w:rFonts w:hint="eastAsia" w:ascii="Times New Roman" w:hAnsi="Times New Roman" w:eastAsia="宋体" w:cs="Times New Roman"/>
                <w:color w:val="auto"/>
                <w:kern w:val="2"/>
                <w:sz w:val="21"/>
                <w:szCs w:val="21"/>
                <w:lang w:eastAsia="zh-CN"/>
              </w:rPr>
              <w:t>中表</w:t>
            </w:r>
            <w:r>
              <w:rPr>
                <w:rFonts w:hint="eastAsia" w:ascii="Times New Roman" w:hAnsi="Times New Roman" w:eastAsia="宋体" w:cs="Times New Roman"/>
                <w:color w:val="auto"/>
                <w:kern w:val="2"/>
                <w:sz w:val="21"/>
                <w:szCs w:val="21"/>
                <w:lang w:val="en-US" w:eastAsia="zh-CN"/>
              </w:rPr>
              <w:t>2的规定</w:t>
            </w:r>
            <w:r>
              <w:rPr>
                <w:rFonts w:hint="eastAsia" w:ascii="Times New Roman" w:hAnsi="Times New Roman" w:eastAsia="宋体" w:cs="Times New Roman"/>
                <w:color w:val="auto"/>
                <w:kern w:val="2"/>
                <w:sz w:val="21"/>
                <w:szCs w:val="21"/>
                <w:lang w:eastAsia="zh-CN"/>
              </w:rPr>
              <w:t>，其他废水污染物指标总锰、总铬、六</w:t>
            </w:r>
            <w:r>
              <w:rPr>
                <w:rFonts w:hint="eastAsia" w:ascii="Times New Roman" w:hAnsi="Times New Roman" w:eastAsia="宋体" w:cs="Times New Roman"/>
                <w:kern w:val="2"/>
                <w:sz w:val="21"/>
                <w:szCs w:val="21"/>
                <w:lang w:eastAsia="zh-CN"/>
              </w:rPr>
              <w:t>价铬、总锌、总铅达到</w:t>
            </w:r>
            <w:r>
              <w:rPr>
                <w:rFonts w:hint="eastAsia" w:ascii="Times New Roman" w:hAnsi="Times New Roman" w:eastAsia="宋体" w:cs="Times New Roman"/>
                <w:kern w:val="2"/>
                <w:sz w:val="21"/>
                <w:szCs w:val="21"/>
              </w:rPr>
              <w:t>《城镇污水处理厂污染物排放标准》</w:t>
            </w:r>
            <w:r>
              <w:rPr>
                <w:rFonts w:hint="eastAsia" w:ascii="Times New Roman" w:hAnsi="Times New Roman" w:eastAsia="宋体" w:cs="Times New Roman"/>
                <w:kern w:val="2"/>
                <w:sz w:val="21"/>
                <w:szCs w:val="21"/>
                <w:lang w:eastAsia="zh-CN"/>
              </w:rPr>
              <w:t>（</w:t>
            </w:r>
            <w:r>
              <w:rPr>
                <w:rFonts w:hint="eastAsia" w:ascii="Times New Roman" w:hAnsi="Times New Roman" w:eastAsia="宋体" w:cs="Times New Roman"/>
                <w:kern w:val="2"/>
                <w:sz w:val="21"/>
                <w:szCs w:val="21"/>
              </w:rPr>
              <w:t>GB18918-2002</w:t>
            </w:r>
            <w:r>
              <w:rPr>
                <w:rFonts w:hint="eastAsia" w:ascii="Times New Roman" w:hAnsi="Times New Roman" w:eastAsia="宋体" w:cs="Times New Roman"/>
                <w:kern w:val="2"/>
                <w:sz w:val="21"/>
                <w:szCs w:val="21"/>
                <w:lang w:eastAsia="zh-CN"/>
              </w:rPr>
              <w:t>）</w:t>
            </w:r>
            <w:r>
              <w:rPr>
                <w:rFonts w:hint="eastAsia" w:ascii="Times New Roman" w:hAnsi="Times New Roman" w:eastAsia="宋体" w:cs="Times New Roman"/>
                <w:kern w:val="2"/>
                <w:sz w:val="21"/>
                <w:szCs w:val="21"/>
              </w:rPr>
              <w:t>表2表3的规定</w:t>
            </w:r>
            <w:r>
              <w:rPr>
                <w:rFonts w:hint="eastAsia" w:ascii="Times New Roman" w:hAnsi="Times New Roman" w:eastAsia="宋体" w:cs="Times New Roman"/>
                <w:kern w:val="2"/>
                <w:sz w:val="21"/>
                <w:szCs w:val="21"/>
                <w:lang w:eastAsia="zh-CN"/>
              </w:rPr>
              <w:t>后排入</w:t>
            </w:r>
            <w:r>
              <w:rPr>
                <w:rFonts w:hint="eastAsia"/>
                <w:color w:val="000000"/>
                <w:kern w:val="0"/>
                <w:u w:val="none"/>
                <w:lang w:eastAsia="zh-CN"/>
              </w:rPr>
              <w:t>花垣工业集中区</w:t>
            </w:r>
            <w:r>
              <w:rPr>
                <w:rFonts w:hint="eastAsia" w:ascii="Times New Roman" w:hAnsi="Times New Roman" w:eastAsia="宋体" w:cs="Times New Roman"/>
                <w:kern w:val="2"/>
                <w:sz w:val="21"/>
                <w:szCs w:val="21"/>
                <w:lang w:eastAsia="zh-CN"/>
              </w:rPr>
              <w:t>污水处理厂进行处理达到《城市污水处理厂污染物排放标准》（GB18918-2002）一级标准的A标准排放至花垣河</w:t>
            </w:r>
            <w:r>
              <w:rPr>
                <w:rFonts w:hint="eastAsia" w:ascii="Times New Roman" w:hAnsi="Times New Roman" w:eastAsia="宋体" w:cs="Times New Roman"/>
                <w:kern w:val="2"/>
                <w:sz w:val="21"/>
                <w:szCs w:val="21"/>
              </w:rPr>
              <w:t>。</w:t>
            </w:r>
          </w:p>
        </w:tc>
        <w:tc>
          <w:tcPr>
            <w:tcW w:w="705"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0" w:hRule="atLeast"/>
          <w:jc w:val="center"/>
        </w:trPr>
        <w:tc>
          <w:tcPr>
            <w:tcW w:w="5890"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kern w:val="2"/>
                <w:sz w:val="21"/>
                <w:szCs w:val="21"/>
                <w:lang w:eastAsia="zh-CN"/>
              </w:rPr>
            </w:pPr>
            <w:r>
              <w:rPr>
                <w:rFonts w:hint="default" w:ascii="Times New Roman" w:hAnsi="Times New Roman" w:cs="Times New Roman"/>
                <w:kern w:val="2"/>
                <w:sz w:val="21"/>
                <w:szCs w:val="21"/>
              </w:rPr>
              <w:t>4、加快实施花垣县锰锌行业整治整合规划，落实东部老工业区落后产能淘汰方案，做好花垣县锰冶炼产业整合15万吨/年电解锰生产线建设。对近期保留生产的企业应严格做好污染治理,着重加强对现有电解锰生产企业工艺废水中氨氮污染物治理的指导和监管，切实减少氨氮外排量</w:t>
            </w:r>
            <w:r>
              <w:rPr>
                <w:rFonts w:hint="eastAsia" w:ascii="Times New Roman" w:hAnsi="Times New Roman" w:cs="Times New Roman"/>
                <w:kern w:val="2"/>
                <w:sz w:val="21"/>
                <w:szCs w:val="21"/>
                <w:lang w:eastAsia="zh-CN"/>
              </w:rPr>
              <w:t>；</w:t>
            </w:r>
            <w:r>
              <w:rPr>
                <w:rFonts w:hint="default" w:ascii="Times New Roman" w:hAnsi="Times New Roman" w:cs="Times New Roman"/>
                <w:kern w:val="2"/>
                <w:sz w:val="21"/>
                <w:szCs w:val="21"/>
              </w:rPr>
              <w:t>花垣县及保靖县政府应联合做好花垣河流域工业企业废水治理、农业面源污染和畜禽养殖污染的控制，通过区域削减措施逐步改善花垣河水质</w:t>
            </w:r>
            <w:r>
              <w:rPr>
                <w:rFonts w:hint="eastAsia" w:ascii="Times New Roman" w:hAnsi="Times New Roman" w:cs="Times New Roman"/>
                <w:kern w:val="2"/>
                <w:sz w:val="21"/>
                <w:szCs w:val="21"/>
                <w:lang w:eastAsia="zh-CN"/>
              </w:rPr>
              <w:t>。</w:t>
            </w:r>
          </w:p>
        </w:tc>
        <w:tc>
          <w:tcPr>
            <w:tcW w:w="2239"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kern w:val="2"/>
                <w:sz w:val="21"/>
                <w:szCs w:val="21"/>
                <w:lang w:eastAsia="zh-CN"/>
              </w:rPr>
            </w:pPr>
            <w:r>
              <w:rPr>
                <w:rFonts w:hint="eastAsia" w:ascii="Times New Roman" w:hAnsi="Times New Roman" w:cs="Times New Roman"/>
                <w:kern w:val="2"/>
                <w:sz w:val="21"/>
                <w:szCs w:val="21"/>
                <w:lang w:eastAsia="zh-CN"/>
              </w:rPr>
              <w:t>本项目建设有效降低了园区涉重企业对外环境的风险，减少应急情况下重金属废水对环境的影响</w:t>
            </w:r>
          </w:p>
        </w:tc>
        <w:tc>
          <w:tcPr>
            <w:tcW w:w="705"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90"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5、做好集中区大气污染控制措施。管委会应积极推广清洁能源，做好对现有重污染企业环境污染整治工程的监督管理，确保污防设施正常运行和稳定达标排放</w:t>
            </w:r>
            <w:r>
              <w:rPr>
                <w:rFonts w:hint="eastAsia" w:ascii="Times New Roman" w:hAnsi="Times New Roman" w:cs="Times New Roman"/>
                <w:kern w:val="2"/>
                <w:sz w:val="21"/>
                <w:szCs w:val="21"/>
                <w:lang w:eastAsia="zh-CN"/>
              </w:rPr>
              <w:t>；</w:t>
            </w:r>
            <w:r>
              <w:rPr>
                <w:rFonts w:hint="default" w:ascii="Times New Roman" w:hAnsi="Times New Roman" w:cs="Times New Roman"/>
                <w:kern w:val="2"/>
                <w:sz w:val="21"/>
                <w:szCs w:val="21"/>
              </w:rPr>
              <w:t>建立园区清洁生产管理考核机制，加强生产工艺研究与技术改进，采取有效措施，减少园区企业工艺废气的无组织排放</w:t>
            </w:r>
            <w:r>
              <w:rPr>
                <w:rFonts w:hint="eastAsia" w:ascii="Times New Roman" w:hAnsi="Times New Roman" w:cs="Times New Roman"/>
                <w:kern w:val="2"/>
                <w:sz w:val="21"/>
                <w:szCs w:val="21"/>
                <w:lang w:eastAsia="zh-CN"/>
              </w:rPr>
              <w:t>；</w:t>
            </w:r>
            <w:r>
              <w:rPr>
                <w:rFonts w:hint="default" w:ascii="Times New Roman" w:hAnsi="Times New Roman" w:cs="Times New Roman"/>
                <w:kern w:val="2"/>
                <w:sz w:val="21"/>
                <w:szCs w:val="21"/>
              </w:rPr>
              <w:t>入园企业各生产装置排放的废气须经处理达到相应的行业排放标准及《大气污染物综合排放标准》中二级标准要求。</w:t>
            </w:r>
          </w:p>
        </w:tc>
        <w:tc>
          <w:tcPr>
            <w:tcW w:w="2239"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kern w:val="2"/>
                <w:sz w:val="21"/>
                <w:szCs w:val="21"/>
                <w:lang w:eastAsia="zh-CN"/>
              </w:rPr>
            </w:pPr>
            <w:r>
              <w:rPr>
                <w:rFonts w:hint="eastAsia" w:ascii="Times New Roman" w:hAnsi="Times New Roman" w:cs="Times New Roman"/>
                <w:kern w:val="2"/>
                <w:sz w:val="21"/>
                <w:szCs w:val="21"/>
                <w:lang w:eastAsia="zh-CN"/>
              </w:rPr>
              <w:t>本项目仅对重金属进行处理，设计处理工艺为化学混凝沉淀分离+石英砂过滤，不考虑有机物的处理，运营期基本无废气产生</w:t>
            </w:r>
          </w:p>
        </w:tc>
        <w:tc>
          <w:tcPr>
            <w:tcW w:w="705"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90"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6、做好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企业产生固体废物特别是危险固废应按国家有关规定综合利用或妥善处置，严防二次污染</w:t>
            </w:r>
            <w:r>
              <w:rPr>
                <w:rFonts w:hint="eastAsia" w:ascii="Times New Roman" w:hAnsi="Times New Roman" w:cs="Times New Roman"/>
                <w:kern w:val="2"/>
                <w:sz w:val="21"/>
                <w:szCs w:val="21"/>
                <w:lang w:eastAsia="zh-CN"/>
              </w:rPr>
              <w:t>，近期应全面完善区域内现有工业渣场的导流、防渗等工程措施，尽快做好三立集团现有渣场的规范化整治，落实废渣综合利用途径，切实消除环境污染隐患。</w:t>
            </w:r>
          </w:p>
        </w:tc>
        <w:tc>
          <w:tcPr>
            <w:tcW w:w="2239"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kern w:val="2"/>
                <w:sz w:val="21"/>
                <w:szCs w:val="21"/>
                <w:lang w:eastAsia="zh-CN"/>
              </w:rPr>
            </w:pPr>
            <w:r>
              <w:rPr>
                <w:rFonts w:hint="eastAsia" w:ascii="Times New Roman" w:hAnsi="Times New Roman" w:cs="Times New Roman"/>
                <w:kern w:val="2"/>
                <w:sz w:val="21"/>
                <w:szCs w:val="21"/>
                <w:lang w:eastAsia="zh-CN"/>
              </w:rPr>
              <w:t>项目固废分类收集，不会产生二次污染</w:t>
            </w:r>
          </w:p>
        </w:tc>
        <w:tc>
          <w:tcPr>
            <w:tcW w:w="705"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5890"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7、工业集中区要建立专职环境监督管理机构，建立健全环境风险事故防范措施和应急预案，严防环境风险事故发生。</w:t>
            </w:r>
          </w:p>
        </w:tc>
        <w:tc>
          <w:tcPr>
            <w:tcW w:w="2239"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kern w:val="2"/>
                <w:sz w:val="21"/>
                <w:szCs w:val="21"/>
                <w:lang w:eastAsia="zh-CN"/>
              </w:rPr>
            </w:pPr>
            <w:r>
              <w:rPr>
                <w:rFonts w:hint="eastAsia" w:ascii="Times New Roman" w:hAnsi="Times New Roman" w:cs="Times New Roman"/>
                <w:kern w:val="2"/>
                <w:sz w:val="21"/>
                <w:szCs w:val="21"/>
                <w:lang w:eastAsia="zh-CN"/>
              </w:rPr>
              <w:t>本项目不涉及</w:t>
            </w:r>
          </w:p>
        </w:tc>
        <w:tc>
          <w:tcPr>
            <w:tcW w:w="705"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90"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b w:val="0"/>
                <w:bCs w:val="0"/>
                <w:kern w:val="2"/>
                <w:sz w:val="21"/>
                <w:szCs w:val="21"/>
              </w:rPr>
            </w:pPr>
            <w:r>
              <w:rPr>
                <w:rFonts w:hint="default" w:ascii="Times New Roman" w:hAnsi="Times New Roman" w:cs="Times New Roman"/>
                <w:b w:val="0"/>
                <w:bCs w:val="0"/>
                <w:kern w:val="2"/>
                <w:sz w:val="21"/>
                <w:szCs w:val="21"/>
              </w:rPr>
              <w:t>8、按工业集中区各园区的开发规划统筹制定拆迁安置方案，加快实施东部老工业区内电解锌企业周边1km范围内居民拆迁计划，落实移民生产生活安置措施，并切实做好防护距离内的用地控规，防止移民再次安置和次生环境问题。</w:t>
            </w:r>
          </w:p>
        </w:tc>
        <w:tc>
          <w:tcPr>
            <w:tcW w:w="2239"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kern w:val="2"/>
                <w:sz w:val="21"/>
                <w:szCs w:val="21"/>
                <w:lang w:eastAsia="zh-CN"/>
              </w:rPr>
            </w:pPr>
            <w:r>
              <w:rPr>
                <w:rFonts w:hint="eastAsia" w:ascii="Times New Roman" w:hAnsi="Times New Roman" w:cs="Times New Roman"/>
                <w:kern w:val="2"/>
                <w:sz w:val="21"/>
                <w:szCs w:val="21"/>
                <w:lang w:eastAsia="zh-CN"/>
              </w:rPr>
              <w:t>本项目不涉及</w:t>
            </w:r>
          </w:p>
        </w:tc>
        <w:tc>
          <w:tcPr>
            <w:tcW w:w="705"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kern w:val="2"/>
                <w:sz w:val="21"/>
                <w:szCs w:val="21"/>
                <w:lang w:eastAsia="zh-CN"/>
              </w:rPr>
            </w:pPr>
            <w:r>
              <w:rPr>
                <w:rFonts w:hint="default" w:ascii="Times New Roman" w:hAnsi="Times New Roman" w:cs="Times New Roman"/>
                <w:kern w:val="2"/>
                <w:sz w:val="21"/>
                <w:szCs w:val="21"/>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90"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b w:val="0"/>
                <w:bCs w:val="0"/>
                <w:kern w:val="2"/>
                <w:sz w:val="21"/>
                <w:szCs w:val="21"/>
              </w:rPr>
            </w:pPr>
            <w:r>
              <w:rPr>
                <w:rFonts w:hint="default" w:ascii="Times New Roman" w:hAnsi="Times New Roman" w:cs="Times New Roman"/>
                <w:b w:val="0"/>
                <w:bCs w:val="0"/>
                <w:kern w:val="2"/>
                <w:sz w:val="21"/>
                <w:szCs w:val="21"/>
              </w:rPr>
              <w:t>9、做好建设期的生态保护和水土保持工作。尽可能保留原有较好的山体植被与生态风景，划定控制建设区域，施工期禁止对保护山体进行开挖、禁止在山体周边防护距离内进行其他施工活动，减缓生态及污染影响。土石方开挖、堆存及回填要实施围挡、护坡等措施，裸露地及时恢复植被，防止水土流失，杜绝施工建设对地表水体的污染。</w:t>
            </w:r>
          </w:p>
        </w:tc>
        <w:tc>
          <w:tcPr>
            <w:tcW w:w="2239"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kern w:val="2"/>
                <w:sz w:val="21"/>
                <w:szCs w:val="21"/>
                <w:lang w:eastAsia="zh-CN"/>
              </w:rPr>
            </w:pPr>
            <w:r>
              <w:rPr>
                <w:rFonts w:hint="eastAsia" w:ascii="Times New Roman" w:hAnsi="Times New Roman" w:cs="Times New Roman"/>
                <w:kern w:val="2"/>
                <w:sz w:val="21"/>
                <w:szCs w:val="21"/>
                <w:lang w:eastAsia="zh-CN"/>
              </w:rPr>
              <w:t>本项目已做好占地恢复工作</w:t>
            </w:r>
          </w:p>
        </w:tc>
        <w:tc>
          <w:tcPr>
            <w:tcW w:w="705"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kern w:val="2"/>
                <w:sz w:val="21"/>
                <w:szCs w:val="21"/>
                <w:lang w:eastAsia="zh-CN"/>
              </w:rPr>
            </w:pPr>
            <w:r>
              <w:rPr>
                <w:rFonts w:hint="eastAsia" w:ascii="Times New Roman" w:hAnsi="Times New Roman" w:cs="Times New Roman"/>
                <w:kern w:val="2"/>
                <w:sz w:val="21"/>
                <w:szCs w:val="21"/>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890"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b w:val="0"/>
                <w:bCs w:val="0"/>
                <w:kern w:val="2"/>
                <w:sz w:val="21"/>
                <w:szCs w:val="21"/>
                <w:lang w:eastAsia="zh-CN"/>
              </w:rPr>
            </w:pPr>
            <w:r>
              <w:rPr>
                <w:rFonts w:hint="eastAsia" w:ascii="Times New Roman" w:hAnsi="Times New Roman" w:eastAsia="宋体" w:cs="Times New Roman"/>
                <w:b w:val="0"/>
                <w:bCs w:val="0"/>
                <w:kern w:val="2"/>
                <w:sz w:val="21"/>
                <w:szCs w:val="21"/>
                <w:lang w:val="en-US" w:eastAsia="zh-CN"/>
              </w:rPr>
              <w:t>10、</w:t>
            </w:r>
            <w:r>
              <w:rPr>
                <w:rFonts w:hint="default" w:ascii="Times New Roman" w:hAnsi="Times New Roman" w:eastAsia="宋体" w:cs="Times New Roman"/>
                <w:b w:val="0"/>
                <w:bCs w:val="0"/>
                <w:kern w:val="2"/>
                <w:sz w:val="21"/>
                <w:szCs w:val="21"/>
              </w:rPr>
              <w:t>污染物总量控制</w:t>
            </w:r>
            <w:r>
              <w:rPr>
                <w:rFonts w:hint="eastAsia" w:ascii="Times New Roman" w:hAnsi="Times New Roman" w:cs="Times New Roman"/>
                <w:b w:val="0"/>
                <w:bCs w:val="0"/>
                <w:kern w:val="2"/>
                <w:sz w:val="21"/>
                <w:szCs w:val="21"/>
                <w:lang w:eastAsia="zh-CN"/>
              </w:rPr>
              <w:t>：</w:t>
            </w:r>
          </w:p>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rPr>
            </w:pPr>
            <w:r>
              <w:rPr>
                <w:rFonts w:hint="default" w:ascii="Times New Roman" w:hAnsi="Times New Roman" w:eastAsia="宋体" w:cs="Times New Roman"/>
                <w:b w:val="0"/>
                <w:bCs w:val="0"/>
                <w:kern w:val="2"/>
                <w:sz w:val="21"/>
                <w:szCs w:val="21"/>
              </w:rPr>
              <w:t>①废气</w:t>
            </w:r>
            <w:r>
              <w:rPr>
                <w:rFonts w:hint="eastAsia" w:ascii="Times New Roman" w:hAnsi="Times New Roman" w:eastAsia="宋体" w:cs="Times New Roman"/>
                <w:b w:val="0"/>
                <w:bCs w:val="0"/>
                <w:kern w:val="2"/>
                <w:sz w:val="21"/>
                <w:szCs w:val="21"/>
                <w:lang w:val="en-US" w:eastAsia="zh-CN"/>
              </w:rPr>
              <w:t>：</w:t>
            </w:r>
            <w:r>
              <w:rPr>
                <w:rFonts w:hint="default" w:ascii="Times New Roman" w:hAnsi="Times New Roman" w:eastAsia="宋体" w:cs="Times New Roman"/>
                <w:b w:val="0"/>
                <w:bCs w:val="0"/>
                <w:kern w:val="2"/>
                <w:sz w:val="21"/>
                <w:szCs w:val="21"/>
              </w:rPr>
              <w:t>东部老工业区近期二氧化硫1090吨/年，氮氧化物3. 5吨/年，远期二氧化硫1.5吨/年，氮氧化物7吨/年</w:t>
            </w:r>
            <w:r>
              <w:rPr>
                <w:rFonts w:hint="eastAsia" w:ascii="Times New Roman" w:hAnsi="Times New Roman" w:eastAsia="宋体" w:cs="Times New Roman"/>
                <w:b w:val="0"/>
                <w:bCs w:val="0"/>
                <w:kern w:val="2"/>
                <w:sz w:val="21"/>
                <w:szCs w:val="21"/>
                <w:lang w:eastAsia="zh-CN"/>
              </w:rPr>
              <w:t>；</w:t>
            </w:r>
            <w:r>
              <w:rPr>
                <w:rFonts w:hint="default" w:ascii="Times New Roman" w:hAnsi="Times New Roman" w:eastAsia="宋体" w:cs="Times New Roman"/>
                <w:b w:val="0"/>
                <w:bCs w:val="0"/>
                <w:kern w:val="2"/>
                <w:sz w:val="21"/>
                <w:szCs w:val="21"/>
              </w:rPr>
              <w:t>西部新规划区近期二氧化硫30吨/年，远期二氧化硫1005吨/年，氮氧化物175吨/年</w:t>
            </w:r>
            <w:r>
              <w:rPr>
                <w:rFonts w:hint="eastAsia" w:ascii="Times New Roman" w:hAnsi="Times New Roman" w:eastAsia="宋体" w:cs="Times New Roman"/>
                <w:b w:val="0"/>
                <w:bCs w:val="0"/>
                <w:kern w:val="2"/>
                <w:sz w:val="21"/>
                <w:szCs w:val="21"/>
                <w:lang w:eastAsia="zh-CN"/>
              </w:rPr>
              <w:t>；</w:t>
            </w:r>
            <w:r>
              <w:rPr>
                <w:rFonts w:hint="default" w:ascii="Times New Roman" w:hAnsi="Times New Roman" w:eastAsia="宋体" w:cs="Times New Roman"/>
                <w:b w:val="0"/>
                <w:bCs w:val="0"/>
                <w:kern w:val="2"/>
                <w:sz w:val="21"/>
                <w:szCs w:val="21"/>
              </w:rPr>
              <w:t>②废水:氨氮185吨/年、化学需氧量750吨/年、六价铬1吨/年、铅1.5吨/年、镉0. 2吨/年。</w:t>
            </w:r>
          </w:p>
        </w:tc>
        <w:tc>
          <w:tcPr>
            <w:tcW w:w="2239"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b w:val="0"/>
                <w:bCs w:val="0"/>
                <w:kern w:val="2"/>
                <w:sz w:val="21"/>
                <w:szCs w:val="21"/>
                <w:lang w:eastAsia="zh-CN"/>
              </w:rPr>
            </w:pPr>
            <w:r>
              <w:rPr>
                <w:rFonts w:hint="eastAsia" w:ascii="Times New Roman" w:hAnsi="Times New Roman" w:eastAsia="宋体" w:cs="Times New Roman"/>
                <w:b w:val="0"/>
                <w:bCs w:val="0"/>
                <w:kern w:val="2"/>
                <w:sz w:val="21"/>
                <w:szCs w:val="21"/>
                <w:lang w:eastAsia="zh-CN"/>
              </w:rPr>
              <w:t>本项目在总量控制范围内</w:t>
            </w:r>
          </w:p>
        </w:tc>
        <w:tc>
          <w:tcPr>
            <w:tcW w:w="705" w:type="dxa"/>
            <w:noWrap w:val="0"/>
            <w:vAlign w:val="center"/>
          </w:tcPr>
          <w:p>
            <w:pPr>
              <w:pStyle w:val="2"/>
              <w:keepNext w:val="0"/>
              <w:keepLines w:val="0"/>
              <w:pageBreakBefore w:val="0"/>
              <w:widowControl w:val="0"/>
              <w:kinsoku/>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cs="Times New Roman"/>
                <w:kern w:val="2"/>
                <w:sz w:val="21"/>
                <w:szCs w:val="21"/>
                <w:lang w:eastAsia="zh-CN"/>
              </w:rPr>
            </w:pPr>
            <w:r>
              <w:rPr>
                <w:rFonts w:hint="eastAsia" w:ascii="Times New Roman" w:hAnsi="Times New Roman" w:cs="Times New Roman"/>
                <w:kern w:val="2"/>
                <w:sz w:val="21"/>
                <w:szCs w:val="21"/>
                <w:lang w:eastAsia="zh-CN"/>
              </w:rPr>
              <w:t>是</w:t>
            </w:r>
          </w:p>
        </w:tc>
      </w:tr>
    </w:tbl>
    <w:p>
      <w:pPr>
        <w:ind w:firstLine="452"/>
        <w:rPr>
          <w:color w:val="000000"/>
          <w:spacing w:val="-7"/>
          <w:u w:val="none"/>
        </w:rPr>
      </w:pPr>
      <w:r>
        <w:rPr>
          <w:rFonts w:hint="eastAsia"/>
          <w:color w:val="000000"/>
          <w:spacing w:val="-7"/>
          <w:u w:val="none"/>
        </w:rPr>
        <w:t>综上所述，本项目与</w:t>
      </w:r>
      <w:r>
        <w:rPr>
          <w:rFonts w:hint="eastAsia"/>
          <w:color w:val="000000"/>
          <w:kern w:val="0"/>
          <w:u w:val="none"/>
        </w:rPr>
        <w:t>园区审查意见相符</w:t>
      </w:r>
      <w:r>
        <w:rPr>
          <w:rFonts w:hint="eastAsia"/>
          <w:color w:val="000000"/>
          <w:spacing w:val="-7"/>
          <w:u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4"/>
        <w:rPr>
          <w:rFonts w:hint="default" w:ascii="Times New Roman" w:hAnsi="Times New Roman" w:eastAsia="宋体" w:cs="Times New Roman"/>
          <w:b/>
          <w:bCs/>
          <w:sz w:val="24"/>
          <w:u w:val="none"/>
          <w:lang w:val="en-US" w:eastAsia="zh-CN"/>
        </w:rPr>
      </w:pPr>
      <w:r>
        <w:rPr>
          <w:rFonts w:hint="eastAsia" w:ascii="Times New Roman" w:hAnsi="Times New Roman" w:eastAsia="宋体" w:cs="Times New Roman"/>
          <w:b/>
          <w:bCs/>
          <w:sz w:val="24"/>
          <w:u w:val="none"/>
          <w:lang w:val="en-US" w:eastAsia="zh-CN"/>
        </w:rPr>
        <w:t>（7）</w:t>
      </w:r>
      <w:r>
        <w:rPr>
          <w:rFonts w:hint="default" w:ascii="Times New Roman" w:hAnsi="Times New Roman" w:eastAsia="宋体" w:cs="Times New Roman"/>
          <w:b/>
          <w:bCs/>
          <w:sz w:val="24"/>
          <w:u w:val="none"/>
          <w:lang w:val="en-US" w:eastAsia="zh-CN"/>
        </w:rPr>
        <w:t>与《湖南省“十</w:t>
      </w:r>
      <w:r>
        <w:rPr>
          <w:rFonts w:hint="eastAsia" w:ascii="Times New Roman" w:hAnsi="Times New Roman" w:eastAsia="宋体" w:cs="Times New Roman"/>
          <w:b/>
          <w:bCs/>
          <w:sz w:val="24"/>
          <w:u w:val="none"/>
          <w:lang w:val="en-US" w:eastAsia="zh-CN"/>
        </w:rPr>
        <w:t>四</w:t>
      </w:r>
      <w:r>
        <w:rPr>
          <w:rFonts w:hint="default" w:ascii="Times New Roman" w:hAnsi="Times New Roman" w:eastAsia="宋体" w:cs="Times New Roman"/>
          <w:b/>
          <w:bCs/>
          <w:sz w:val="24"/>
          <w:u w:val="none"/>
          <w:lang w:val="en-US" w:eastAsia="zh-CN"/>
        </w:rPr>
        <w:t>五”生态环境保护规划》符合性分析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u w:val="none"/>
        </w:rPr>
        <w:sectPr>
          <w:pgSz w:w="11906" w:h="16838"/>
          <w:pgMar w:top="1440" w:right="1800" w:bottom="1440" w:left="1800" w:header="851" w:footer="794" w:gutter="0"/>
          <w:pgBorders>
            <w:top w:val="none" w:sz="0" w:space="0"/>
            <w:left w:val="none" w:sz="0" w:space="0"/>
            <w:bottom w:val="none" w:sz="0" w:space="0"/>
            <w:right w:val="none" w:sz="0" w:space="0"/>
          </w:pgBorders>
          <w:pgNumType w:fmt="decimal"/>
          <w:cols w:space="720" w:num="1"/>
          <w:docGrid w:type="lines" w:linePitch="326" w:charSpace="0"/>
        </w:sectPr>
      </w:pPr>
      <w:r>
        <w:rPr>
          <w:rFonts w:hint="eastAsia" w:ascii="Times New Roman" w:hAnsi="Times New Roman" w:cs="Times New Roman"/>
          <w:sz w:val="24"/>
          <w:u w:val="none"/>
          <w:lang w:eastAsia="zh-CN"/>
        </w:rPr>
        <w:t>项目</w:t>
      </w:r>
      <w:r>
        <w:rPr>
          <w:rFonts w:hint="default" w:ascii="Times New Roman" w:hAnsi="Times New Roman" w:cs="Times New Roman"/>
          <w:sz w:val="24"/>
          <w:u w:val="none"/>
        </w:rPr>
        <w:t>建设与</w:t>
      </w:r>
      <w:r>
        <w:rPr>
          <w:rFonts w:hint="default" w:ascii="Times New Roman" w:hAnsi="Times New Roman" w:cs="Times New Roman"/>
          <w:sz w:val="24"/>
          <w:u w:val="none"/>
          <w:lang w:val="en-US" w:eastAsia="zh-CN"/>
        </w:rPr>
        <w:t>《湖南省“十四五”生态环境保护规划》（湘政办发[2021]61号）</w:t>
      </w:r>
      <w:r>
        <w:rPr>
          <w:rFonts w:hint="default" w:ascii="Times New Roman" w:hAnsi="Times New Roman" w:cs="Times New Roman"/>
          <w:sz w:val="24"/>
          <w:u w:val="none"/>
        </w:rPr>
        <w:t>的符合性分析详见</w:t>
      </w:r>
      <w:r>
        <w:rPr>
          <w:rFonts w:hint="default" w:ascii="Times New Roman" w:hAnsi="Times New Roman" w:cs="Times New Roman"/>
          <w:color w:val="auto"/>
          <w:sz w:val="24"/>
          <w:u w:val="none"/>
        </w:rPr>
        <w:t>表</w:t>
      </w:r>
      <w:r>
        <w:rPr>
          <w:rFonts w:hint="default" w:ascii="Times New Roman" w:hAnsi="Times New Roman" w:cs="Times New Roman"/>
          <w:color w:val="auto"/>
          <w:sz w:val="24"/>
          <w:u w:val="none"/>
          <w:lang w:val="en-US" w:eastAsia="zh-CN"/>
        </w:rPr>
        <w:t>4.3-</w:t>
      </w:r>
      <w:r>
        <w:rPr>
          <w:rFonts w:hint="eastAsia" w:ascii="Times New Roman" w:hAnsi="Times New Roman" w:cs="Times New Roman"/>
          <w:color w:val="auto"/>
          <w:sz w:val="24"/>
          <w:u w:val="none"/>
          <w:lang w:val="en-US" w:eastAsia="zh-CN"/>
        </w:rPr>
        <w:t>18</w:t>
      </w:r>
      <w:r>
        <w:rPr>
          <w:rFonts w:hint="default" w:ascii="Times New Roman" w:hAnsi="Times New Roman" w:cs="Times New Roman"/>
          <w:color w:val="auto"/>
          <w:sz w:val="24"/>
          <w:u w:val="none"/>
        </w:rPr>
        <w:t>。</w:t>
      </w:r>
    </w:p>
    <w:p>
      <w:pPr>
        <w:pStyle w:val="102"/>
        <w:keepNext w:val="0"/>
        <w:keepLines w:val="0"/>
        <w:pageBreakBefore w:val="0"/>
        <w:widowControl w:val="0"/>
        <w:kinsoku/>
        <w:wordWrap/>
        <w:overflowPunct/>
        <w:topLinePunct w:val="0"/>
        <w:autoSpaceDE/>
        <w:autoSpaceDN/>
        <w:bidi w:val="0"/>
        <w:adjustRightInd/>
        <w:snapToGrid/>
        <w:spacing w:after="0" w:afterLines="0" w:line="400" w:lineRule="exact"/>
        <w:textAlignment w:val="auto"/>
        <w:rPr>
          <w:rFonts w:hint="eastAsia" w:ascii="Times New Roman" w:hAnsi="Times New Roman" w:eastAsia="宋体" w:cs="Times New Roman"/>
          <w:b/>
          <w:color w:val="auto"/>
          <w:spacing w:val="-4"/>
          <w:kern w:val="2"/>
          <w:sz w:val="21"/>
          <w:szCs w:val="21"/>
          <w:u w:val="none"/>
          <w:lang w:val="en-US" w:eastAsia="zh-CN" w:bidi="ar-SA"/>
        </w:rPr>
      </w:pPr>
      <w:r>
        <w:rPr>
          <w:rFonts w:hint="eastAsia" w:ascii="Times New Roman" w:hAnsi="Times New Roman" w:eastAsia="宋体" w:cs="Times New Roman"/>
          <w:b/>
          <w:color w:val="auto"/>
          <w:spacing w:val="-4"/>
          <w:kern w:val="2"/>
          <w:sz w:val="21"/>
          <w:szCs w:val="21"/>
          <w:u w:val="none"/>
          <w:lang w:val="en-US" w:eastAsia="zh-CN" w:bidi="ar-SA"/>
        </w:rPr>
        <w:t>表</w:t>
      </w:r>
      <w:r>
        <w:rPr>
          <w:rFonts w:hint="eastAsia" w:cs="Times New Roman"/>
          <w:b/>
          <w:color w:val="auto"/>
          <w:spacing w:val="-4"/>
          <w:kern w:val="2"/>
          <w:sz w:val="21"/>
          <w:szCs w:val="21"/>
          <w:u w:val="none"/>
          <w:lang w:val="en-US" w:eastAsia="zh-CN" w:bidi="ar-SA"/>
        </w:rPr>
        <w:t>5</w:t>
      </w:r>
      <w:r>
        <w:rPr>
          <w:rFonts w:hint="eastAsia" w:ascii="Times New Roman" w:hAnsi="Times New Roman" w:eastAsia="宋体" w:cs="Times New Roman"/>
          <w:b/>
          <w:color w:val="auto"/>
          <w:spacing w:val="-4"/>
          <w:kern w:val="2"/>
          <w:sz w:val="21"/>
          <w:szCs w:val="21"/>
          <w:u w:val="none"/>
          <w:lang w:val="en-US" w:eastAsia="zh-CN" w:bidi="ar-SA"/>
        </w:rPr>
        <w:t xml:space="preserve"> 与</w:t>
      </w:r>
      <w:r>
        <w:rPr>
          <w:rFonts w:hint="default" w:ascii="Times New Roman" w:hAnsi="Times New Roman" w:eastAsia="宋体" w:cs="Times New Roman"/>
          <w:b/>
          <w:color w:val="auto"/>
          <w:spacing w:val="-4"/>
          <w:kern w:val="2"/>
          <w:sz w:val="21"/>
          <w:szCs w:val="21"/>
          <w:u w:val="none"/>
          <w:lang w:val="en-US" w:eastAsia="zh-CN" w:bidi="ar-SA"/>
        </w:rPr>
        <w:t>《湖南省“十</w:t>
      </w:r>
      <w:r>
        <w:rPr>
          <w:rFonts w:hint="eastAsia" w:ascii="Times New Roman" w:hAnsi="Times New Roman" w:eastAsia="宋体" w:cs="Times New Roman"/>
          <w:b/>
          <w:color w:val="auto"/>
          <w:spacing w:val="-4"/>
          <w:kern w:val="2"/>
          <w:sz w:val="21"/>
          <w:szCs w:val="21"/>
          <w:u w:val="none"/>
          <w:lang w:val="en-US" w:eastAsia="zh-CN" w:bidi="ar-SA"/>
        </w:rPr>
        <w:t>四</w:t>
      </w:r>
      <w:r>
        <w:rPr>
          <w:rFonts w:hint="default" w:ascii="Times New Roman" w:hAnsi="Times New Roman" w:eastAsia="宋体" w:cs="Times New Roman"/>
          <w:b/>
          <w:color w:val="auto"/>
          <w:spacing w:val="-4"/>
          <w:kern w:val="2"/>
          <w:sz w:val="21"/>
          <w:szCs w:val="21"/>
          <w:u w:val="none"/>
          <w:lang w:val="en-US" w:eastAsia="zh-CN" w:bidi="ar-SA"/>
        </w:rPr>
        <w:t>五”生态环境保护规划》（湘政办发</w:t>
      </w:r>
      <w:r>
        <w:rPr>
          <w:rFonts w:hint="eastAsia" w:ascii="Times New Roman" w:hAnsi="Times New Roman" w:eastAsia="宋体" w:cs="Times New Roman"/>
          <w:b/>
          <w:color w:val="auto"/>
          <w:spacing w:val="-4"/>
          <w:kern w:val="2"/>
          <w:sz w:val="21"/>
          <w:szCs w:val="21"/>
          <w:u w:val="none"/>
          <w:lang w:val="en-US" w:eastAsia="zh-CN" w:bidi="ar-SA"/>
        </w:rPr>
        <w:t>[</w:t>
      </w:r>
      <w:r>
        <w:rPr>
          <w:rFonts w:hint="default" w:ascii="Times New Roman" w:hAnsi="Times New Roman" w:eastAsia="宋体" w:cs="Times New Roman"/>
          <w:b/>
          <w:color w:val="auto"/>
          <w:spacing w:val="-4"/>
          <w:kern w:val="2"/>
          <w:sz w:val="21"/>
          <w:szCs w:val="21"/>
          <w:u w:val="none"/>
          <w:lang w:val="en-US" w:eastAsia="zh-CN" w:bidi="ar-SA"/>
        </w:rPr>
        <w:t>2021</w:t>
      </w:r>
      <w:r>
        <w:rPr>
          <w:rFonts w:hint="eastAsia" w:ascii="Times New Roman" w:hAnsi="Times New Roman" w:eastAsia="宋体" w:cs="Times New Roman"/>
          <w:b/>
          <w:color w:val="auto"/>
          <w:spacing w:val="-4"/>
          <w:kern w:val="2"/>
          <w:sz w:val="21"/>
          <w:szCs w:val="21"/>
          <w:u w:val="none"/>
          <w:lang w:val="en-US" w:eastAsia="zh-CN" w:bidi="ar-SA"/>
        </w:rPr>
        <w:t>]</w:t>
      </w:r>
      <w:r>
        <w:rPr>
          <w:rFonts w:hint="default" w:ascii="Times New Roman" w:hAnsi="Times New Roman" w:eastAsia="宋体" w:cs="Times New Roman"/>
          <w:b/>
          <w:color w:val="auto"/>
          <w:spacing w:val="-4"/>
          <w:kern w:val="2"/>
          <w:sz w:val="21"/>
          <w:szCs w:val="21"/>
          <w:u w:val="none"/>
          <w:lang w:val="en-US" w:eastAsia="zh-CN" w:bidi="ar-SA"/>
        </w:rPr>
        <w:t>61号）</w:t>
      </w:r>
      <w:r>
        <w:rPr>
          <w:rFonts w:hint="eastAsia" w:ascii="Times New Roman" w:hAnsi="Times New Roman" w:eastAsia="宋体" w:cs="Times New Roman"/>
          <w:b/>
          <w:color w:val="auto"/>
          <w:spacing w:val="-4"/>
          <w:kern w:val="2"/>
          <w:sz w:val="21"/>
          <w:szCs w:val="21"/>
          <w:u w:val="none"/>
          <w:lang w:val="en-US" w:eastAsia="zh-CN" w:bidi="ar-SA"/>
        </w:rPr>
        <w:t>的符合性分析</w:t>
      </w:r>
    </w:p>
    <w:tbl>
      <w:tblPr>
        <w:tblStyle w:val="38"/>
        <w:tblW w:w="496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07"/>
        <w:gridCol w:w="2826"/>
        <w:gridCol w:w="11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 w:hRule="atLeast"/>
          <w:tblHeader/>
          <w:jc w:val="center"/>
        </w:trPr>
        <w:tc>
          <w:tcPr>
            <w:tcW w:w="3594"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《规划》内容及要求</w:t>
            </w:r>
          </w:p>
        </w:tc>
        <w:tc>
          <w:tcPr>
            <w:tcW w:w="1005"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开发区相关情况</w:t>
            </w:r>
          </w:p>
        </w:tc>
        <w:tc>
          <w:tcPr>
            <w:tcW w:w="400"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1" w:hRule="atLeast"/>
          <w:jc w:val="center"/>
        </w:trPr>
        <w:tc>
          <w:tcPr>
            <w:tcW w:w="3594"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推动资源高效循环利用。加强工业生产用水、用能全过程管理，提高水资源、能源利用效率，严格实行用水、用能总量和强度管理，开展工业能效、水效“领跑者”制度。推进工业园区循环化改造，推动企业循环式生产、产业循环式组合，搭建资源共享、废物处理、服务高效的公共平台，促进工业废物资源综合利用、能量梯级利用、水资源循环使用。</w:t>
            </w:r>
          </w:p>
        </w:tc>
        <w:tc>
          <w:tcPr>
            <w:tcW w:w="1005"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项目为废水处理工程，用水主要为处理药剂加水，用水量较少</w:t>
            </w:r>
            <w:r>
              <w:rPr>
                <w:rFonts w:hint="default" w:ascii="Times New Roman" w:hAnsi="Times New Roman" w:eastAsia="宋体" w:cs="Times New Roman"/>
                <w:b w:val="0"/>
                <w:bCs w:val="0"/>
                <w:kern w:val="2"/>
                <w:sz w:val="21"/>
                <w:szCs w:val="21"/>
                <w:lang w:val="en-US" w:eastAsia="zh-CN"/>
              </w:rPr>
              <w:t>。</w:t>
            </w:r>
          </w:p>
        </w:tc>
        <w:tc>
          <w:tcPr>
            <w:tcW w:w="400"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8" w:hRule="atLeast"/>
          <w:jc w:val="center"/>
        </w:trPr>
        <w:tc>
          <w:tcPr>
            <w:tcW w:w="3594"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严格生态环境分区引导。严格落实湖南省“三线一单”生态环境总体管控要求，将生态保护红线、环境质量底线、资源利用上线和生态环境准入清单作为硬约束落实到环境管控单元，根据生态环境功能、自然资源禀赋、经济与社会发展实际，对环境管控单元实施差异化生态环境准入管理。加强“三线一单”与国土空间规划的衔接，区域资源开发、产业布局和结构调整、城镇建设、重大项目选址应以“三线一单”确定的环境管控单元及生态环境准入清单作为重要依据，加强省级以上产业园区生态环境准入管理。推进“三线一单”与排污许可、环评审批、环境监测、环境执法等数据系统共享，细化“三线一单”数据支撑体系及分区管控要求。</w:t>
            </w:r>
          </w:p>
        </w:tc>
        <w:tc>
          <w:tcPr>
            <w:tcW w:w="1005"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根据前文分析，项目建设符合三线一单的要求</w:t>
            </w:r>
          </w:p>
        </w:tc>
        <w:tc>
          <w:tcPr>
            <w:tcW w:w="400"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3594"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加强规划环境影响评价。严格执行以环评制度为主体的生态环境源头预防制度，以国土空间规划、区域规划、行业发展规划引导经济社会发展，全面推进重点区域、重点流域、重点行业规划环评。规划编制要充分考虑底线约束、空间管制、总量管控和生态环境准入，统筹区域空间布局与生态安全格局。严格审查涉“两高”行业的有关综合性规划和工业、能源等专项规划，严格控制“两高”行业发展规模，优化规划布局、产业结构与实施时序。加强规划环评对建设项目环评工作的指导和约束，推动规划环评成果落实。</w:t>
            </w:r>
          </w:p>
        </w:tc>
        <w:tc>
          <w:tcPr>
            <w:tcW w:w="1005"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根据前文分析，项目建设与园区规划环评要求相符合</w:t>
            </w:r>
          </w:p>
        </w:tc>
        <w:tc>
          <w:tcPr>
            <w:tcW w:w="400"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94"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全面实行排污许可制度。推动构建以排污许可制为核心的固定污染源监管制度体系，实现固定污染源排污许可全覆盖，推动工业固体废物、土壤环境要素全覆盖，探索将碳排放纳入排污许可管理内容。依托排污许可证实施企事业单位污染物排放总量指标分配、监管和考核。建立以排污许可证为主要依据的生态环境日常监管执法体系，落实排污许可“一证式”管理。推进排污许可制度与环境影响评价制度有效融合，推动重点行业企业环境影响评价、排污许可、监管执法全闭环管理。持续做好排污许可证换证或登记延续动态更新。</w:t>
            </w:r>
          </w:p>
        </w:tc>
        <w:tc>
          <w:tcPr>
            <w:tcW w:w="1005"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项目严格实施排污许可制度，项目在进出口均设置了在线监控系统，保证废水的达标排放</w:t>
            </w:r>
          </w:p>
        </w:tc>
        <w:tc>
          <w:tcPr>
            <w:tcW w:w="400"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5000"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深入打好碧水保卫战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94"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深化重点领域水污染治理。以企业和工业聚集区为重点，推进工业园区污水处理设施分类管理、分期升级改造，实施省级及以上工业园区专项整治行动，实现省级及以上工业园区污水管网全覆盖、污水全收集、污水集中处理设施稳定达标运行、进出水水质在线监控并联网正常，规范设置园区集中污水处理设施排污口，建立园区水环境管理“一园一档”。加强涉重金属行业企业废水治理，推进重点行业氨氮和总磷排放总量控制。</w:t>
            </w:r>
          </w:p>
        </w:tc>
        <w:tc>
          <w:tcPr>
            <w:tcW w:w="1005"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项目为重金属废水处理项目，作为花垣县工业集中区污水处理厂的预处理设施对涉重企业排放的含重金属废水进行处理，项目的建设推进了工业园区污水处理设施分类管理，废水分类收集处置，项目项目在进出口均设置了在线监控系统，保证废水的达标排放</w:t>
            </w:r>
          </w:p>
        </w:tc>
        <w:tc>
          <w:tcPr>
            <w:tcW w:w="400"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38" w:hRule="atLeast"/>
          <w:jc w:val="center"/>
        </w:trPr>
        <w:tc>
          <w:tcPr>
            <w:tcW w:w="3594"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加强长江干支流系统治理。按照《湖南省沿江化工企业搬迁改造实施方案》要求，沿江岸线1公里范围内严禁新建、扩建化工园区、化工生产项目；严禁现有合规化工园区在沿江岸线1公里范围内靠江扩建；安全环保达标的化工生产企业因生产需要可向背江一面逐步搬迁，2025年底前完成沿江化工企业搬迁改造任务。全面加强入河排污口排查整治与监管，2023年完成长江干流湖南段、湘资沅澧干流及重要支流入河排污口排查，建立入河排污口名录，初步建成统一的流域排污口信息管理系统，2025年完成全流域排污口排查，建成流域排污口信息管理系统。完成入河排污口区域分区体系建设，明确禁止设置、限制设置区域范围，有效规范和管控入河排污口。</w:t>
            </w:r>
          </w:p>
        </w:tc>
        <w:tc>
          <w:tcPr>
            <w:tcW w:w="1005"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本项目不涉及</w:t>
            </w:r>
          </w:p>
        </w:tc>
        <w:tc>
          <w:tcPr>
            <w:tcW w:w="400"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（二）深入打好蓝天保卫战。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7" w:hRule="atLeast"/>
          <w:jc w:val="center"/>
        </w:trPr>
        <w:tc>
          <w:tcPr>
            <w:tcW w:w="3594"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强化扬尘污染精准科学管控。县级以上城市建成区内房屋建筑和市政基础设施工程施工工地严格落实扬尘防控“六个100%”，全面推行绿色施工，将绿色施工纳入企业资质评价、信用评价。推进低尘机械化湿式清扫作业，加大城市出入口、城乡结合部等重要路段冲洗保洁力度，渣土车实施硬覆盖与全密闭运输，强化道路绿化用地扬尘治理。加强码头作业扬尘控制，煤炭、矿石及干散货码头应全面完成防风抑尘设施建设，码头堆场应采用封闭方式进行堆存。</w:t>
            </w:r>
          </w:p>
        </w:tc>
        <w:tc>
          <w:tcPr>
            <w:tcW w:w="1005"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本项目不涉及</w:t>
            </w:r>
          </w:p>
        </w:tc>
        <w:tc>
          <w:tcPr>
            <w:tcW w:w="400"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3594"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加强土壤污染源头预防。推动污染物与土壤环境、地下水环境之间的协同控制，持续开展固体废物和危险废物贮存场所周边土壤与地下水环境状况调查评估。严格控制涉重金属行业污染物排放，整治涉重金属矿区历史遗留固体废物，防控矿产资源开发污染土壤。建立土壤污染重点监管单位名录并适时动态更新，督促重点监管单位依法全面落实土壤环境管理制度，2025年底前，至少完成1次土壤和地下水污染隐患排查，制定落实整改方案。土壤污染重点监管单位应按照国家相关规定购买环境污染责任保险。鼓励土壤污染重点监管单位因地制宜实施管道化、密闭化改造。</w:t>
            </w:r>
          </w:p>
        </w:tc>
        <w:tc>
          <w:tcPr>
            <w:tcW w:w="1005"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本次环评对区域土壤进行了现状监测，监测结果表明区域土壤环境质量均未超标，项目属于重 金属废水项目，各类处理设施均进行了防渗措施，正常情况下不会对土壤造成污染。</w:t>
            </w:r>
          </w:p>
        </w:tc>
        <w:tc>
          <w:tcPr>
            <w:tcW w:w="400"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43" w:hRule="atLeast"/>
          <w:jc w:val="center"/>
        </w:trPr>
        <w:tc>
          <w:tcPr>
            <w:tcW w:w="3594"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实施重金属总量控制。聚焦重有色金属采选冶炼、电镀等重点行业和重点区域，坚持严控增量、削减存量，持续推进镉、汞、砷、铅、铬、铊等重点重金属污染防控。严格涉重金属重点行业环境准入，落实重点重金属污染物排放量“等量置换”和“减量替换”原则。加大有色金属、电镀等行业企业生产工艺提升改造力度，积极推进重金属特别排放限值达标改造等污染治理工程，持续减少重金属污染物排放，到2025年，重点行业重点重金属污染物排放量下降5%。</w:t>
            </w:r>
          </w:p>
        </w:tc>
        <w:tc>
          <w:tcPr>
            <w:tcW w:w="1005"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本项目为重金属废水处理项目，项目本身不会产生重金属污染物，项目的建设有利于花垣产业开发区重金属减排</w:t>
            </w:r>
          </w:p>
        </w:tc>
        <w:tc>
          <w:tcPr>
            <w:tcW w:w="400"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3594"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default" w:ascii="Times New Roman" w:hAnsi="Times New Roman" w:eastAsia="宋体" w:cs="Times New Roman"/>
                <w:b w:val="0"/>
                <w:bCs w:val="0"/>
                <w:kern w:val="2"/>
                <w:sz w:val="21"/>
                <w:szCs w:val="21"/>
                <w:lang w:val="en-US" w:eastAsia="zh-CN"/>
              </w:rPr>
            </w:pPr>
            <w:r>
              <w:rPr>
                <w:rFonts w:hint="default" w:ascii="Times New Roman" w:hAnsi="Times New Roman" w:eastAsia="宋体" w:cs="Times New Roman"/>
                <w:b w:val="0"/>
                <w:bCs w:val="0"/>
                <w:kern w:val="2"/>
                <w:sz w:val="21"/>
                <w:szCs w:val="21"/>
                <w:lang w:val="en-US" w:eastAsia="zh-CN"/>
              </w:rPr>
              <w:t>严格危险废物项目环境准入。严控新（扩）建省内综合利用能力过剩和以外省原料为主要来源的危险废物综合利用项目；不再新建有机类危险废物热（裂）解处理项目；对危险废物数量、种类、属性、贮存设施不清、无合理利用处置方案、次生固体废物无处置开路、无环境风险防范措施的建设项目从严审批；推动危废产生单位优化工艺、设备和原料选配，源头减少危险废物的产生。探索将危险废物纳入排污许可证管理范围。</w:t>
            </w:r>
          </w:p>
        </w:tc>
        <w:tc>
          <w:tcPr>
            <w:tcW w:w="1005"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本项目危废委托有资质单位处置，项目固废分类收集，不外排</w:t>
            </w:r>
          </w:p>
        </w:tc>
        <w:tc>
          <w:tcPr>
            <w:tcW w:w="400" w:type="pct"/>
            <w:tcBorders>
              <w:tl2br w:val="nil"/>
              <w:tr2bl w:val="nil"/>
            </w:tcBorders>
            <w:noWrap w:val="0"/>
            <w:vAlign w:val="center"/>
          </w:tcPr>
          <w:p>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center"/>
              <w:rPr>
                <w:rFonts w:hint="eastAsia" w:ascii="Times New Roman" w:hAnsi="Times New Roman" w:eastAsia="宋体" w:cs="Times New Roman"/>
                <w:b w:val="0"/>
                <w:bCs w:val="0"/>
                <w:kern w:val="2"/>
                <w:sz w:val="21"/>
                <w:szCs w:val="21"/>
                <w:lang w:val="en-US" w:eastAsia="zh-CN"/>
              </w:rPr>
            </w:pPr>
            <w:r>
              <w:rPr>
                <w:rFonts w:hint="eastAsia" w:ascii="Times New Roman" w:hAnsi="Times New Roman" w:eastAsia="宋体" w:cs="Times New Roman"/>
                <w:b w:val="0"/>
                <w:bCs w:val="0"/>
                <w:kern w:val="2"/>
                <w:sz w:val="21"/>
                <w:szCs w:val="21"/>
                <w:lang w:val="en-US" w:eastAsia="zh-CN"/>
              </w:rPr>
              <w:t>符合</w:t>
            </w:r>
          </w:p>
        </w:tc>
      </w:tr>
    </w:tbl>
    <w:p>
      <w:pPr>
        <w:autoSpaceDE w:val="0"/>
        <w:autoSpaceDN w:val="0"/>
        <w:adjustRightInd w:val="0"/>
        <w:ind w:firstLine="482"/>
        <w:rPr>
          <w:rFonts w:hint="eastAsia" w:cs="宋体"/>
          <w:b/>
          <w:color w:val="0000FF"/>
          <w:kern w:val="0"/>
        </w:rPr>
        <w:sectPr>
          <w:pgSz w:w="16838" w:h="11906" w:orient="landscape"/>
          <w:pgMar w:top="1800" w:right="1440" w:bottom="1800" w:left="1440" w:header="851" w:footer="794" w:gutter="0"/>
          <w:pgBorders>
            <w:top w:val="none" w:sz="0" w:space="0"/>
            <w:left w:val="none" w:sz="0" w:space="0"/>
            <w:bottom w:val="none" w:sz="0" w:space="0"/>
            <w:right w:val="none" w:sz="0" w:space="0"/>
          </w:pgBorders>
          <w:pgNumType w:fmt="decimal"/>
          <w:cols w:space="720" w:num="1"/>
          <w:docGrid w:type="lines" w:linePitch="326" w:charSpace="0"/>
        </w:sectPr>
      </w:pP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4"/>
        <w:rPr>
          <w:rFonts w:hint="eastAsia" w:ascii="Times New Roman" w:hAnsi="Times New Roman" w:eastAsia="宋体" w:cs="Times New Roman"/>
          <w:b/>
          <w:bCs/>
          <w:sz w:val="24"/>
          <w:u w:val="none"/>
          <w:lang w:val="en-US" w:eastAsia="zh-CN"/>
        </w:rPr>
      </w:pPr>
      <w:r>
        <w:rPr>
          <w:rFonts w:hint="eastAsia" w:ascii="Times New Roman" w:hAnsi="Times New Roman" w:eastAsia="宋体" w:cs="Times New Roman"/>
          <w:b/>
          <w:bCs/>
          <w:sz w:val="24"/>
          <w:u w:val="none"/>
          <w:lang w:val="en-US" w:eastAsia="zh-CN"/>
        </w:rPr>
        <w:t>（8）厂址选择合理性分析</w:t>
      </w:r>
    </w:p>
    <w:p>
      <w:pPr>
        <w:pStyle w:val="15"/>
        <w:ind w:firstLine="480"/>
        <w:rPr>
          <w:rFonts w:hint="eastAsia" w:eastAsia="宋体"/>
          <w:color w:val="auto"/>
          <w:kern w:val="0"/>
          <w:u w:val="single"/>
          <w:lang w:val="en-US" w:eastAsia="zh-CN"/>
        </w:rPr>
      </w:pPr>
      <w:r>
        <w:rPr>
          <w:rFonts w:hint="eastAsia" w:ascii="宋体" w:hAnsi="宋体" w:eastAsia="宋体" w:cs="宋体"/>
          <w:color w:val="auto"/>
          <w:kern w:val="0"/>
          <w:u w:val="single"/>
          <w:lang w:eastAsia="en-US"/>
        </w:rPr>
        <w:t>①</w:t>
      </w:r>
      <w:r>
        <w:rPr>
          <w:rFonts w:hint="eastAsia" w:eastAsia="宋体"/>
          <w:color w:val="auto"/>
          <w:kern w:val="0"/>
          <w:u w:val="single"/>
          <w:lang w:val="en-US" w:eastAsia="zh-CN"/>
        </w:rPr>
        <w:t xml:space="preserve"> 污水处理厂选址</w:t>
      </w:r>
    </w:p>
    <w:p>
      <w:pPr>
        <w:pStyle w:val="15"/>
        <w:ind w:firstLine="480"/>
        <w:rPr>
          <w:color w:val="auto"/>
          <w:kern w:val="0"/>
          <w:lang w:eastAsia="en-US"/>
        </w:rPr>
      </w:pPr>
      <w:r>
        <w:rPr>
          <w:color w:val="auto"/>
          <w:kern w:val="0"/>
          <w:u w:val="single"/>
          <w:lang w:eastAsia="en-US"/>
        </w:rPr>
        <w:t>根据《室外排水设计规范》（GB50014-2006）2016版、《给水排水设计手册》第五册（城市排水）、《城市排水工程规划规范》（GB50318-2000）和《城镇给水排水技术规范》（GB50788-2012）等相关规范和设计手册可知，污水厂的选址应该符合城镇总体规划和排水工程专业规划的要求</w:t>
      </w:r>
      <w:r>
        <w:rPr>
          <w:color w:val="auto"/>
          <w:kern w:val="0"/>
          <w:lang w:eastAsia="en-US"/>
        </w:rPr>
        <w:t>，</w:t>
      </w:r>
      <w:r>
        <w:rPr>
          <w:rFonts w:hint="eastAsia"/>
          <w:color w:val="auto"/>
          <w:kern w:val="0"/>
          <w:lang w:eastAsia="zh-CN"/>
        </w:rPr>
        <w:t>结合项目实际建设情况进行合理性分析</w:t>
      </w:r>
      <w:r>
        <w:rPr>
          <w:color w:val="auto"/>
          <w:kern w:val="0"/>
          <w:lang w:eastAsia="en-US"/>
        </w:rPr>
        <w:t>：</w:t>
      </w:r>
    </w:p>
    <w:p>
      <w:pPr>
        <w:ind w:firstLine="480"/>
        <w:rPr>
          <w:color w:val="auto"/>
          <w:kern w:val="0"/>
          <w:lang w:eastAsia="en-US"/>
        </w:rPr>
      </w:pPr>
      <w:r>
        <w:rPr>
          <w:color w:val="auto"/>
          <w:kern w:val="0"/>
          <w:lang w:eastAsia="en-US"/>
        </w:rPr>
        <w:t>1）符合城镇总体规划，充分考虑区内地形、功能分区、道路规划与防洪要求等因素；</w:t>
      </w:r>
    </w:p>
    <w:p>
      <w:pPr>
        <w:ind w:firstLine="480"/>
        <w:rPr>
          <w:color w:val="auto"/>
          <w:kern w:val="0"/>
          <w:lang w:eastAsia="en-US"/>
        </w:rPr>
      </w:pPr>
      <w:r>
        <w:rPr>
          <w:color w:val="auto"/>
          <w:kern w:val="0"/>
          <w:lang w:eastAsia="en-US"/>
        </w:rPr>
        <w:t>2）厂址选择应尽量少占农田或不占良田，且应有扩建条件，为今后发展留有余地；</w:t>
      </w:r>
    </w:p>
    <w:p>
      <w:pPr>
        <w:ind w:firstLine="480"/>
        <w:rPr>
          <w:color w:val="auto"/>
          <w:kern w:val="0"/>
          <w:lang w:eastAsia="en-US"/>
        </w:rPr>
      </w:pPr>
      <w:r>
        <w:rPr>
          <w:color w:val="auto"/>
          <w:kern w:val="0"/>
          <w:lang w:eastAsia="en-US"/>
        </w:rPr>
        <w:t>3）厂址必须位于给水水源下游至少500m，并应设在城镇、工厂厂区及生活区的下游和夏季城市主导风向的下风向，为保证卫生要求，厂址应与城镇、工业区、生活区及农村居民点保持一定的防护距离，有条件的最好保持300m以上的距离；</w:t>
      </w:r>
    </w:p>
    <w:p>
      <w:pPr>
        <w:ind w:firstLine="480"/>
        <w:rPr>
          <w:color w:val="auto"/>
          <w:kern w:val="0"/>
          <w:lang w:eastAsia="en-US"/>
        </w:rPr>
      </w:pPr>
      <w:r>
        <w:rPr>
          <w:color w:val="auto"/>
          <w:kern w:val="0"/>
          <w:lang w:eastAsia="en-US"/>
        </w:rPr>
        <w:t>4）厂址应在工程地质条件较好的地方，在有抗震要求的地区，还应考虑地震、地质条件，目的是减少基础处理和排水费用，降低工程造价，并有利于施工。一般应选在地下水位较低，地基承载力较大，湿陷等级不高，岩石无断裂带，以及对工程抗震有利的地段；</w:t>
      </w:r>
    </w:p>
    <w:p>
      <w:pPr>
        <w:ind w:firstLine="480"/>
        <w:rPr>
          <w:color w:val="auto"/>
          <w:kern w:val="0"/>
          <w:lang w:eastAsia="en-US"/>
        </w:rPr>
      </w:pPr>
      <w:r>
        <w:rPr>
          <w:color w:val="auto"/>
          <w:kern w:val="0"/>
          <w:lang w:eastAsia="en-US"/>
        </w:rPr>
        <w:t>5）靠近城市污水管网，便于处理后接入城市生活污水管道；</w:t>
      </w:r>
    </w:p>
    <w:p>
      <w:pPr>
        <w:ind w:firstLine="480"/>
        <w:rPr>
          <w:color w:val="auto"/>
          <w:kern w:val="0"/>
          <w:lang w:eastAsia="en-US"/>
        </w:rPr>
      </w:pPr>
      <w:r>
        <w:rPr>
          <w:color w:val="auto"/>
          <w:kern w:val="0"/>
          <w:lang w:eastAsia="en-US"/>
        </w:rPr>
        <w:t>6）厂址应尽量选择在交通方便的地方，以利于施工运输和运行管理；</w:t>
      </w:r>
    </w:p>
    <w:p>
      <w:pPr>
        <w:ind w:firstLine="480"/>
        <w:rPr>
          <w:color w:val="auto"/>
          <w:kern w:val="0"/>
          <w:lang w:eastAsia="en-US"/>
        </w:rPr>
      </w:pPr>
      <w:r>
        <w:rPr>
          <w:color w:val="auto"/>
          <w:kern w:val="0"/>
          <w:lang w:eastAsia="en-US"/>
        </w:rPr>
        <w:t>7）厂址应尽量靠近供电电源，以利于安全运行和降低输电线路费用；</w:t>
      </w:r>
    </w:p>
    <w:p>
      <w:pPr>
        <w:ind w:firstLine="480"/>
        <w:rPr>
          <w:color w:val="auto"/>
          <w:kern w:val="0"/>
          <w:lang w:eastAsia="en-US"/>
        </w:rPr>
      </w:pPr>
      <w:r>
        <w:rPr>
          <w:color w:val="auto"/>
          <w:kern w:val="0"/>
          <w:lang w:eastAsia="en-US"/>
        </w:rPr>
        <w:t>8）汛期不受洪水威胁；</w:t>
      </w:r>
    </w:p>
    <w:p>
      <w:pPr>
        <w:ind w:firstLine="480"/>
        <w:rPr>
          <w:color w:val="auto"/>
          <w:kern w:val="0"/>
          <w:lang w:eastAsia="en-US"/>
        </w:rPr>
      </w:pPr>
      <w:r>
        <w:rPr>
          <w:color w:val="auto"/>
          <w:kern w:val="0"/>
          <w:lang w:eastAsia="en-US"/>
        </w:rPr>
        <w:t>9）便于处理后的出水回用和安全排放；</w:t>
      </w:r>
    </w:p>
    <w:p>
      <w:pPr>
        <w:ind w:firstLine="480"/>
        <w:rPr>
          <w:color w:val="auto"/>
          <w:kern w:val="0"/>
          <w:lang w:eastAsia="en-US"/>
        </w:rPr>
      </w:pPr>
      <w:r>
        <w:rPr>
          <w:color w:val="auto"/>
          <w:kern w:val="0"/>
          <w:lang w:eastAsia="en-US"/>
        </w:rPr>
        <w:t>10）便于污泥集中处理和处置。</w:t>
      </w:r>
    </w:p>
    <w:p>
      <w:pPr>
        <w:ind w:firstLine="480"/>
        <w:rPr>
          <w:rFonts w:hint="eastAsia"/>
          <w:color w:val="000000"/>
          <w:kern w:val="0"/>
          <w:u w:val="single"/>
          <w:lang w:eastAsia="zh-CN"/>
        </w:rPr>
      </w:pPr>
      <w:r>
        <w:rPr>
          <w:rFonts w:hint="eastAsia"/>
          <w:color w:val="000000"/>
          <w:kern w:val="0"/>
          <w:u w:val="single"/>
        </w:rPr>
        <w:t>本项目选址</w:t>
      </w:r>
      <w:r>
        <w:rPr>
          <w:rFonts w:hint="eastAsia"/>
          <w:color w:val="000000"/>
          <w:kern w:val="0"/>
          <w:u w:val="single"/>
          <w:lang w:eastAsia="zh-CN"/>
        </w:rPr>
        <w:t>位于花垣产业开发区，项目北侧</w:t>
      </w:r>
      <w:r>
        <w:rPr>
          <w:rFonts w:hint="eastAsia"/>
          <w:color w:val="000000"/>
          <w:kern w:val="0"/>
          <w:u w:val="single"/>
          <w:lang w:val="en-US" w:eastAsia="zh-CN"/>
        </w:rPr>
        <w:t>100米为花垣产业开发区集中式污水处理厂，</w:t>
      </w:r>
      <w:r>
        <w:rPr>
          <w:rFonts w:hint="eastAsia"/>
          <w:color w:val="000000"/>
          <w:kern w:val="0"/>
          <w:u w:val="single"/>
          <w:lang w:eastAsia="zh-CN"/>
        </w:rPr>
        <w:t>属于园区的基础配套设施，便于本项目废水排入花垣产业开发区污水处理厂，项目四至情况为：</w:t>
      </w:r>
      <w:r>
        <w:rPr>
          <w:rFonts w:hint="eastAsia"/>
          <w:color w:val="000000"/>
          <w:kern w:val="0"/>
          <w:u w:val="single"/>
          <w:lang w:val="en-US" w:eastAsia="zh-CN"/>
        </w:rPr>
        <w:t>东侧300米为黑岩塘居民点（有山体阻隔），南侧600米有卡地村居民点1，西侧700米为卡地村居民点2（有山体阻隔）</w:t>
      </w:r>
      <w:r>
        <w:rPr>
          <w:rFonts w:hint="eastAsia"/>
          <w:color w:val="000000"/>
          <w:kern w:val="0"/>
          <w:u w:val="single"/>
          <w:lang w:eastAsia="zh-CN"/>
        </w:rPr>
        <w:t>，项目周边无给水水源。根据项目设计方案可知，项目为重金属污染物的处理，不考虑有机物的处理，项目采用处理工艺为化学混凝沉淀分离+石英砂过滤，基本无恶臭产生，项目运营期废气对环境基本无影响。</w:t>
      </w:r>
    </w:p>
    <w:p>
      <w:pPr>
        <w:keepNext w:val="0"/>
        <w:keepLines w:val="0"/>
        <w:pageBreakBefore w:val="0"/>
        <w:widowControl/>
        <w:kinsoku/>
        <w:wordWrap w:val="0"/>
        <w:overflowPunct/>
        <w:topLinePunct w:val="0"/>
        <w:autoSpaceDE/>
        <w:autoSpaceDN/>
        <w:bidi w:val="0"/>
        <w:adjustRightInd/>
        <w:snapToGrid/>
        <w:ind w:firstLine="480"/>
        <w:textAlignment w:val="auto"/>
        <w:rPr>
          <w:rFonts w:hint="eastAsia"/>
          <w:color w:val="auto"/>
          <w:kern w:val="0"/>
          <w:lang w:eastAsia="zh-CN"/>
        </w:rPr>
      </w:pPr>
      <w:r>
        <w:rPr>
          <w:rFonts w:hint="eastAsia"/>
          <w:color w:val="000000"/>
          <w:kern w:val="0"/>
          <w:lang w:eastAsia="zh-CN"/>
        </w:rPr>
        <w:t>本项目接收应急情况下西部新区涉重企业重金属废水的处理，含一类污染物的废水经处理在车间排口达到污水综合排</w:t>
      </w:r>
      <w:r>
        <w:rPr>
          <w:rFonts w:hint="eastAsia"/>
          <w:color w:val="auto"/>
          <w:kern w:val="0"/>
          <w:lang w:eastAsia="zh-CN"/>
        </w:rPr>
        <w:t>放标准( GB8978-1996)表1最高允许排放浓度要求后排入园区污水管网，方可接管；废水处理后总钒指标达到钒工业污染物排放标准》GB26452-2011中表</w:t>
      </w:r>
      <w:r>
        <w:rPr>
          <w:rFonts w:hint="eastAsia"/>
          <w:color w:val="auto"/>
          <w:kern w:val="0"/>
          <w:lang w:val="en-US" w:eastAsia="zh-CN"/>
        </w:rPr>
        <w:t>2</w:t>
      </w:r>
      <w:r>
        <w:rPr>
          <w:rFonts w:hint="eastAsia"/>
          <w:color w:val="auto"/>
          <w:kern w:val="0"/>
          <w:lang w:eastAsia="zh-CN"/>
        </w:rPr>
        <w:t>的规定，其他废水污染物指标总锰、总铬、六价铬、总锌、总铅达到《城镇污水处理厂污染物排放标准》（GB18918-2002）表2表3的规定后排入花垣产业开发区污水处理厂进行处理达到《城市污水处理厂污染物排放标准》（GB18918-2002）一级标准的A标准排放至花垣河。</w:t>
      </w:r>
    </w:p>
    <w:p>
      <w:pPr>
        <w:keepNext w:val="0"/>
        <w:keepLines w:val="0"/>
        <w:pageBreakBefore w:val="0"/>
        <w:widowControl/>
        <w:kinsoku/>
        <w:wordWrap w:val="0"/>
        <w:overflowPunct/>
        <w:topLinePunct w:val="0"/>
        <w:autoSpaceDE/>
        <w:autoSpaceDN/>
        <w:bidi w:val="0"/>
        <w:adjustRightInd/>
        <w:snapToGrid/>
        <w:ind w:firstLine="480"/>
        <w:textAlignment w:val="auto"/>
        <w:rPr>
          <w:color w:val="auto"/>
          <w:kern w:val="0"/>
        </w:rPr>
      </w:pPr>
      <w:r>
        <w:rPr>
          <w:rFonts w:hint="eastAsia"/>
          <w:color w:val="auto"/>
          <w:kern w:val="0"/>
        </w:rPr>
        <w:t>不会影响</w:t>
      </w:r>
      <w:r>
        <w:rPr>
          <w:rFonts w:hint="eastAsia"/>
          <w:color w:val="auto"/>
          <w:kern w:val="0"/>
          <w:lang w:eastAsia="zh-CN"/>
        </w:rPr>
        <w:t>花垣河的</w:t>
      </w:r>
      <w:r>
        <w:rPr>
          <w:rFonts w:hint="eastAsia" w:cs="宋体"/>
          <w:color w:val="auto"/>
          <w:kern w:val="0"/>
        </w:rPr>
        <w:t>Ⅲ类水体；</w:t>
      </w:r>
      <w:r>
        <w:rPr>
          <w:rFonts w:hint="eastAsia"/>
          <w:color w:val="auto"/>
          <w:kern w:val="0"/>
        </w:rPr>
        <w:t>运输车辆要求为全封闭车辆，不得污染道路对环境造成影响。运营期固废按《生活垃圾填埋场污染物控制标准》（GB16889-2008）、《城镇污水处理厂污泥处置-混合填埋用泥质》（GB/T23485-2009）以及《危险废物贮存污染控制标准》（GB18579-2001）及2013年修改单中相关要求管理。</w:t>
      </w:r>
    </w:p>
    <w:p>
      <w:pPr>
        <w:keepNext w:val="0"/>
        <w:keepLines w:val="0"/>
        <w:pageBreakBefore w:val="0"/>
        <w:widowControl/>
        <w:kinsoku/>
        <w:wordWrap w:val="0"/>
        <w:overflowPunct/>
        <w:topLinePunct w:val="0"/>
        <w:autoSpaceDE/>
        <w:autoSpaceDN/>
        <w:bidi w:val="0"/>
        <w:adjustRightInd/>
        <w:snapToGrid/>
        <w:ind w:firstLine="480"/>
        <w:textAlignment w:val="auto"/>
        <w:rPr>
          <w:rFonts w:hint="eastAsia"/>
          <w:color w:val="auto"/>
          <w:kern w:val="0"/>
        </w:rPr>
      </w:pPr>
      <w:r>
        <w:rPr>
          <w:rFonts w:hint="eastAsia"/>
          <w:color w:val="auto"/>
          <w:kern w:val="0"/>
        </w:rPr>
        <w:t>本项目污水处理站占地于2017年取得了花垣县城乡规划局的建设用地规划许可证，根据项目用地规划许可证可知，项目用地位于花垣产业开发区，属于二类工业用地。根据花垣县工业集中区土地总体规划可知，本项目规划用地属于二类工业用地，规划项目地建设污水处理厂，因此本项目符合土地利用规划。</w:t>
      </w:r>
    </w:p>
    <w:p>
      <w:pPr>
        <w:keepNext w:val="0"/>
        <w:keepLines w:val="0"/>
        <w:pageBreakBefore w:val="0"/>
        <w:widowControl/>
        <w:kinsoku/>
        <w:wordWrap w:val="0"/>
        <w:overflowPunct/>
        <w:topLinePunct w:val="0"/>
        <w:autoSpaceDE/>
        <w:autoSpaceDN/>
        <w:bidi w:val="0"/>
        <w:adjustRightInd/>
        <w:snapToGrid/>
        <w:ind w:firstLine="480"/>
        <w:textAlignment w:val="auto"/>
        <w:rPr>
          <w:rFonts w:hint="eastAsia" w:eastAsia="宋体"/>
          <w:color w:val="auto"/>
          <w:kern w:val="0"/>
          <w:lang w:val="en-US" w:eastAsia="zh-CN"/>
        </w:rPr>
      </w:pPr>
      <w:r>
        <w:rPr>
          <w:rFonts w:hint="eastAsia" w:ascii="宋体" w:hAnsi="宋体" w:eastAsia="宋体" w:cs="宋体"/>
          <w:color w:val="auto"/>
          <w:kern w:val="0"/>
        </w:rPr>
        <w:t>②</w:t>
      </w:r>
      <w:r>
        <w:rPr>
          <w:rFonts w:hint="eastAsia" w:eastAsia="宋体"/>
          <w:color w:val="auto"/>
          <w:kern w:val="0"/>
          <w:lang w:val="en-US" w:eastAsia="zh-CN"/>
        </w:rPr>
        <w:t xml:space="preserve"> 提升泵站选址</w:t>
      </w:r>
    </w:p>
    <w:p>
      <w:pPr>
        <w:keepNext w:val="0"/>
        <w:keepLines w:val="0"/>
        <w:pageBreakBefore w:val="0"/>
        <w:widowControl/>
        <w:kinsoku/>
        <w:wordWrap w:val="0"/>
        <w:overflowPunct/>
        <w:topLinePunct w:val="0"/>
        <w:autoSpaceDE/>
        <w:autoSpaceDN/>
        <w:bidi w:val="0"/>
        <w:adjustRightInd/>
        <w:snapToGrid/>
        <w:ind w:firstLine="480"/>
        <w:textAlignment w:val="auto"/>
        <w:rPr>
          <w:rFonts w:hint="default" w:eastAsia="宋体"/>
          <w:color w:val="auto"/>
          <w:kern w:val="0"/>
          <w:lang w:val="en-US" w:eastAsia="zh-CN"/>
        </w:rPr>
      </w:pPr>
      <w:r>
        <w:rPr>
          <w:rFonts w:hint="eastAsia"/>
          <w:color w:val="auto"/>
          <w:kern w:val="0"/>
          <w:lang w:eastAsia="zh-CN"/>
        </w:rPr>
        <w:t>根据项目实际建设情况，本项目在兴龙社区创业大道北侧设置有一处污水提升泵站，主要用于提升东方矿业污水，根据现场调查，东方矿业高程约为：</w:t>
      </w:r>
      <w:r>
        <w:rPr>
          <w:rFonts w:hint="eastAsia"/>
          <w:color w:val="auto"/>
          <w:kern w:val="0"/>
          <w:lang w:val="en-US" w:eastAsia="zh-CN"/>
        </w:rPr>
        <w:t>337m，污水处理厂高程约为291m，东方矿业与污水处理厂中间铺设管道会穿过卡地村居民点处，卡地村居民点高程约为：340m，为了便于污水的收集与传输，在卡地村前端设置一处污水提升泵站，本项目泵站选址距离卡地村居民房最近距离为200米，且污水提升泵站设置为地埋式，可以有效减少泵站运营期噪声对居民的影响。项目泵站选址主要既考虑了污水输送，同时也考虑噪声对环境的影响，因此泵站选址合理。</w:t>
      </w:r>
    </w:p>
    <w:p>
      <w:pPr>
        <w:keepNext w:val="0"/>
        <w:keepLines w:val="0"/>
        <w:pageBreakBefore w:val="0"/>
        <w:widowControl/>
        <w:kinsoku/>
        <w:wordWrap w:val="0"/>
        <w:overflowPunct/>
        <w:topLinePunct w:val="0"/>
        <w:autoSpaceDE/>
        <w:autoSpaceDN/>
        <w:bidi w:val="0"/>
        <w:adjustRightInd/>
        <w:snapToGrid/>
        <w:ind w:firstLine="480"/>
        <w:textAlignment w:val="auto"/>
        <w:rPr>
          <w:rFonts w:hint="eastAsia"/>
          <w:color w:val="auto"/>
          <w:kern w:val="0"/>
        </w:rPr>
      </w:pPr>
      <w:r>
        <w:rPr>
          <w:rFonts w:hint="eastAsia"/>
          <w:color w:val="auto"/>
          <w:kern w:val="0"/>
        </w:rPr>
        <w:t>综上所述，</w:t>
      </w:r>
      <w:r>
        <w:rPr>
          <w:color w:val="auto"/>
          <w:kern w:val="0"/>
        </w:rPr>
        <w:t>本工程选用的工艺成熟可靠、安全有效，能够达到预期的处理效果，处理过程中产生的二次污染经采取措施后能得到有效控制，对周边环境造成不利影响可以</w:t>
      </w:r>
      <w:r>
        <w:rPr>
          <w:rFonts w:hint="eastAsia"/>
          <w:color w:val="auto"/>
          <w:kern w:val="0"/>
        </w:rPr>
        <w:t>接受，项目选址可行。</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4"/>
        <w:rPr>
          <w:rFonts w:hint="eastAsia" w:ascii="Times New Roman" w:hAnsi="Times New Roman" w:eastAsia="宋体" w:cs="Times New Roman"/>
          <w:b/>
          <w:bCs/>
          <w:color w:val="auto"/>
          <w:sz w:val="24"/>
          <w:u w:val="none"/>
          <w:lang w:val="en-US" w:eastAsia="zh-CN"/>
        </w:rPr>
      </w:pPr>
      <w:r>
        <w:rPr>
          <w:rFonts w:hint="eastAsia" w:ascii="Times New Roman" w:hAnsi="Times New Roman" w:eastAsia="宋体" w:cs="Times New Roman"/>
          <w:b/>
          <w:bCs/>
          <w:color w:val="auto"/>
          <w:sz w:val="24"/>
          <w:u w:val="none"/>
          <w:lang w:val="en-US" w:eastAsia="zh-CN"/>
        </w:rPr>
        <w:t>（9）平面布置合理性分析</w:t>
      </w:r>
    </w:p>
    <w:p>
      <w:pPr>
        <w:ind w:firstLine="480"/>
        <w:rPr>
          <w:rFonts w:hint="eastAsia" w:eastAsia="宋体"/>
          <w:color w:val="auto"/>
          <w:kern w:val="0"/>
          <w:u w:val="single"/>
          <w:lang w:eastAsia="zh-CN"/>
        </w:rPr>
      </w:pPr>
      <w:r>
        <w:rPr>
          <w:rFonts w:hint="eastAsia"/>
          <w:color w:val="auto"/>
          <w:kern w:val="0"/>
          <w:u w:val="single"/>
          <w:lang w:eastAsia="zh-CN"/>
        </w:rPr>
        <w:t>根据现场踏勘，本项目已建设完成，本项目建设总体为西南只东北走向的矩形，项目从西南侧进水，依次设置有配套设施用房、调节池（位于配套用房地下）、加药间、</w:t>
      </w:r>
      <w:r>
        <w:rPr>
          <w:rFonts w:hint="eastAsia"/>
          <w:color w:val="auto"/>
          <w:kern w:val="0"/>
          <w:u w:val="single"/>
          <w:lang w:val="en-US" w:eastAsia="zh-CN"/>
        </w:rPr>
        <w:t>4座</w:t>
      </w:r>
      <w:r>
        <w:rPr>
          <w:rFonts w:hint="eastAsia"/>
          <w:color w:val="auto"/>
          <w:kern w:val="0"/>
          <w:u w:val="single"/>
          <w:lang w:eastAsia="zh-CN"/>
        </w:rPr>
        <w:t>反应池、</w:t>
      </w:r>
      <w:r>
        <w:rPr>
          <w:rFonts w:hint="eastAsia"/>
          <w:color w:val="auto"/>
          <w:kern w:val="0"/>
          <w:u w:val="single"/>
          <w:lang w:val="en-US" w:eastAsia="zh-CN"/>
        </w:rPr>
        <w:t>2座混凝反应池、2座絮凝反应池、絮凝沉淀池、二沉池、中间水池、缓冲池、清水池、石英砂过滤、污泥浓缩池、污泥压缩房、在线监控房，</w:t>
      </w:r>
      <w:r>
        <w:rPr>
          <w:rFonts w:hint="eastAsia"/>
          <w:color w:val="auto"/>
          <w:kern w:val="0"/>
          <w:u w:val="single"/>
          <w:lang w:eastAsia="zh-CN"/>
        </w:rPr>
        <w:t>项目排污口设置在东北侧，靠近花垣产业开发区污水处理厂一侧。</w:t>
      </w:r>
    </w:p>
    <w:p>
      <w:pPr>
        <w:autoSpaceDE w:val="0"/>
        <w:autoSpaceDN w:val="0"/>
        <w:adjustRightInd w:val="0"/>
        <w:ind w:firstLine="480"/>
        <w:rPr>
          <w:rFonts w:hint="eastAsia"/>
          <w:color w:val="auto"/>
          <w:kern w:val="0"/>
          <w:u w:val="single"/>
        </w:rPr>
      </w:pPr>
      <w:r>
        <w:rPr>
          <w:rFonts w:hint="eastAsia"/>
          <w:color w:val="auto"/>
          <w:kern w:val="0"/>
          <w:u w:val="single"/>
        </w:rPr>
        <w:t>为了节省工程征地费用及工程投资，污水厂布置应满足各构建筑物的功能和流程要求，结合厂址地形、气象和地质条件等因素以布置紧凑为基本原则，同时考虑与远期工程总体布置的衔接和交通连接。本项目总图布置充分考虑了当地条件，布局紧凑合理、节约用地，对场内外环境影响较小，从环境角度上来看是合理的。</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4"/>
        <w:rPr>
          <w:rFonts w:hint="eastAsia" w:ascii="Times New Roman" w:hAnsi="Times New Roman" w:eastAsia="宋体" w:cs="Times New Roman"/>
          <w:b/>
          <w:bCs/>
          <w:sz w:val="24"/>
          <w:u w:val="none"/>
          <w:lang w:val="en-US" w:eastAsia="zh-CN"/>
        </w:rPr>
      </w:pPr>
      <w:r>
        <w:rPr>
          <w:rFonts w:hint="eastAsia" w:ascii="Times New Roman" w:hAnsi="Times New Roman" w:eastAsia="宋体" w:cs="Times New Roman"/>
          <w:b/>
          <w:bCs/>
          <w:sz w:val="24"/>
          <w:u w:val="none"/>
          <w:lang w:val="en-US" w:eastAsia="zh-CN"/>
        </w:rPr>
        <w:t>（10）处理工艺达标可行性分析</w:t>
      </w:r>
    </w:p>
    <w:p>
      <w:pPr>
        <w:ind w:firstLine="480"/>
        <w:rPr>
          <w:rFonts w:hint="eastAsia"/>
          <w:color w:val="000000"/>
          <w:kern w:val="0"/>
          <w:u w:val="single"/>
        </w:rPr>
      </w:pPr>
      <w:r>
        <w:rPr>
          <w:rFonts w:hint="eastAsia"/>
          <w:color w:val="000000"/>
          <w:kern w:val="0"/>
        </w:rPr>
        <w:t>根据建设单位提供的资料，本项目采取“化学混凝沉淀分离+石英砂过滤”处理方法，涉重企业排放的废水通过输送管网输送至工业区废水站调节池，在调节池内进行水量水质的均衡。</w:t>
      </w:r>
      <w:r>
        <w:rPr>
          <w:rFonts w:hint="eastAsia"/>
          <w:color w:val="000000"/>
          <w:kern w:val="0"/>
          <w:u w:val="single"/>
        </w:rPr>
        <w:t>调节池的废水由提升泵提升进入二级混凝沉淀处理系统，该系统由反应池1#、反应池2#、混凝反应池1#、絮凝反应池1#、二沉池和反应池3#、反应池4#、混凝反应池2#、絮凝反应池2#、絮凝沉淀池组成，投加片碱、生物制剂和混凝、絮凝药剂，进行反应，然后进行入沉淀段进行固液分离；固液分离后出水进入中间水池投加酸调节pH 至中性，出水泵入至石英砂过滤器，过滤掉水中细微悬浮物。最终出水可直接通过管网输送至工</w:t>
      </w:r>
      <w:r>
        <w:rPr>
          <w:rFonts w:hint="eastAsia"/>
          <w:color w:val="000000"/>
          <w:kern w:val="0"/>
          <w:u w:val="single"/>
          <w:lang w:eastAsia="zh-CN"/>
        </w:rPr>
        <w:t>花垣产业开发区</w:t>
      </w:r>
      <w:r>
        <w:rPr>
          <w:rFonts w:hint="eastAsia"/>
          <w:color w:val="000000"/>
          <w:kern w:val="0"/>
          <w:u w:val="single"/>
        </w:rPr>
        <w:t>集中污水处理厂进水口。污泥池上清液、板框压滤机滤液、石英砂过滤器反洗水引回调节池重新处理。处理系统产生的污泥间歇排泥，采用重力自流排泥至污泥浓缩池浓缩，浓缩污泥利用污泥泵输送至污泥脱水机脱水后打包外运处置。</w:t>
      </w:r>
    </w:p>
    <w:p>
      <w:pPr>
        <w:ind w:firstLine="480"/>
        <w:rPr>
          <w:rFonts w:hint="eastAsia"/>
          <w:color w:val="000000"/>
          <w:kern w:val="0"/>
          <w:lang w:eastAsia="zh-CN"/>
        </w:rPr>
      </w:pPr>
      <w:r>
        <w:rPr>
          <w:rFonts w:hint="eastAsia"/>
          <w:color w:val="000000"/>
          <w:kern w:val="0"/>
          <w:lang w:eastAsia="zh-CN"/>
        </w:rPr>
        <w:t>根据</w:t>
      </w:r>
      <w:r>
        <w:rPr>
          <w:rFonts w:hint="eastAsia"/>
          <w:color w:val="000000"/>
          <w:kern w:val="0"/>
        </w:rPr>
        <w:t>长沙赛恩斯环保科技有限公司编制完成</w:t>
      </w:r>
      <w:r>
        <w:rPr>
          <w:rFonts w:hint="eastAsia"/>
          <w:color w:val="000000"/>
          <w:kern w:val="0"/>
          <w:lang w:eastAsia="zh-CN"/>
        </w:rPr>
        <w:t>的</w:t>
      </w:r>
      <w:r>
        <w:rPr>
          <w:rFonts w:hint="eastAsia"/>
          <w:color w:val="000000"/>
          <w:kern w:val="0"/>
        </w:rPr>
        <w:t>《花垣县工业集中区重金属废水处理工程验收监测报告》SAL环监验字【2020】第007号</w:t>
      </w:r>
      <w:r>
        <w:rPr>
          <w:rFonts w:hint="eastAsia"/>
          <w:color w:val="000000"/>
          <w:kern w:val="0"/>
          <w:lang w:eastAsia="zh-CN"/>
        </w:rPr>
        <w:t>可知，监测期间污水处理站总锰去</w:t>
      </w:r>
      <w:r>
        <w:rPr>
          <w:rFonts w:hint="eastAsia"/>
          <w:color w:val="auto"/>
          <w:kern w:val="0"/>
          <w:lang w:eastAsia="zh-CN"/>
        </w:rPr>
        <w:t>除率为99.9%，总钒指标达到《钒工业污染物排放标准》GB 26452-2011中表</w:t>
      </w:r>
      <w:r>
        <w:rPr>
          <w:rFonts w:hint="eastAsia"/>
          <w:color w:val="auto"/>
          <w:kern w:val="0"/>
          <w:lang w:val="en-US" w:eastAsia="zh-CN"/>
        </w:rPr>
        <w:t>2</w:t>
      </w:r>
      <w:r>
        <w:rPr>
          <w:rFonts w:hint="eastAsia"/>
          <w:color w:val="auto"/>
          <w:kern w:val="0"/>
          <w:lang w:eastAsia="zh-CN"/>
        </w:rPr>
        <w:t>的规定，其他废水污染物指标总锰、总铬、六价铬、总锌、总铅达到《城镇污水处理厂污</w:t>
      </w:r>
      <w:r>
        <w:rPr>
          <w:rFonts w:hint="eastAsia"/>
          <w:color w:val="000000"/>
          <w:kern w:val="0"/>
          <w:lang w:eastAsia="zh-CN"/>
        </w:rPr>
        <w:t>染物排放标准》GB18918-2002 表2表3的规定。</w:t>
      </w:r>
    </w:p>
    <w:p>
      <w:pPr>
        <w:keepNext w:val="0"/>
        <w:keepLines w:val="0"/>
        <w:pageBreakBefore w:val="0"/>
        <w:widowControl/>
        <w:kinsoku/>
        <w:wordWrap w:val="0"/>
        <w:overflowPunct/>
        <w:topLinePunct w:val="0"/>
        <w:autoSpaceDE/>
        <w:autoSpaceDN/>
        <w:bidi w:val="0"/>
        <w:adjustRightInd/>
        <w:snapToGrid/>
        <w:ind w:firstLine="480"/>
        <w:textAlignment w:val="auto"/>
        <w:rPr>
          <w:rFonts w:hint="eastAsia"/>
          <w:color w:val="000000"/>
          <w:kern w:val="0"/>
          <w:u w:val="single"/>
          <w:lang w:eastAsia="zh-CN"/>
        </w:rPr>
      </w:pPr>
      <w:r>
        <w:rPr>
          <w:rFonts w:hint="eastAsia"/>
          <w:color w:val="000000"/>
          <w:kern w:val="0"/>
          <w:u w:val="single"/>
          <w:lang w:eastAsia="zh-CN"/>
        </w:rPr>
        <w:t>根据建设单位提供资料，项目工程验收时由于花垣县产业开发区污水处理厂还未建设完成，工程验收期间废水经处理后达标排入现花垣产业开发区</w:t>
      </w:r>
      <w:r>
        <w:rPr>
          <w:rFonts w:hint="eastAsia"/>
          <w:color w:val="000000"/>
          <w:kern w:val="0"/>
          <w:u w:val="single"/>
          <w:lang w:val="en-US" w:eastAsia="zh-CN"/>
        </w:rPr>
        <w:t>临时</w:t>
      </w:r>
      <w:r>
        <w:rPr>
          <w:rFonts w:hint="eastAsia"/>
          <w:color w:val="000000"/>
          <w:kern w:val="0"/>
          <w:u w:val="single"/>
          <w:lang w:eastAsia="zh-CN"/>
        </w:rPr>
        <w:t>污水处理站处理，经</w:t>
      </w:r>
      <w:r>
        <w:rPr>
          <w:rFonts w:hint="eastAsia"/>
          <w:color w:val="000000"/>
          <w:kern w:val="0"/>
          <w:u w:val="single"/>
          <w:lang w:val="en-US" w:eastAsia="zh-CN"/>
        </w:rPr>
        <w:t>临时</w:t>
      </w:r>
      <w:r>
        <w:rPr>
          <w:rFonts w:hint="eastAsia"/>
          <w:color w:val="000000"/>
          <w:kern w:val="0"/>
          <w:u w:val="single"/>
          <w:lang w:eastAsia="zh-CN"/>
        </w:rPr>
        <w:t>污水处理站处理达标后排入花垣河。</w:t>
      </w:r>
      <w:r>
        <w:rPr>
          <w:rFonts w:hint="eastAsia"/>
          <w:color w:val="auto"/>
          <w:kern w:val="0"/>
          <w:u w:val="single"/>
          <w:lang w:eastAsia="zh-CN"/>
        </w:rPr>
        <w:t>根据调查，由于花垣县工业集中区污水处理厂还未建设完成，现花垣工业集</w:t>
      </w:r>
      <w:r>
        <w:rPr>
          <w:rFonts w:hint="eastAsia"/>
          <w:color w:val="000000"/>
          <w:kern w:val="0"/>
          <w:u w:val="single"/>
          <w:lang w:eastAsia="zh-CN"/>
        </w:rPr>
        <w:t>中区建设有一座临时污水处理厂，临时污水处理厂出水达到《城镇污水处理厂污染物排放标准》（GB18918-2002）中一级A标准后外排至花垣河，处理规模280m</w:t>
      </w:r>
      <w:r>
        <w:rPr>
          <w:rFonts w:hint="eastAsia"/>
          <w:color w:val="000000"/>
          <w:kern w:val="0"/>
          <w:u w:val="single"/>
          <w:vertAlign w:val="superscript"/>
          <w:lang w:eastAsia="zh-CN"/>
        </w:rPr>
        <w:t>3</w:t>
      </w:r>
      <w:r>
        <w:rPr>
          <w:rFonts w:hint="eastAsia"/>
          <w:color w:val="000000"/>
          <w:kern w:val="0"/>
          <w:u w:val="single"/>
          <w:lang w:eastAsia="zh-CN"/>
        </w:rPr>
        <w:t>/d，于2017年12月25日一体化污水处理设施完成在线监控装置并联网运行，2018年5月25日完成污水处理设施调试运行工作，其服务期限为2017年12月至花垣工业集中区污水处理厂正式运行，采用“A</w:t>
      </w:r>
      <w:r>
        <w:rPr>
          <w:rFonts w:hint="eastAsia"/>
          <w:color w:val="000000"/>
          <w:kern w:val="0"/>
          <w:u w:val="single"/>
          <w:vertAlign w:val="superscript"/>
          <w:lang w:eastAsia="zh-CN"/>
        </w:rPr>
        <w:t>2</w:t>
      </w:r>
      <w:r>
        <w:rPr>
          <w:rFonts w:hint="eastAsia"/>
          <w:color w:val="000000"/>
          <w:kern w:val="0"/>
          <w:u w:val="single"/>
          <w:lang w:eastAsia="zh-CN"/>
        </w:rPr>
        <w:t>O+水解酸化”工艺，本项目废水在花垣县工业集中区污水处理厂运营前出水可接入该临时污水处理厂。</w:t>
      </w:r>
    </w:p>
    <w:p>
      <w:pPr>
        <w:keepNext w:val="0"/>
        <w:keepLines w:val="0"/>
        <w:pageBreakBefore w:val="0"/>
        <w:widowControl/>
        <w:kinsoku/>
        <w:wordWrap w:val="0"/>
        <w:overflowPunct/>
        <w:topLinePunct w:val="0"/>
        <w:autoSpaceDE/>
        <w:autoSpaceDN/>
        <w:bidi w:val="0"/>
        <w:adjustRightInd/>
        <w:snapToGrid/>
        <w:ind w:firstLine="480"/>
        <w:textAlignment w:val="auto"/>
        <w:rPr>
          <w:rFonts w:hint="eastAsia"/>
          <w:color w:val="000000"/>
          <w:kern w:val="0"/>
          <w:lang w:eastAsia="zh-CN"/>
        </w:rPr>
      </w:pPr>
      <w:r>
        <w:rPr>
          <w:rFonts w:hint="eastAsia"/>
          <w:color w:val="auto"/>
          <w:kern w:val="0"/>
          <w:lang w:eastAsia="zh-CN"/>
        </w:rPr>
        <w:t>花垣工业集中区污水处理厂于</w:t>
      </w:r>
      <w:r>
        <w:rPr>
          <w:rFonts w:hint="eastAsia"/>
          <w:color w:val="auto"/>
          <w:kern w:val="0"/>
          <w:lang w:val="en-US" w:eastAsia="zh-CN"/>
        </w:rPr>
        <w:t>2013年取得了原湘西州环境保护局的环评批复，于2018年开始施工建设，目前已完成主体工程的建设，还未正式运营，</w:t>
      </w:r>
      <w:r>
        <w:rPr>
          <w:rFonts w:hint="eastAsia"/>
          <w:color w:val="auto"/>
          <w:kern w:val="0"/>
          <w:lang w:eastAsia="zh-CN"/>
        </w:rPr>
        <w:t>预计</w:t>
      </w:r>
      <w:r>
        <w:rPr>
          <w:rFonts w:hint="eastAsia"/>
          <w:color w:val="auto"/>
          <w:kern w:val="0"/>
          <w:lang w:val="en-US" w:eastAsia="zh-CN"/>
        </w:rPr>
        <w:t>2022年12月建设完成，采用污水处理工艺为“格栅+调节池+水 解酸化+A/O池+机械絮凝-纤维转盘滤布滤池+紫外消毒+计量井”，污水处理厂设计总规模20000m³/d。</w:t>
      </w:r>
      <w:r>
        <w:rPr>
          <w:rFonts w:hint="eastAsia"/>
          <w:color w:val="auto"/>
          <w:kern w:val="0"/>
          <w:lang w:eastAsia="zh-CN"/>
        </w:rPr>
        <w:t>待本项目正</w:t>
      </w:r>
      <w:r>
        <w:rPr>
          <w:rFonts w:hint="eastAsia"/>
          <w:color w:val="000000"/>
          <w:kern w:val="0"/>
          <w:lang w:eastAsia="zh-CN"/>
        </w:rPr>
        <w:t>式运营后，本项目废水处理达标排入花垣县产业开发区污水处理厂进行进一步处理。根据花垣县产业开发区污水处理厂的环评报告以及其入河排污口论证报告可知，花垣产业开发区污水处理厂纳污范围为工业集中区西部新规划区近期开发建设区域的废水，其服务范围为花垣县产业开发区西部新规划区A2-B1路以东、B1-B2路以南、张花高速以西、B9路以北的区域，服务面积约为5.0134km</w:t>
      </w:r>
      <w:r>
        <w:rPr>
          <w:rFonts w:hint="eastAsia"/>
          <w:color w:val="000000"/>
          <w:kern w:val="0"/>
          <w:vertAlign w:val="superscript"/>
          <w:lang w:eastAsia="zh-CN"/>
        </w:rPr>
        <w:t>2</w:t>
      </w:r>
      <w:r>
        <w:rPr>
          <w:rFonts w:hint="eastAsia"/>
          <w:color w:val="000000"/>
          <w:kern w:val="0"/>
          <w:lang w:eastAsia="zh-CN"/>
        </w:rPr>
        <w:t>。本项目纳污范围也属于花垣产业开发区污水处理厂的纳污范围，该项目的处理规模以及处理工艺已考虑到本项目的废水，且花垣产业开发区污水处理厂尾水可以达到《城市污水处理厂污染物排放标准》（GB18918-2002）一级标准的A标准排放至花垣河。根据花垣县产业开发区污水处理厂的环评报告以及其入河排污口论证报告已对纳污范围内的重金属废水进行了达标论证，本次环评不再重新论证废水排入花垣产业开发区污水处理厂处理后达标排放的可行性分析。</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4"/>
        <w:rPr>
          <w:rFonts w:hint="eastAsia" w:ascii="Times New Roman" w:hAnsi="Times New Roman" w:eastAsia="宋体" w:cs="Times New Roman"/>
          <w:b/>
          <w:bCs/>
          <w:sz w:val="24"/>
          <w:u w:val="none"/>
          <w:lang w:val="en-US" w:eastAsia="zh-CN"/>
        </w:rPr>
      </w:pPr>
      <w:r>
        <w:rPr>
          <w:rFonts w:hint="eastAsia" w:ascii="Times New Roman" w:hAnsi="Times New Roman" w:eastAsia="宋体" w:cs="Times New Roman"/>
          <w:b/>
          <w:bCs/>
          <w:sz w:val="24"/>
          <w:u w:val="none"/>
          <w:lang w:val="en-US" w:eastAsia="zh-CN"/>
        </w:rPr>
        <w:t>（11）排污口设置的合理性分析</w:t>
      </w:r>
    </w:p>
    <w:p>
      <w:pPr>
        <w:ind w:firstLine="480"/>
        <w:rPr>
          <w:rFonts w:hint="eastAsia" w:cs="宋体"/>
          <w:kern w:val="0"/>
        </w:rPr>
      </w:pPr>
      <w:r>
        <w:rPr>
          <w:rFonts w:hint="eastAsia"/>
          <w:lang w:eastAsia="zh-CN"/>
        </w:rPr>
        <w:t>本项目建设不新增排污口，本项目废水处理达标排入花垣县产业开发区污水处理厂进行进一步处理。根据花垣县产业开发区污水处理厂的环评报告以及其入河排污口论证报告可知，该项目的处理规模以及处理工艺已考虑到本项目的废水，且花垣产业开发区污水处理厂尾水可以达到《城市污水处理厂污染物排放标准》（GB18918-2002）一级标准的A标准排放至花垣河。花垣县产业开发区污水处理厂已编制了入河排污口论证报告，本次环评不再重新论证废水排入花垣产业开发区污水处理厂处理后达标排放的可行性分析以及排污口设置的合理性分析</w:t>
      </w:r>
      <w:r>
        <w:rPr>
          <w:rFonts w:hint="eastAsia" w:cs="宋体"/>
          <w:kern w:val="0"/>
        </w:rPr>
        <w:t>。</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4"/>
        <w:rPr>
          <w:rFonts w:hint="eastAsia" w:ascii="Times New Roman" w:hAnsi="Times New Roman" w:eastAsia="宋体" w:cs="Times New Roman"/>
          <w:b/>
          <w:bCs/>
          <w:sz w:val="24"/>
          <w:u w:val="none"/>
          <w:lang w:val="en-US" w:eastAsia="zh-CN"/>
        </w:rPr>
      </w:pPr>
      <w:r>
        <w:rPr>
          <w:rFonts w:hint="eastAsia" w:ascii="Times New Roman" w:hAnsi="Times New Roman" w:eastAsia="宋体" w:cs="Times New Roman"/>
          <w:b/>
          <w:bCs/>
          <w:sz w:val="24"/>
          <w:u w:val="none"/>
          <w:lang w:val="en-US" w:eastAsia="zh-CN"/>
        </w:rPr>
        <w:t>（12）工程建设必要性分析</w:t>
      </w:r>
    </w:p>
    <w:p>
      <w:pPr>
        <w:widowControl w:val="0"/>
        <w:suppressAutoHyphens/>
        <w:wordWrap w:val="0"/>
        <w:topLinePunct/>
        <w:ind w:firstLine="480"/>
        <w:rPr>
          <w:rFonts w:hint="eastAsia"/>
          <w:lang w:eastAsia="zh-CN"/>
        </w:rPr>
      </w:pPr>
      <w:bookmarkStart w:id="18" w:name="_Toc489349355"/>
      <w:bookmarkStart w:id="19" w:name="_Toc460230827"/>
      <w:bookmarkStart w:id="20" w:name="_Toc489350275"/>
      <w:bookmarkStart w:id="21" w:name="_Toc489350009"/>
      <w:bookmarkStart w:id="22" w:name="_Toc489350174"/>
      <w:r>
        <w:rPr>
          <w:rFonts w:hint="eastAsia"/>
          <w:lang w:eastAsia="zh-CN"/>
        </w:rPr>
        <w:t>项目区域所在的地区是《湖南省重金属污染综合防治“十三五”规划》选定的综合防治重点规划单元之一，也是《湘渝黔“锰三角”湖南区域重金属污染防治实施方案》中计划治理区域。环境问题不仅给当地居民饮水、生态成严重威胁，也对周边临近区域造成环境威胁。</w:t>
      </w:r>
    </w:p>
    <w:p>
      <w:pPr>
        <w:widowControl w:val="0"/>
        <w:suppressAutoHyphens/>
        <w:wordWrap w:val="0"/>
        <w:topLinePunct/>
        <w:ind w:firstLine="480"/>
        <w:rPr>
          <w:rFonts w:hint="eastAsia"/>
          <w:color w:val="auto"/>
        </w:rPr>
      </w:pPr>
      <w:r>
        <w:rPr>
          <w:rFonts w:hint="eastAsia"/>
          <w:lang w:eastAsia="zh-CN"/>
        </w:rPr>
        <w:t>本项目的实施是整个锰三角区域环境治理工程的组成部分，能够进一步减少进入花垣河的污染源。项目的实施是立足花垣地区两型社会建设、落实科学发展观、维护区域经济均衡发展、普及公共服务的必要举措；项目的实施能够巩固区域的和谐与稳定、能够体现以人为本的思想，对花垣县的资源型经济起着十分关键的作用。</w:t>
      </w:r>
      <w:r>
        <w:t>作为花垣县工业集中区污水处理厂的预处理设施对涉重企业排放的含重金属</w:t>
      </w:r>
      <w:r>
        <w:rPr>
          <w:color w:val="auto"/>
        </w:rPr>
        <w:t>废水进行处理。本项目建设的目的为解决</w:t>
      </w:r>
      <w:r>
        <w:rPr>
          <w:rFonts w:hint="eastAsia"/>
          <w:color w:val="auto"/>
          <w:lang w:eastAsia="zh-CN"/>
        </w:rPr>
        <w:t>花垣县工业集中区</w:t>
      </w:r>
      <w:r>
        <w:rPr>
          <w:rFonts w:hint="eastAsia"/>
          <w:color w:val="auto"/>
          <w:kern w:val="0"/>
          <w:szCs w:val="20"/>
          <w:lang w:eastAsia="zh-CN"/>
        </w:rPr>
        <w:t>重金属废水环境风险问题</w:t>
      </w:r>
      <w:r>
        <w:rPr>
          <w:color w:val="auto"/>
        </w:rPr>
        <w:t>。</w:t>
      </w:r>
      <w:r>
        <w:rPr>
          <w:rFonts w:hint="eastAsia"/>
          <w:color w:val="auto"/>
        </w:rPr>
        <w:t>本项目的实施为重金属废水达标进入花垣县工业集中区污水处理厂提供保障，对该园区重金属减排、环境风险防控等作用明显</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4"/>
        <w:rPr>
          <w:rFonts w:hint="eastAsia" w:ascii="Times New Roman" w:hAnsi="Times New Roman" w:eastAsia="宋体" w:cs="Times New Roman"/>
          <w:b/>
          <w:bCs/>
          <w:sz w:val="24"/>
          <w:u w:val="none"/>
          <w:lang w:val="en-US" w:eastAsia="zh-CN"/>
        </w:rPr>
      </w:pPr>
      <w:r>
        <w:rPr>
          <w:rFonts w:hint="eastAsia" w:ascii="Times New Roman" w:hAnsi="Times New Roman" w:eastAsia="宋体" w:cs="Times New Roman"/>
          <w:b/>
          <w:bCs/>
          <w:sz w:val="24"/>
          <w:u w:val="none"/>
          <w:lang w:val="en-US" w:eastAsia="zh-CN"/>
        </w:rPr>
        <w:t>（13）项目与《关于进一步规范城镇（园区）污水处理环境管理的通知》(环水体【2020】71号)符合性分析</w:t>
      </w:r>
    </w:p>
    <w:p>
      <w:pPr>
        <w:widowControl w:val="0"/>
        <w:suppressAutoHyphens/>
        <w:wordWrap w:val="0"/>
        <w:topLinePunct/>
        <w:ind w:firstLine="480"/>
        <w:rPr>
          <w:rFonts w:hint="eastAsia" w:ascii="Times New Roman" w:hAnsi="Times New Roman" w:eastAsia="宋体" w:cs="Times New Roman"/>
          <w:lang w:eastAsia="zh-CN"/>
        </w:rPr>
      </w:pPr>
      <w:r>
        <w:rPr>
          <w:rFonts w:hint="eastAsia" w:ascii="Times New Roman" w:hAnsi="Times New Roman" w:eastAsia="宋体" w:cs="Times New Roman"/>
          <w:lang w:eastAsia="zh-CN"/>
        </w:rPr>
        <w:t>根据《关于进一步规范城镇（园区）污水处理环境管理的通知》(环水体【2020】71号)中二、(四)督促运营单位切实履行对污水处理厂出水水质负则的法定责任。新建、改建、扩建污水处理项目环境影响评价，要将服务范围内污水调查情况作为重要内容。强化对运营单位突发环境事件处理处置的指导和监督。督促运营单位向社会公开有关运营维护和污染物排放信息；</w:t>
      </w:r>
    </w:p>
    <w:p>
      <w:pPr>
        <w:widowControl w:val="0"/>
        <w:suppressAutoHyphens/>
        <w:wordWrap w:val="0"/>
        <w:topLinePunct/>
        <w:ind w:firstLine="480"/>
        <w:rPr>
          <w:rFonts w:hint="eastAsia" w:ascii="Times New Roman" w:hAnsi="Times New Roman" w:eastAsia="宋体" w:cs="Times New Roman"/>
          <w:lang w:eastAsia="zh-CN"/>
        </w:rPr>
      </w:pPr>
      <w:r>
        <w:rPr>
          <w:rFonts w:hint="eastAsia" w:ascii="Times New Roman" w:hAnsi="Times New Roman" w:eastAsia="宋体" w:cs="Times New Roman"/>
          <w:lang w:eastAsia="zh-CN"/>
        </w:rPr>
        <w:t>三、(一)明确污染物排放管控要求。各地要根据受纳水体生态环境功能等需要，依法依规明确城镇(园区)污水处理厂污染物排放管控要求，既要避免管控要求一味加严，增加不必要的治污成本，又要防止管控要求过于宽松，无法满足水生态环境保护要求。污水处理厂出水用于绿化、农灌等用途的，可根据用途需要，科学合理确定管控要求，并达到相应污水再生利用标准。相关管控要求要在排污许可证中载明并严格执行。水生态环境改善任务较重、生态用水缺乏的地区，可指导各地通过在污水处理厂排污口下游、河流入湖口等关键节点建设人工湿地水质净化工程等生态措施，与污水处理厂共同发挥作用，进一步改善水生态环境质量。</w:t>
      </w:r>
    </w:p>
    <w:p>
      <w:pPr>
        <w:widowControl w:val="0"/>
        <w:suppressAutoHyphens/>
        <w:wordWrap w:val="0"/>
        <w:topLinePunct/>
        <w:ind w:firstLine="480"/>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属于园区集中式的新建重金属废水处理项目，项目正在编制环评手续，本项目通过对纳污范围企业环保手续以及实际运营情况对纳污范围内污水情况进行了调查，并在污水进出口设置了废水在线监控设施，并要求运营单位在运营过程中向社会公开项目污染物排放信息，本项目含一类污染物（铬、铅）的废水经处理在车间</w:t>
      </w:r>
      <w:r>
        <w:rPr>
          <w:rFonts w:hint="eastAsia" w:ascii="Times New Roman" w:hAnsi="Times New Roman" w:eastAsia="宋体" w:cs="Times New Roman"/>
          <w:color w:val="auto"/>
          <w:lang w:eastAsia="zh-CN"/>
        </w:rPr>
        <w:t>排口达到《污水综合排放标准》( GB8978-1996)表1最高允许排放浓度要求后方可接管，本项目废水经处理后出水水质总钒指标执行《钒工业污染物排放标准》（GB26452-2001）表</w:t>
      </w:r>
      <w:r>
        <w:rPr>
          <w:rFonts w:hint="eastAsia" w:ascii="Times New Roman" w:hAnsi="Times New Roman" w:eastAsia="宋体" w:cs="Times New Roman"/>
          <w:color w:val="auto"/>
          <w:lang w:val="en-US" w:eastAsia="zh-CN"/>
        </w:rPr>
        <w:t>2标准限值</w:t>
      </w:r>
      <w:r>
        <w:rPr>
          <w:rFonts w:hint="eastAsia" w:ascii="Times New Roman" w:hAnsi="Times New Roman" w:eastAsia="宋体" w:cs="Times New Roman"/>
          <w:color w:val="auto"/>
          <w:lang w:eastAsia="zh-CN"/>
        </w:rPr>
        <w:t>，其他污染</w:t>
      </w:r>
      <w:r>
        <w:rPr>
          <w:rFonts w:hint="eastAsia" w:ascii="Times New Roman" w:hAnsi="Times New Roman" w:eastAsia="宋体" w:cs="Times New Roman"/>
          <w:lang w:eastAsia="zh-CN"/>
        </w:rPr>
        <w:t>物指标可以达到《城镇污水处理厂污染物排放标准》（GB18918-2002）表2、表3中标准限值要求，因此，本项目建设与《关于进一步规范城镇（园区）污水处理环境管理的通知》(环水体【2020】71号)的要求相符合。</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4"/>
        <w:rPr>
          <w:rFonts w:hint="eastAsia" w:ascii="Times New Roman" w:hAnsi="Times New Roman" w:eastAsia="宋体" w:cs="Times New Roman"/>
          <w:b/>
          <w:bCs/>
          <w:sz w:val="24"/>
          <w:u w:val="none"/>
          <w:lang w:val="en-US" w:eastAsia="zh-CN"/>
        </w:rPr>
      </w:pPr>
      <w:r>
        <w:rPr>
          <w:rFonts w:hint="eastAsia" w:ascii="Times New Roman" w:hAnsi="Times New Roman" w:eastAsia="宋体" w:cs="Times New Roman"/>
          <w:b/>
          <w:bCs/>
          <w:sz w:val="24"/>
          <w:u w:val="none"/>
          <w:lang w:val="en-US" w:eastAsia="zh-CN"/>
        </w:rPr>
        <w:t>（14）项目与《关于进一步规范和加强产业园区生态环境管理的通知》(湘发改【2020】27号)符合性分析</w:t>
      </w:r>
    </w:p>
    <w:p>
      <w:pPr>
        <w:widowControl w:val="0"/>
        <w:suppressAutoHyphens/>
        <w:wordWrap w:val="0"/>
        <w:topLinePunct/>
        <w:spacing w:line="360" w:lineRule="auto"/>
        <w:ind w:firstLine="480"/>
        <w:rPr>
          <w:rFonts w:hint="eastAsia" w:ascii="Times New Roman" w:hAnsi="Times New Roman" w:eastAsia="宋体" w:cs="Times New Roman"/>
          <w:lang w:eastAsia="zh-CN"/>
        </w:rPr>
      </w:pPr>
      <w:r>
        <w:rPr>
          <w:rFonts w:hint="eastAsia" w:ascii="Times New Roman" w:hAnsi="Times New Roman" w:eastAsia="宋体" w:cs="Times New Roman"/>
          <w:lang w:eastAsia="zh-CN"/>
        </w:rPr>
        <w:t>根据文件要求：二、加强园区环境基础设施建设；（四）加强园区废水收集处理。园区要按规定配套建设污水集中处理设施，安装进、出水自动在线监控系统，并与生态环境部门污染源在线监控管理平台联网。园区新建和调区扩区过程中应同步规划污水收集管网，按照“适度超前”原则建设污水管网，确保污水全收集。化工、有色等专业园区应加快改造现有管网，采用专用密闭管道输送废水，逐步实现“一企一管”和可视可监测要求。园区管理机构应建立排水系统监管制度和管理档案，全面排查整治管网错接混接、老旧破损、设施不能稳定达标运行等问题。规范设置园区集中污水处理设施排污口，原则上一个园区只设置一个排污口。</w:t>
      </w:r>
    </w:p>
    <w:p>
      <w:pPr>
        <w:widowControl w:val="0"/>
        <w:suppressAutoHyphens/>
        <w:wordWrap w:val="0"/>
        <w:topLinePunct/>
        <w:ind w:firstLine="480"/>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属于园区重金属废水集中式处理工程，项目安装进、出水自动在线监控系统，并与生态环境部门污染源在线监控管理平台联网，本项目废水经处理后达标接入花垣工业集中区污水处理厂进一步处理，本项目不新建排污口，依托花垣工业集中区污水处理厂排污口，满足原则上一个园区只设置一个排污口的要求。</w:t>
      </w:r>
    </w:p>
    <w:bookmarkEnd w:id="18"/>
    <w:bookmarkEnd w:id="19"/>
    <w:bookmarkEnd w:id="20"/>
    <w:bookmarkEnd w:id="21"/>
    <w:bookmarkEnd w:id="22"/>
    <w:p>
      <w:pPr>
        <w:pStyle w:val="86"/>
        <w:spacing w:before="163" w:after="163"/>
        <w:rPr>
          <w:rFonts w:hint="eastAsia"/>
          <w:color w:val="000000"/>
          <w:kern w:val="0"/>
        </w:rPr>
      </w:pPr>
      <w:bookmarkStart w:id="23" w:name="_Toc4614"/>
      <w:bookmarkStart w:id="24" w:name="_Toc29308641"/>
      <w:r>
        <w:rPr>
          <w:rFonts w:hint="eastAsia"/>
          <w:color w:val="000000"/>
          <w:kern w:val="0"/>
          <w:lang w:val="en-US" w:eastAsia="zh-CN"/>
        </w:rPr>
        <w:t>5</w:t>
      </w:r>
      <w:r>
        <w:rPr>
          <w:rFonts w:hint="eastAsia"/>
          <w:color w:val="000000"/>
          <w:kern w:val="0"/>
        </w:rPr>
        <w:t>、关注的主要环境问题及环境影响</w:t>
      </w:r>
      <w:bookmarkEnd w:id="23"/>
      <w:bookmarkEnd w:id="24"/>
    </w:p>
    <w:p>
      <w:pPr>
        <w:pStyle w:val="16"/>
        <w:ind w:left="0" w:right="108" w:firstLine="480" w:firstLineChars="200"/>
        <w:jc w:val="both"/>
        <w:rPr>
          <w:rFonts w:hint="eastAsia" w:ascii="Times New Roman" w:hAnsi="Times New Roman"/>
          <w:b/>
          <w:color w:val="000000"/>
          <w:lang w:eastAsia="zh-CN"/>
        </w:rPr>
      </w:pPr>
      <w:r>
        <w:rPr>
          <w:rFonts w:hint="eastAsia" w:ascii="Times New Roman" w:hAnsi="Times New Roman"/>
          <w:color w:val="000000"/>
          <w:lang w:eastAsia="zh-CN"/>
        </w:rPr>
        <w:t>本项目关注的主要环境问题如下：</w:t>
      </w:r>
    </w:p>
    <w:p>
      <w:pPr>
        <w:ind w:firstLine="480"/>
        <w:rPr>
          <w:rFonts w:hint="eastAsia"/>
          <w:color w:val="000000"/>
          <w:kern w:val="0"/>
        </w:rPr>
      </w:pPr>
      <w:r>
        <w:rPr>
          <w:color w:val="000000"/>
          <w:kern w:val="0"/>
        </w:rPr>
        <w:t>（1</w:t>
      </w:r>
      <w:r>
        <w:rPr>
          <w:rFonts w:hint="eastAsia"/>
          <w:color w:val="000000"/>
          <w:kern w:val="0"/>
        </w:rPr>
        <w:t>）</w:t>
      </w:r>
      <w:r>
        <w:rPr>
          <w:rFonts w:hint="eastAsia"/>
          <w:color w:val="000000"/>
          <w:kern w:val="0"/>
          <w:lang w:eastAsia="zh-CN"/>
        </w:rPr>
        <w:t>项目主体工程已建设完成，施工完毕，本环评主要回顾</w:t>
      </w:r>
      <w:r>
        <w:rPr>
          <w:rFonts w:hint="eastAsia"/>
          <w:color w:val="000000"/>
          <w:kern w:val="0"/>
        </w:rPr>
        <w:t>工程建设阶段，破坏地表植被，占用土地和部分自然资源，并对</w:t>
      </w:r>
      <w:r>
        <w:rPr>
          <w:rFonts w:hint="eastAsia"/>
          <w:color w:val="000000"/>
          <w:kern w:val="0"/>
          <w:lang w:eastAsia="zh-CN"/>
        </w:rPr>
        <w:t>施工完成后是否对</w:t>
      </w:r>
      <w:r>
        <w:rPr>
          <w:rFonts w:hint="eastAsia"/>
          <w:color w:val="000000"/>
          <w:kern w:val="0"/>
        </w:rPr>
        <w:t>空气环境质量、地表水体和声环境质量</w:t>
      </w:r>
      <w:r>
        <w:rPr>
          <w:rFonts w:hint="eastAsia"/>
          <w:color w:val="000000"/>
          <w:kern w:val="0"/>
          <w:lang w:eastAsia="zh-CN"/>
        </w:rPr>
        <w:t>遗留有环境问题进行分析</w:t>
      </w:r>
      <w:r>
        <w:rPr>
          <w:rFonts w:hint="eastAsia"/>
          <w:color w:val="000000"/>
          <w:kern w:val="0"/>
        </w:rPr>
        <w:t>。</w:t>
      </w:r>
    </w:p>
    <w:p>
      <w:pPr>
        <w:ind w:firstLine="480"/>
        <w:rPr>
          <w:rFonts w:hint="eastAsia"/>
          <w:color w:val="000000"/>
          <w:kern w:val="0"/>
        </w:rPr>
      </w:pPr>
      <w:r>
        <w:rPr>
          <w:rFonts w:hint="eastAsia"/>
          <w:color w:val="000000"/>
          <w:kern w:val="0"/>
        </w:rPr>
        <w:t>（2）</w:t>
      </w:r>
      <w:r>
        <w:rPr>
          <w:rFonts w:hint="eastAsia"/>
          <w:color w:val="000000"/>
          <w:kern w:val="0"/>
          <w:lang w:eastAsia="zh-CN"/>
        </w:rPr>
        <w:t>施工建设以及完毕，管网铺设已完成，本环评主要调查</w:t>
      </w:r>
      <w:r>
        <w:rPr>
          <w:rFonts w:hint="eastAsia"/>
          <w:color w:val="000000"/>
          <w:kern w:val="0"/>
        </w:rPr>
        <w:t>工程建设阶段，</w:t>
      </w:r>
      <w:r>
        <w:rPr>
          <w:rFonts w:hint="eastAsia"/>
          <w:color w:val="000000"/>
          <w:kern w:val="0"/>
          <w:lang w:eastAsia="zh-CN"/>
        </w:rPr>
        <w:t>管网</w:t>
      </w:r>
      <w:r>
        <w:rPr>
          <w:rFonts w:hint="eastAsia"/>
          <w:color w:val="000000"/>
          <w:kern w:val="0"/>
        </w:rPr>
        <w:t>铺设靠近居民点，</w:t>
      </w:r>
      <w:r>
        <w:rPr>
          <w:rFonts w:hint="eastAsia"/>
          <w:color w:val="000000"/>
          <w:kern w:val="0"/>
          <w:lang w:eastAsia="zh-CN"/>
        </w:rPr>
        <w:t>施工期间是否有</w:t>
      </w:r>
      <w:r>
        <w:rPr>
          <w:rFonts w:hint="eastAsia"/>
          <w:color w:val="000000"/>
          <w:kern w:val="0"/>
        </w:rPr>
        <w:t>附近居民点</w:t>
      </w:r>
      <w:r>
        <w:rPr>
          <w:rFonts w:hint="eastAsia"/>
          <w:color w:val="000000"/>
          <w:kern w:val="0"/>
          <w:lang w:eastAsia="zh-CN"/>
        </w:rPr>
        <w:t>关于施工期环保投诉等问题</w:t>
      </w:r>
      <w:r>
        <w:rPr>
          <w:rFonts w:hint="eastAsia"/>
          <w:color w:val="000000"/>
          <w:kern w:val="0"/>
        </w:rPr>
        <w:t>。</w:t>
      </w:r>
    </w:p>
    <w:p>
      <w:pPr>
        <w:ind w:firstLine="480"/>
        <w:rPr>
          <w:rFonts w:hint="eastAsia"/>
          <w:color w:val="000000"/>
          <w:kern w:val="0"/>
        </w:rPr>
      </w:pPr>
      <w:r>
        <w:rPr>
          <w:rFonts w:hint="eastAsia"/>
          <w:color w:val="000000"/>
          <w:kern w:val="0"/>
        </w:rPr>
        <w:t>（3）本工程在运营过程中出现风险事故时，将对评价区自然资源和人民生活环境造成短期不利影响。</w:t>
      </w:r>
    </w:p>
    <w:p>
      <w:pPr>
        <w:ind w:firstLine="480"/>
        <w:rPr>
          <w:color w:val="000000"/>
          <w:kern w:val="0"/>
        </w:rPr>
      </w:pPr>
      <w:r>
        <w:rPr>
          <w:rFonts w:hint="eastAsia"/>
          <w:color w:val="000000"/>
          <w:kern w:val="0"/>
        </w:rPr>
        <w:t>（4）工程运营期间尾水排放以及设备噪声将对评价区域环境质量产生长期影响。</w:t>
      </w:r>
    </w:p>
    <w:p>
      <w:pPr>
        <w:ind w:firstLine="480"/>
        <w:rPr>
          <w:color w:val="000000"/>
        </w:rPr>
      </w:pPr>
      <w:r>
        <w:rPr>
          <w:rFonts w:hint="eastAsia"/>
          <w:color w:val="000000"/>
          <w:kern w:val="0"/>
        </w:rPr>
        <w:t>（5）</w:t>
      </w:r>
      <w:r>
        <w:rPr>
          <w:rFonts w:hint="eastAsia"/>
          <w:color w:val="000000"/>
        </w:rPr>
        <w:t>污水厂产生的恶臭对周边敏感点的影响；</w:t>
      </w:r>
    </w:p>
    <w:p>
      <w:pPr>
        <w:ind w:firstLine="480"/>
        <w:rPr>
          <w:rFonts w:hint="eastAsia"/>
          <w:color w:val="auto"/>
          <w:kern w:val="0"/>
        </w:rPr>
      </w:pPr>
      <w:r>
        <w:rPr>
          <w:rFonts w:hint="eastAsia"/>
          <w:color w:val="auto"/>
        </w:rPr>
        <w:t>（6）</w:t>
      </w:r>
      <w:r>
        <w:rPr>
          <w:rFonts w:hint="eastAsia"/>
          <w:color w:val="auto"/>
          <w:kern w:val="0"/>
        </w:rPr>
        <w:t>相对而言，工程中对环境影响较大的因素主要是营运中尾水事故排放的影响。</w:t>
      </w:r>
    </w:p>
    <w:p>
      <w:pPr>
        <w:pStyle w:val="86"/>
        <w:spacing w:before="163" w:after="163"/>
        <w:rPr>
          <w:rFonts w:hint="eastAsia"/>
          <w:color w:val="000000"/>
          <w:kern w:val="0"/>
        </w:rPr>
      </w:pPr>
      <w:bookmarkStart w:id="25" w:name="_Toc29308642"/>
      <w:bookmarkStart w:id="26" w:name="_Toc17467"/>
      <w:r>
        <w:rPr>
          <w:rFonts w:hint="eastAsia"/>
          <w:color w:val="000000"/>
          <w:kern w:val="0"/>
          <w:lang w:val="en-US" w:eastAsia="zh-CN"/>
        </w:rPr>
        <w:t>6</w:t>
      </w:r>
      <w:r>
        <w:rPr>
          <w:rFonts w:hint="eastAsia"/>
          <w:color w:val="000000"/>
          <w:kern w:val="0"/>
        </w:rPr>
        <w:t>、环境影响评价的主要结论</w:t>
      </w:r>
      <w:bookmarkEnd w:id="25"/>
      <w:bookmarkEnd w:id="26"/>
    </w:p>
    <w:p>
      <w:pPr>
        <w:ind w:firstLine="480"/>
        <w:rPr>
          <w:rFonts w:hint="eastAsia"/>
          <w:color w:val="000000"/>
          <w:kern w:val="0"/>
        </w:rPr>
      </w:pPr>
      <w:r>
        <w:rPr>
          <w:rFonts w:hint="eastAsia"/>
        </w:rPr>
        <w:t>花垣县工业集中区重金属废水处理工程</w:t>
      </w:r>
      <w:r>
        <w:rPr>
          <w:rFonts w:hint="eastAsia"/>
          <w:color w:val="000000"/>
          <w:kern w:val="0"/>
        </w:rPr>
        <w:t>符合国家产业政策，符合城市总体规划的要求，满足当地环境功能区划的要求，项目选址可行。本项目在认真落实报告书提出的各项环保措施及风险防范措施的前提下，废气、废水、噪声可做到达标排放，固废可得到安全处置，环境风险可得到较好的控制，项目建设及运营对周边环境的影响较小。因此，</w:t>
      </w:r>
      <w:r>
        <w:rPr>
          <w:rFonts w:hint="eastAsia"/>
        </w:rPr>
        <w:t>花垣县工业集中区重金属废水处理工程</w:t>
      </w:r>
      <w:r>
        <w:rPr>
          <w:rFonts w:hint="eastAsia"/>
          <w:color w:val="000000"/>
          <w:kern w:val="0"/>
        </w:rPr>
        <w:t>的建设从环保来说是可行的。</w:t>
      </w:r>
    </w:p>
    <w:p>
      <w:pPr>
        <w:pStyle w:val="7"/>
        <w:ind w:firstLine="643"/>
        <w:rPr>
          <w:color w:val="000000"/>
          <w:kern w:val="0"/>
          <w:szCs w:val="32"/>
        </w:rPr>
        <w:sectPr>
          <w:pgSz w:w="11906" w:h="16838"/>
          <w:pgMar w:top="1440" w:right="1800" w:bottom="1440" w:left="1800" w:header="851" w:footer="794" w:gutter="0"/>
          <w:pgBorders>
            <w:top w:val="none" w:sz="0" w:space="0"/>
            <w:left w:val="none" w:sz="0" w:space="0"/>
            <w:bottom w:val="none" w:sz="0" w:space="0"/>
            <w:right w:val="none" w:sz="0" w:space="0"/>
          </w:pgBorders>
          <w:pgNumType w:fmt="decimal"/>
          <w:cols w:space="720" w:num="1"/>
          <w:docGrid w:type="lines" w:linePitch="326" w:charSpace="0"/>
        </w:sectPr>
      </w:pPr>
    </w:p>
    <w:p>
      <w:pPr>
        <w:pStyle w:val="7"/>
        <w:keepNext w:val="0"/>
        <w:widowControl w:val="0"/>
        <w:ind w:firstLine="643"/>
        <w:rPr>
          <w:rFonts w:ascii="Times New Roman" w:hAnsi="Times New Roman" w:eastAsia="宋体" w:cs="Times New Roman"/>
          <w:b/>
          <w:kern w:val="0"/>
        </w:rPr>
      </w:pPr>
      <w:bookmarkStart w:id="27" w:name="_Toc29308643"/>
      <w:bookmarkStart w:id="28" w:name="_Toc235"/>
      <w:r>
        <w:rPr>
          <w:rFonts w:hint="eastAsia" w:ascii="Times New Roman" w:hAnsi="Times New Roman" w:eastAsia="宋体" w:cs="Times New Roman"/>
          <w:b/>
          <w:kern w:val="0"/>
        </w:rPr>
        <w:t>第1章  总</w:t>
      </w:r>
      <w:bookmarkEnd w:id="9"/>
      <w:bookmarkEnd w:id="10"/>
      <w:bookmarkEnd w:id="11"/>
      <w:r>
        <w:rPr>
          <w:rFonts w:hint="eastAsia" w:ascii="Times New Roman" w:hAnsi="Times New Roman" w:eastAsia="宋体" w:cs="Times New Roman"/>
          <w:b/>
          <w:kern w:val="0"/>
        </w:rPr>
        <w:t>则</w:t>
      </w:r>
      <w:bookmarkEnd w:id="27"/>
      <w:bookmarkEnd w:id="28"/>
    </w:p>
    <w:p>
      <w:pPr>
        <w:pStyle w:val="86"/>
        <w:spacing w:before="163" w:after="163"/>
        <w:rPr>
          <w:rFonts w:hint="eastAsia"/>
          <w:color w:val="000000"/>
          <w:kern w:val="0"/>
        </w:rPr>
      </w:pPr>
      <w:bookmarkStart w:id="29" w:name="_Toc489349331"/>
      <w:bookmarkStart w:id="30" w:name="_Toc489350099"/>
      <w:bookmarkStart w:id="31" w:name="_Toc29308644"/>
      <w:bookmarkStart w:id="32" w:name="_Toc17693"/>
      <w:r>
        <w:rPr>
          <w:rFonts w:hint="eastAsia"/>
          <w:color w:val="000000"/>
          <w:kern w:val="0"/>
        </w:rPr>
        <w:t>1.1编制依据</w:t>
      </w:r>
      <w:bookmarkEnd w:id="29"/>
      <w:bookmarkEnd w:id="30"/>
      <w:bookmarkEnd w:id="31"/>
      <w:bookmarkEnd w:id="32"/>
    </w:p>
    <w:p>
      <w:pPr>
        <w:pStyle w:val="75"/>
        <w:rPr>
          <w:rFonts w:hint="eastAsia"/>
        </w:rPr>
      </w:pPr>
      <w:bookmarkStart w:id="33" w:name="_Toc489350201"/>
      <w:bookmarkStart w:id="34" w:name="_Toc489349332"/>
      <w:bookmarkStart w:id="35" w:name="_Toc489350100"/>
      <w:bookmarkStart w:id="36" w:name="_Toc489349948"/>
      <w:r>
        <w:rPr>
          <w:rFonts w:hint="eastAsia"/>
        </w:rPr>
        <w:t>1.1.1法</w:t>
      </w:r>
      <w:r>
        <w:rPr>
          <w:rStyle w:val="45"/>
          <w:rFonts w:hint="eastAsia"/>
          <w:b/>
          <w:bCs/>
        </w:rPr>
        <w:t>律法规</w:t>
      </w:r>
      <w:bookmarkEnd w:id="33"/>
      <w:bookmarkEnd w:id="34"/>
      <w:bookmarkEnd w:id="35"/>
      <w:bookmarkEnd w:id="36"/>
    </w:p>
    <w:p>
      <w:pPr>
        <w:ind w:firstLine="480"/>
        <w:jc w:val="both"/>
        <w:rPr>
          <w:color w:val="000000"/>
          <w:kern w:val="0"/>
          <w:szCs w:val="21"/>
        </w:rPr>
      </w:pPr>
      <w:bookmarkStart w:id="37" w:name="_Toc489350202"/>
      <w:bookmarkStart w:id="38" w:name="_Toc489349333"/>
      <w:bookmarkStart w:id="39" w:name="_Toc489349949"/>
      <w:bookmarkStart w:id="40" w:name="_Toc489350101"/>
      <w:r>
        <w:rPr>
          <w:color w:val="000000"/>
          <w:kern w:val="0"/>
          <w:szCs w:val="21"/>
        </w:rPr>
        <w:t>（1）</w:t>
      </w:r>
      <w:bookmarkStart w:id="41" w:name="_Hlk26036208"/>
      <w:r>
        <w:rPr>
          <w:color w:val="000000"/>
          <w:kern w:val="0"/>
          <w:szCs w:val="21"/>
        </w:rPr>
        <w:t>《中华人民共和国环境保护法</w:t>
      </w:r>
      <w:r>
        <w:rPr>
          <w:rFonts w:hint="eastAsia"/>
          <w:color w:val="000000"/>
          <w:kern w:val="0"/>
          <w:szCs w:val="21"/>
        </w:rPr>
        <w:t>（修订）</w:t>
      </w:r>
      <w:r>
        <w:rPr>
          <w:color w:val="000000"/>
          <w:kern w:val="0"/>
          <w:szCs w:val="21"/>
        </w:rPr>
        <w:t>》，2014.4.24；</w:t>
      </w:r>
    </w:p>
    <w:bookmarkEnd w:id="41"/>
    <w:p>
      <w:pPr>
        <w:ind w:firstLine="480"/>
        <w:jc w:val="both"/>
        <w:rPr>
          <w:color w:val="000000"/>
          <w:kern w:val="0"/>
          <w:szCs w:val="21"/>
        </w:rPr>
      </w:pPr>
      <w:r>
        <w:rPr>
          <w:color w:val="000000"/>
          <w:kern w:val="0"/>
          <w:szCs w:val="21"/>
        </w:rPr>
        <w:t>（2）《中华人民共和国环境影响评价法（修订）》，2018.12.29；</w:t>
      </w:r>
    </w:p>
    <w:p>
      <w:pPr>
        <w:ind w:firstLine="480"/>
        <w:jc w:val="both"/>
        <w:rPr>
          <w:color w:val="000000"/>
          <w:kern w:val="0"/>
          <w:szCs w:val="21"/>
        </w:rPr>
      </w:pPr>
      <w:r>
        <w:rPr>
          <w:color w:val="000000"/>
          <w:kern w:val="0"/>
          <w:szCs w:val="21"/>
        </w:rPr>
        <w:t>（3）《中华人民共和国环境噪声污染防治法（</w:t>
      </w:r>
      <w:r>
        <w:rPr>
          <w:rFonts w:hint="eastAsia"/>
          <w:color w:val="000000"/>
          <w:kern w:val="0"/>
          <w:szCs w:val="21"/>
          <w:lang w:val="en-US" w:eastAsia="zh-CN"/>
        </w:rPr>
        <w:t>2022年6月</w:t>
      </w:r>
      <w:r>
        <w:rPr>
          <w:color w:val="000000"/>
          <w:kern w:val="0"/>
          <w:szCs w:val="21"/>
        </w:rPr>
        <w:t>修订）》；</w:t>
      </w:r>
    </w:p>
    <w:p>
      <w:pPr>
        <w:ind w:firstLine="480"/>
        <w:jc w:val="both"/>
        <w:rPr>
          <w:color w:val="000000"/>
          <w:kern w:val="0"/>
          <w:szCs w:val="21"/>
        </w:rPr>
      </w:pPr>
      <w:r>
        <w:rPr>
          <w:color w:val="000000"/>
          <w:kern w:val="0"/>
          <w:szCs w:val="21"/>
        </w:rPr>
        <w:t>（4）《中华人民共和国固体废物污染环境防治法（修订）》，</w:t>
      </w:r>
      <w:r>
        <w:rPr>
          <w:rFonts w:hint="eastAsia"/>
          <w:color w:val="000000"/>
          <w:kern w:val="0"/>
          <w:szCs w:val="21"/>
        </w:rPr>
        <w:t>2020.4.29；</w:t>
      </w:r>
    </w:p>
    <w:p>
      <w:pPr>
        <w:ind w:firstLine="480"/>
        <w:jc w:val="both"/>
        <w:rPr>
          <w:color w:val="000000"/>
          <w:kern w:val="0"/>
          <w:szCs w:val="21"/>
        </w:rPr>
      </w:pPr>
      <w:r>
        <w:rPr>
          <w:color w:val="000000"/>
          <w:kern w:val="0"/>
          <w:szCs w:val="21"/>
        </w:rPr>
        <w:t>（5）《中华人民共和国水污染防治法（修订）》，2018.1.1；</w:t>
      </w:r>
    </w:p>
    <w:p>
      <w:pPr>
        <w:ind w:firstLine="480"/>
        <w:jc w:val="both"/>
        <w:rPr>
          <w:color w:val="000000"/>
          <w:kern w:val="0"/>
          <w:szCs w:val="21"/>
        </w:rPr>
      </w:pPr>
      <w:r>
        <w:rPr>
          <w:color w:val="000000"/>
          <w:kern w:val="0"/>
          <w:szCs w:val="21"/>
        </w:rPr>
        <w:t>（6）《中华人民共和国大气污染防治法</w:t>
      </w:r>
      <w:r>
        <w:rPr>
          <w:rFonts w:hint="eastAsia"/>
          <w:color w:val="000000"/>
          <w:kern w:val="0"/>
          <w:szCs w:val="21"/>
        </w:rPr>
        <w:t>（修订）</w:t>
      </w:r>
      <w:r>
        <w:rPr>
          <w:color w:val="000000"/>
          <w:kern w:val="0"/>
          <w:szCs w:val="21"/>
        </w:rPr>
        <w:t>》，</w:t>
      </w:r>
      <w:r>
        <w:rPr>
          <w:rFonts w:hint="eastAsia"/>
          <w:color w:val="000000"/>
          <w:kern w:val="0"/>
          <w:szCs w:val="21"/>
        </w:rPr>
        <w:t>2018.10.26</w:t>
      </w:r>
      <w:r>
        <w:rPr>
          <w:color w:val="000000"/>
          <w:kern w:val="0"/>
          <w:szCs w:val="21"/>
        </w:rPr>
        <w:t xml:space="preserve">； </w:t>
      </w:r>
    </w:p>
    <w:p>
      <w:pPr>
        <w:ind w:firstLine="480"/>
        <w:jc w:val="both"/>
        <w:rPr>
          <w:color w:val="000000"/>
          <w:kern w:val="0"/>
          <w:szCs w:val="21"/>
        </w:rPr>
      </w:pPr>
      <w:r>
        <w:rPr>
          <w:color w:val="000000"/>
          <w:kern w:val="0"/>
          <w:szCs w:val="21"/>
        </w:rPr>
        <w:t>（7）《中华人民共和国土地管理法</w:t>
      </w:r>
      <w:r>
        <w:rPr>
          <w:rFonts w:hint="eastAsia"/>
          <w:color w:val="000000"/>
          <w:kern w:val="0"/>
          <w:szCs w:val="21"/>
        </w:rPr>
        <w:t>（修订）</w:t>
      </w:r>
      <w:r>
        <w:rPr>
          <w:color w:val="000000"/>
          <w:kern w:val="0"/>
          <w:szCs w:val="21"/>
        </w:rPr>
        <w:t>》，</w:t>
      </w:r>
      <w:r>
        <w:rPr>
          <w:rFonts w:hint="eastAsia"/>
          <w:color w:val="000000"/>
          <w:kern w:val="0"/>
          <w:szCs w:val="21"/>
        </w:rPr>
        <w:t>2019.8.26，2020年1月1日起施行</w:t>
      </w:r>
      <w:r>
        <w:rPr>
          <w:color w:val="000000"/>
          <w:kern w:val="0"/>
          <w:szCs w:val="21"/>
        </w:rPr>
        <w:t>；</w:t>
      </w:r>
    </w:p>
    <w:p>
      <w:pPr>
        <w:ind w:firstLine="480"/>
        <w:jc w:val="both"/>
        <w:rPr>
          <w:color w:val="000000"/>
          <w:kern w:val="0"/>
          <w:szCs w:val="21"/>
        </w:rPr>
      </w:pPr>
      <w:r>
        <w:rPr>
          <w:color w:val="000000"/>
          <w:kern w:val="0"/>
          <w:szCs w:val="21"/>
        </w:rPr>
        <w:t>（8）《中华人民共和国水土保持法》，2010.12.25；</w:t>
      </w:r>
    </w:p>
    <w:p>
      <w:pPr>
        <w:ind w:firstLine="480"/>
        <w:jc w:val="both"/>
        <w:rPr>
          <w:color w:val="000000"/>
          <w:kern w:val="0"/>
          <w:szCs w:val="21"/>
        </w:rPr>
      </w:pPr>
      <w:r>
        <w:rPr>
          <w:color w:val="000000"/>
          <w:kern w:val="0"/>
          <w:szCs w:val="21"/>
        </w:rPr>
        <w:t>（9）《中华人民共和国水法》</w:t>
      </w:r>
      <w:r>
        <w:rPr>
          <w:rFonts w:hint="eastAsia"/>
          <w:color w:val="000000"/>
          <w:kern w:val="0"/>
          <w:szCs w:val="21"/>
        </w:rPr>
        <w:t>，</w:t>
      </w:r>
      <w:r>
        <w:rPr>
          <w:color w:val="000000"/>
          <w:kern w:val="0"/>
          <w:szCs w:val="21"/>
        </w:rPr>
        <w:t>2016.7.2；</w:t>
      </w:r>
    </w:p>
    <w:p>
      <w:pPr>
        <w:ind w:firstLine="480"/>
        <w:jc w:val="both"/>
        <w:rPr>
          <w:color w:val="000000"/>
          <w:kern w:val="0"/>
          <w:szCs w:val="21"/>
        </w:rPr>
      </w:pPr>
      <w:r>
        <w:rPr>
          <w:color w:val="000000"/>
          <w:kern w:val="0"/>
          <w:szCs w:val="21"/>
        </w:rPr>
        <w:t>（10）</w:t>
      </w:r>
      <w:r>
        <w:rPr>
          <w:color w:val="000000"/>
          <w:kern w:val="0"/>
          <w:szCs w:val="21"/>
          <w:lang w:val="zh-CN"/>
        </w:rPr>
        <w:t>《建设项目环境保护管理条例》</w:t>
      </w:r>
      <w:r>
        <w:rPr>
          <w:rFonts w:hint="eastAsia"/>
          <w:color w:val="000000"/>
          <w:kern w:val="0"/>
          <w:szCs w:val="21"/>
          <w:lang w:val="zh-CN"/>
        </w:rPr>
        <w:t>，</w:t>
      </w:r>
      <w:r>
        <w:rPr>
          <w:color w:val="000000"/>
          <w:kern w:val="0"/>
          <w:szCs w:val="21"/>
          <w:lang w:val="zh-CN"/>
        </w:rPr>
        <w:t>[国务院令第682号]（</w:t>
      </w:r>
      <w:r>
        <w:rPr>
          <w:color w:val="000000"/>
          <w:kern w:val="0"/>
          <w:szCs w:val="21"/>
        </w:rPr>
        <w:t>2017</w:t>
      </w:r>
      <w:r>
        <w:rPr>
          <w:color w:val="000000"/>
          <w:kern w:val="0"/>
          <w:szCs w:val="21"/>
          <w:lang w:val="zh-CN"/>
        </w:rPr>
        <w:t>年</w:t>
      </w:r>
      <w:r>
        <w:rPr>
          <w:color w:val="000000"/>
          <w:kern w:val="0"/>
          <w:szCs w:val="21"/>
        </w:rPr>
        <w:t>10</w:t>
      </w:r>
      <w:r>
        <w:rPr>
          <w:color w:val="000000"/>
          <w:kern w:val="0"/>
          <w:szCs w:val="21"/>
          <w:lang w:val="zh-CN"/>
        </w:rPr>
        <w:t>月</w:t>
      </w:r>
      <w:r>
        <w:rPr>
          <w:color w:val="000000"/>
          <w:kern w:val="0"/>
          <w:szCs w:val="21"/>
        </w:rPr>
        <w:t>1</w:t>
      </w:r>
      <w:r>
        <w:rPr>
          <w:color w:val="000000"/>
          <w:kern w:val="0"/>
          <w:szCs w:val="21"/>
          <w:lang w:val="zh-CN"/>
        </w:rPr>
        <w:t>日起施行）；</w:t>
      </w:r>
    </w:p>
    <w:p>
      <w:pPr>
        <w:ind w:firstLine="480"/>
        <w:jc w:val="both"/>
        <w:rPr>
          <w:color w:val="000000"/>
          <w:kern w:val="0"/>
          <w:szCs w:val="21"/>
        </w:rPr>
      </w:pPr>
      <w:r>
        <w:rPr>
          <w:color w:val="000000"/>
          <w:kern w:val="0"/>
          <w:szCs w:val="21"/>
          <w:lang w:val="zh-CN"/>
        </w:rPr>
        <w:t>（</w:t>
      </w:r>
      <w:r>
        <w:rPr>
          <w:color w:val="000000"/>
          <w:kern w:val="0"/>
          <w:szCs w:val="21"/>
        </w:rPr>
        <w:t>11）《中华人民共和国土壤污染防治法》，2018.8.31</w:t>
      </w:r>
      <w:r>
        <w:rPr>
          <w:rFonts w:hint="eastAsia"/>
          <w:color w:val="000000"/>
          <w:kern w:val="0"/>
          <w:szCs w:val="21"/>
        </w:rPr>
        <w:t>。</w:t>
      </w:r>
    </w:p>
    <w:p>
      <w:pPr>
        <w:pStyle w:val="8"/>
        <w:spacing w:before="163"/>
        <w:rPr>
          <w:color w:val="000000"/>
        </w:rPr>
      </w:pPr>
      <w:r>
        <w:rPr>
          <w:rFonts w:hint="eastAsia"/>
          <w:color w:val="000000"/>
        </w:rPr>
        <w:t>1.1.2行政规章及规范性文件</w:t>
      </w:r>
      <w:bookmarkEnd w:id="37"/>
      <w:bookmarkEnd w:id="38"/>
      <w:bookmarkEnd w:id="39"/>
      <w:bookmarkEnd w:id="40"/>
    </w:p>
    <w:p>
      <w:pPr>
        <w:ind w:firstLine="480"/>
        <w:rPr>
          <w:color w:val="000000"/>
          <w:kern w:val="0"/>
          <w:szCs w:val="22"/>
        </w:rPr>
      </w:pPr>
      <w:r>
        <w:rPr>
          <w:color w:val="000000"/>
          <w:kern w:val="0"/>
          <w:szCs w:val="21"/>
          <w:lang w:val="zh-CN"/>
        </w:rPr>
        <w:t>（</w:t>
      </w:r>
      <w:r>
        <w:rPr>
          <w:color w:val="000000"/>
          <w:kern w:val="0"/>
          <w:szCs w:val="21"/>
        </w:rPr>
        <w:t>1</w:t>
      </w:r>
      <w:r>
        <w:rPr>
          <w:color w:val="000000"/>
          <w:kern w:val="0"/>
          <w:szCs w:val="21"/>
          <w:lang w:val="zh-CN"/>
        </w:rPr>
        <w:t>）</w:t>
      </w:r>
      <w:r>
        <w:rPr>
          <w:rFonts w:hint="eastAsia"/>
          <w:color w:val="000000"/>
          <w:kern w:val="0"/>
          <w:szCs w:val="22"/>
        </w:rPr>
        <w:t>《建设项目环境影响评价分类管理名录》，中华人民共和国生态环境部部令第16号，（2021年1月1日起施行）；</w:t>
      </w:r>
    </w:p>
    <w:p>
      <w:pPr>
        <w:ind w:firstLine="480"/>
        <w:rPr>
          <w:color w:val="000000"/>
          <w:kern w:val="0"/>
          <w:szCs w:val="22"/>
          <w:lang w:val="zh-CN"/>
        </w:rPr>
      </w:pPr>
      <w:r>
        <w:rPr>
          <w:color w:val="000000"/>
          <w:kern w:val="0"/>
          <w:szCs w:val="22"/>
          <w:lang w:val="zh-CN"/>
        </w:rPr>
        <w:t>（</w:t>
      </w:r>
      <w:r>
        <w:rPr>
          <w:color w:val="000000"/>
          <w:kern w:val="0"/>
          <w:szCs w:val="22"/>
        </w:rPr>
        <w:t>2</w:t>
      </w:r>
      <w:r>
        <w:rPr>
          <w:color w:val="000000"/>
          <w:kern w:val="0"/>
          <w:szCs w:val="22"/>
          <w:lang w:val="zh-CN"/>
        </w:rPr>
        <w:t>）</w:t>
      </w:r>
      <w:r>
        <w:rPr>
          <w:color w:val="000000"/>
          <w:kern w:val="0"/>
          <w:lang w:val="zh-CN"/>
        </w:rPr>
        <w:t>《环境影响评价公众参与办法》</w:t>
      </w:r>
      <w:r>
        <w:rPr>
          <w:rFonts w:hint="eastAsia"/>
          <w:color w:val="000000"/>
          <w:kern w:val="0"/>
          <w:lang w:val="zh-CN"/>
        </w:rPr>
        <w:t>，</w:t>
      </w:r>
      <w:r>
        <w:rPr>
          <w:color w:val="000000"/>
          <w:kern w:val="0"/>
        </w:rPr>
        <w:t>2019.01.01</w:t>
      </w:r>
      <w:r>
        <w:rPr>
          <w:rFonts w:hint="eastAsia"/>
          <w:color w:val="000000"/>
          <w:kern w:val="0"/>
        </w:rPr>
        <w:t>施行</w:t>
      </w:r>
      <w:r>
        <w:rPr>
          <w:color w:val="000000"/>
          <w:kern w:val="0"/>
        </w:rPr>
        <w:t>；</w:t>
      </w:r>
    </w:p>
    <w:p>
      <w:pPr>
        <w:ind w:firstLine="480"/>
        <w:jc w:val="both"/>
        <w:rPr>
          <w:color w:val="000000"/>
          <w:kern w:val="0"/>
          <w:szCs w:val="22"/>
        </w:rPr>
      </w:pPr>
      <w:r>
        <w:rPr>
          <w:color w:val="000000"/>
          <w:kern w:val="0"/>
          <w:szCs w:val="22"/>
          <w:lang w:val="zh-CN"/>
        </w:rPr>
        <w:t>（</w:t>
      </w:r>
      <w:r>
        <w:rPr>
          <w:color w:val="000000"/>
          <w:kern w:val="0"/>
          <w:szCs w:val="22"/>
        </w:rPr>
        <w:t>3</w:t>
      </w:r>
      <w:r>
        <w:rPr>
          <w:color w:val="000000"/>
          <w:kern w:val="0"/>
          <w:lang w:val="zh-CN"/>
        </w:rPr>
        <w:t>）</w:t>
      </w:r>
      <w:r>
        <w:rPr>
          <w:rFonts w:hint="eastAsia"/>
          <w:color w:val="000000"/>
          <w:kern w:val="0"/>
          <w:lang w:val="zh-CN"/>
        </w:rPr>
        <w:t>《产业结构调整指导目录（201</w:t>
      </w:r>
      <w:r>
        <w:rPr>
          <w:color w:val="000000"/>
          <w:kern w:val="0"/>
          <w:lang w:val="zh-CN"/>
        </w:rPr>
        <w:t>9</w:t>
      </w:r>
      <w:r>
        <w:rPr>
          <w:rFonts w:hint="eastAsia"/>
          <w:color w:val="000000"/>
          <w:kern w:val="0"/>
          <w:lang w:val="zh-CN"/>
        </w:rPr>
        <w:t>年本）》，中华人民共和国国家发展和改革委员会令 第29号</w:t>
      </w:r>
      <w:r>
        <w:rPr>
          <w:color w:val="000000"/>
          <w:kern w:val="0"/>
          <w:lang w:val="zh-CN"/>
        </w:rPr>
        <w:t>；</w:t>
      </w:r>
    </w:p>
    <w:p>
      <w:pPr>
        <w:ind w:firstLine="480"/>
        <w:jc w:val="both"/>
        <w:rPr>
          <w:color w:val="000000"/>
          <w:kern w:val="0"/>
          <w:lang w:val="zh-CN"/>
        </w:rPr>
      </w:pPr>
      <w:r>
        <w:rPr>
          <w:color w:val="000000"/>
          <w:kern w:val="0"/>
          <w:lang w:val="zh-CN"/>
        </w:rPr>
        <w:t>（</w:t>
      </w:r>
      <w:r>
        <w:rPr>
          <w:color w:val="000000"/>
          <w:kern w:val="0"/>
        </w:rPr>
        <w:t>4</w:t>
      </w:r>
      <w:r>
        <w:rPr>
          <w:color w:val="000000"/>
          <w:kern w:val="0"/>
          <w:lang w:val="zh-CN"/>
        </w:rPr>
        <w:t>）</w:t>
      </w:r>
      <w:r>
        <w:rPr>
          <w:color w:val="000000"/>
          <w:kern w:val="0"/>
        </w:rPr>
        <w:t>《建设项目环境影响评价文件分级审批规定》</w:t>
      </w:r>
      <w:r>
        <w:rPr>
          <w:rFonts w:hint="eastAsia"/>
          <w:color w:val="000000"/>
          <w:kern w:val="0"/>
        </w:rPr>
        <w:t>，</w:t>
      </w:r>
      <w:r>
        <w:rPr>
          <w:color w:val="000000"/>
          <w:kern w:val="0"/>
        </w:rPr>
        <w:t>（环保部令第5号）；</w:t>
      </w:r>
    </w:p>
    <w:p>
      <w:pPr>
        <w:widowControl w:val="0"/>
        <w:ind w:firstLine="480"/>
        <w:jc w:val="both"/>
        <w:rPr>
          <w:color w:val="000000"/>
          <w:kern w:val="0"/>
        </w:rPr>
      </w:pPr>
      <w:r>
        <w:rPr>
          <w:color w:val="000000"/>
          <w:kern w:val="0"/>
        </w:rPr>
        <w:t>（5）</w:t>
      </w:r>
      <w:r>
        <w:rPr>
          <w:color w:val="000000"/>
          <w:kern w:val="0"/>
          <w:szCs w:val="22"/>
          <w:lang w:val="zh-CN"/>
        </w:rPr>
        <w:t>《国务院关于加强环境保护重点工作的意见》</w:t>
      </w:r>
      <w:r>
        <w:rPr>
          <w:rFonts w:hint="eastAsia"/>
          <w:color w:val="000000"/>
          <w:kern w:val="0"/>
          <w:szCs w:val="22"/>
          <w:lang w:val="zh-CN"/>
        </w:rPr>
        <w:t>，</w:t>
      </w:r>
      <w:r>
        <w:rPr>
          <w:color w:val="000000"/>
          <w:kern w:val="0"/>
          <w:szCs w:val="22"/>
          <w:lang w:val="zh-CN"/>
        </w:rPr>
        <w:t>国发[2011]35 号；</w:t>
      </w:r>
    </w:p>
    <w:p>
      <w:pPr>
        <w:widowControl w:val="0"/>
        <w:ind w:firstLine="480"/>
        <w:jc w:val="both"/>
        <w:rPr>
          <w:color w:val="000000"/>
          <w:kern w:val="0"/>
          <w:szCs w:val="22"/>
          <w:lang w:val="zh-CN"/>
        </w:rPr>
      </w:pPr>
      <w:r>
        <w:rPr>
          <w:color w:val="000000"/>
          <w:kern w:val="0"/>
          <w:szCs w:val="22"/>
          <w:lang w:val="zh-CN"/>
        </w:rPr>
        <w:t>（</w:t>
      </w:r>
      <w:r>
        <w:rPr>
          <w:color w:val="000000"/>
          <w:kern w:val="0"/>
          <w:szCs w:val="22"/>
        </w:rPr>
        <w:t>6</w:t>
      </w:r>
      <w:r>
        <w:rPr>
          <w:color w:val="000000"/>
          <w:kern w:val="0"/>
          <w:szCs w:val="22"/>
          <w:lang w:val="zh-CN"/>
        </w:rPr>
        <w:t>）</w:t>
      </w:r>
      <w:r>
        <w:rPr>
          <w:rFonts w:hint="eastAsia"/>
          <w:color w:val="000000"/>
          <w:kern w:val="0"/>
          <w:szCs w:val="22"/>
          <w:lang w:val="zh-CN"/>
        </w:rPr>
        <w:t>《中华人民共和国国民经济和社会发展第十四个五年规划和2035年远景目标纲要》；</w:t>
      </w:r>
    </w:p>
    <w:p>
      <w:pPr>
        <w:ind w:firstLine="480"/>
        <w:jc w:val="both"/>
        <w:rPr>
          <w:color w:val="000000"/>
        </w:rPr>
      </w:pPr>
      <w:r>
        <w:rPr>
          <w:color w:val="000000"/>
          <w:kern w:val="0"/>
          <w:szCs w:val="21"/>
          <w:lang w:val="zh-CN"/>
        </w:rPr>
        <w:t>（</w:t>
      </w:r>
      <w:r>
        <w:rPr>
          <w:rFonts w:hint="eastAsia"/>
          <w:color w:val="000000"/>
          <w:kern w:val="0"/>
          <w:szCs w:val="21"/>
          <w:lang w:val="en-US" w:eastAsia="zh-CN"/>
        </w:rPr>
        <w:t>7</w:t>
      </w:r>
      <w:r>
        <w:rPr>
          <w:color w:val="000000"/>
          <w:kern w:val="0"/>
          <w:szCs w:val="21"/>
          <w:lang w:val="zh-CN"/>
        </w:rPr>
        <w:t>）</w:t>
      </w:r>
      <w:r>
        <w:rPr>
          <w:rFonts w:hint="eastAsia"/>
          <w:color w:val="000000"/>
          <w:kern w:val="0"/>
          <w:szCs w:val="22"/>
        </w:rPr>
        <w:t>《关于以改善环境质量为核心加强环境影响评价管理的通知》，环境保护部环环评[2016]150号</w:t>
      </w:r>
      <w:r>
        <w:rPr>
          <w:rFonts w:hint="eastAsia"/>
          <w:color w:val="000000"/>
          <w:kern w:val="0"/>
        </w:rPr>
        <w:t>；</w:t>
      </w:r>
    </w:p>
    <w:p>
      <w:pPr>
        <w:ind w:firstLine="480"/>
        <w:jc w:val="both"/>
        <w:rPr>
          <w:rFonts w:hint="eastAsia"/>
          <w:color w:val="000000"/>
          <w:kern w:val="0"/>
          <w:szCs w:val="21"/>
          <w:lang w:val="zh-CN"/>
        </w:rPr>
      </w:pPr>
      <w:r>
        <w:rPr>
          <w:rFonts w:hint="eastAsia"/>
          <w:color w:val="000000"/>
          <w:kern w:val="0"/>
          <w:szCs w:val="21"/>
          <w:lang w:val="zh-CN"/>
        </w:rPr>
        <w:t>（</w:t>
      </w:r>
      <w:r>
        <w:rPr>
          <w:rFonts w:hint="eastAsia"/>
          <w:color w:val="000000"/>
          <w:kern w:val="0"/>
          <w:szCs w:val="21"/>
          <w:lang w:val="en-US" w:eastAsia="zh-CN"/>
        </w:rPr>
        <w:t>8</w:t>
      </w:r>
      <w:r>
        <w:rPr>
          <w:rFonts w:hint="eastAsia"/>
          <w:color w:val="000000"/>
          <w:kern w:val="0"/>
          <w:szCs w:val="21"/>
          <w:lang w:val="zh-CN"/>
        </w:rPr>
        <w:t>）《国务院关于印发土壤污染防治行动计划的通知》，国发〔2016〕31 号；</w:t>
      </w:r>
    </w:p>
    <w:p>
      <w:pPr>
        <w:tabs>
          <w:tab w:val="left" w:pos="8820"/>
          <w:tab w:val="left" w:pos="9000"/>
        </w:tabs>
        <w:adjustRightInd w:val="0"/>
        <w:ind w:firstLine="480"/>
        <w:jc w:val="both"/>
        <w:rPr>
          <w:color w:val="000000"/>
          <w:kern w:val="0"/>
          <w:szCs w:val="22"/>
        </w:rPr>
      </w:pPr>
      <w:r>
        <w:rPr>
          <w:color w:val="000000"/>
          <w:kern w:val="0"/>
          <w:szCs w:val="21"/>
        </w:rPr>
        <w:t>（12）</w:t>
      </w:r>
      <w:r>
        <w:rPr>
          <w:color w:val="000000"/>
          <w:kern w:val="0"/>
        </w:rPr>
        <w:t>《国务院关于印发水污染防治行动计划的通知》</w:t>
      </w:r>
      <w:r>
        <w:rPr>
          <w:rFonts w:hint="eastAsia"/>
          <w:color w:val="000000"/>
          <w:kern w:val="0"/>
        </w:rPr>
        <w:t>，</w:t>
      </w:r>
      <w:r>
        <w:rPr>
          <w:color w:val="000000"/>
          <w:kern w:val="0"/>
        </w:rPr>
        <w:t>（国发〔2015〕17号）</w:t>
      </w:r>
      <w:r>
        <w:rPr>
          <w:rFonts w:hint="eastAsia"/>
          <w:color w:val="000000"/>
          <w:kern w:val="0"/>
          <w:szCs w:val="22"/>
        </w:rPr>
        <w:t>；</w:t>
      </w:r>
    </w:p>
    <w:p>
      <w:pPr>
        <w:adjustRightInd w:val="0"/>
        <w:snapToGrid w:val="0"/>
        <w:ind w:firstLine="480"/>
        <w:rPr>
          <w:color w:val="000000"/>
          <w:kern w:val="0"/>
        </w:rPr>
      </w:pPr>
      <w:r>
        <w:rPr>
          <w:rFonts w:hint="eastAsia"/>
          <w:color w:val="000000"/>
          <w:kern w:val="0"/>
          <w:szCs w:val="21"/>
        </w:rPr>
        <w:t>（</w:t>
      </w:r>
      <w:r>
        <w:rPr>
          <w:rFonts w:hint="eastAsia"/>
          <w:color w:val="000000"/>
          <w:kern w:val="0"/>
          <w:szCs w:val="21"/>
          <w:lang w:val="en-US" w:eastAsia="zh-CN"/>
        </w:rPr>
        <w:t>9</w:t>
      </w:r>
      <w:r>
        <w:rPr>
          <w:rFonts w:hint="eastAsia"/>
          <w:color w:val="000000"/>
          <w:kern w:val="0"/>
          <w:szCs w:val="21"/>
        </w:rPr>
        <w:t>）</w:t>
      </w:r>
      <w:r>
        <w:rPr>
          <w:color w:val="000000"/>
          <w:kern w:val="0"/>
        </w:rPr>
        <w:t>《城市污水处理及污染防治技术政策》</w:t>
      </w:r>
      <w:r>
        <w:rPr>
          <w:rFonts w:hint="eastAsia"/>
          <w:color w:val="000000"/>
          <w:kern w:val="0"/>
        </w:rPr>
        <w:t>，</w:t>
      </w:r>
      <w:r>
        <w:rPr>
          <w:color w:val="000000"/>
          <w:kern w:val="0"/>
        </w:rPr>
        <w:t>建城</w:t>
      </w:r>
      <w:r>
        <w:rPr>
          <w:rFonts w:hint="eastAsia"/>
          <w:color w:val="000000"/>
          <w:kern w:val="0"/>
        </w:rPr>
        <w:t>﹝2000﹞</w:t>
      </w:r>
      <w:r>
        <w:rPr>
          <w:color w:val="000000"/>
          <w:kern w:val="0"/>
        </w:rPr>
        <w:t>124号；</w:t>
      </w:r>
    </w:p>
    <w:p>
      <w:pPr>
        <w:tabs>
          <w:tab w:val="left" w:pos="3138"/>
        </w:tabs>
        <w:ind w:firstLine="480"/>
        <w:rPr>
          <w:color w:val="000000"/>
          <w:kern w:val="0"/>
        </w:rPr>
      </w:pPr>
      <w:r>
        <w:rPr>
          <w:color w:val="000000"/>
          <w:kern w:val="0"/>
        </w:rPr>
        <w:t>（</w:t>
      </w:r>
      <w:r>
        <w:rPr>
          <w:rFonts w:hint="eastAsia"/>
          <w:color w:val="000000"/>
          <w:kern w:val="0"/>
          <w:lang w:val="en-US" w:eastAsia="zh-CN"/>
        </w:rPr>
        <w:t>10</w:t>
      </w:r>
      <w:r>
        <w:rPr>
          <w:color w:val="000000"/>
          <w:kern w:val="0"/>
        </w:rPr>
        <w:t>）《国务院关于加快发展循环经济的若干意见》</w:t>
      </w:r>
      <w:r>
        <w:rPr>
          <w:rFonts w:hint="eastAsia"/>
          <w:color w:val="000000"/>
          <w:kern w:val="0"/>
        </w:rPr>
        <w:t>，</w:t>
      </w:r>
      <w:r>
        <w:rPr>
          <w:color w:val="000000"/>
          <w:kern w:val="0"/>
        </w:rPr>
        <w:t>国发（2005）22号；</w:t>
      </w:r>
    </w:p>
    <w:p>
      <w:pPr>
        <w:tabs>
          <w:tab w:val="left" w:pos="3138"/>
        </w:tabs>
        <w:ind w:firstLine="480"/>
        <w:rPr>
          <w:color w:val="000000"/>
          <w:kern w:val="0"/>
          <w:highlight w:val="none"/>
          <w:u w:val="single"/>
        </w:rPr>
      </w:pPr>
      <w:r>
        <w:rPr>
          <w:rFonts w:hint="eastAsia"/>
          <w:color w:val="000000"/>
          <w:kern w:val="0"/>
          <w:highlight w:val="none"/>
          <w:u w:val="single"/>
        </w:rPr>
        <w:t>（</w:t>
      </w:r>
      <w:r>
        <w:rPr>
          <w:rFonts w:hint="eastAsia"/>
          <w:color w:val="000000"/>
          <w:kern w:val="0"/>
          <w:highlight w:val="none"/>
          <w:u w:val="single"/>
          <w:lang w:val="en-US" w:eastAsia="zh-CN"/>
        </w:rPr>
        <w:t>11</w:t>
      </w:r>
      <w:r>
        <w:rPr>
          <w:color w:val="000000"/>
          <w:kern w:val="0"/>
          <w:highlight w:val="none"/>
          <w:u w:val="single"/>
        </w:rPr>
        <w:t>）</w:t>
      </w:r>
      <w:r>
        <w:rPr>
          <w:rFonts w:hint="eastAsia"/>
          <w:color w:val="000000"/>
          <w:kern w:val="0"/>
          <w:highlight w:val="none"/>
          <w:u w:val="single"/>
        </w:rPr>
        <w:t>《关于进一步规范城镇（园区）污水处理环境管理的通知》(环水体【2020】71号)</w:t>
      </w:r>
      <w:r>
        <w:rPr>
          <w:color w:val="000000"/>
          <w:kern w:val="0"/>
          <w:highlight w:val="none"/>
          <w:u w:val="single"/>
        </w:rPr>
        <w:t>；</w:t>
      </w:r>
    </w:p>
    <w:p>
      <w:pPr>
        <w:tabs>
          <w:tab w:val="left" w:pos="3138"/>
        </w:tabs>
        <w:ind w:firstLine="480"/>
        <w:rPr>
          <w:color w:val="000000"/>
          <w:kern w:val="0"/>
          <w:highlight w:val="none"/>
          <w:u w:val="single"/>
        </w:rPr>
      </w:pPr>
      <w:r>
        <w:rPr>
          <w:color w:val="000000"/>
          <w:kern w:val="0"/>
          <w:highlight w:val="none"/>
          <w:u w:val="single"/>
        </w:rPr>
        <w:t>（1</w:t>
      </w:r>
      <w:r>
        <w:rPr>
          <w:rFonts w:hint="eastAsia"/>
          <w:color w:val="000000"/>
          <w:kern w:val="0"/>
          <w:highlight w:val="none"/>
          <w:u w:val="single"/>
          <w:lang w:val="en-US" w:eastAsia="zh-CN"/>
        </w:rPr>
        <w:t>2</w:t>
      </w:r>
      <w:r>
        <w:rPr>
          <w:rFonts w:hint="eastAsia"/>
          <w:color w:val="000000"/>
          <w:kern w:val="0"/>
          <w:highlight w:val="none"/>
          <w:u w:val="single"/>
        </w:rPr>
        <w:t>）《关于进一步规范和加强产业园区生态环境管理的通知》(湘发改【2020】27号)</w:t>
      </w:r>
      <w:r>
        <w:rPr>
          <w:color w:val="000000"/>
          <w:kern w:val="0"/>
          <w:highlight w:val="none"/>
          <w:u w:val="single"/>
        </w:rPr>
        <w:t>；</w:t>
      </w:r>
    </w:p>
    <w:p>
      <w:pPr>
        <w:tabs>
          <w:tab w:val="left" w:pos="3138"/>
        </w:tabs>
        <w:ind w:firstLine="480"/>
        <w:rPr>
          <w:rFonts w:hint="eastAsia" w:ascii="Times New Roman" w:hAnsi="Times New Roman" w:eastAsia="宋体" w:cs="Times New Roman"/>
          <w:color w:val="000000"/>
          <w:kern w:val="0"/>
          <w:highlight w:val="none"/>
          <w:u w:val="single"/>
        </w:rPr>
      </w:pPr>
      <w:r>
        <w:rPr>
          <w:rFonts w:hint="eastAsia" w:ascii="Times New Roman" w:hAnsi="Times New Roman" w:eastAsia="宋体" w:cs="Times New Roman"/>
          <w:color w:val="000000"/>
          <w:kern w:val="0"/>
          <w:highlight w:val="none"/>
          <w:u w:val="single"/>
        </w:rPr>
        <w:t>（1</w:t>
      </w:r>
      <w:r>
        <w:rPr>
          <w:rFonts w:hint="eastAsia" w:cs="Times New Roman"/>
          <w:color w:val="000000"/>
          <w:kern w:val="0"/>
          <w:highlight w:val="none"/>
          <w:u w:val="single"/>
          <w:lang w:val="en-US" w:eastAsia="zh-CN"/>
        </w:rPr>
        <w:t>3</w:t>
      </w:r>
      <w:r>
        <w:rPr>
          <w:rFonts w:hint="eastAsia" w:ascii="Times New Roman" w:hAnsi="Times New Roman" w:eastAsia="宋体" w:cs="Times New Roman"/>
          <w:color w:val="000000"/>
          <w:kern w:val="0"/>
          <w:highlight w:val="none"/>
          <w:u w:val="single"/>
        </w:rPr>
        <w:t>）《关于印发《规范和加强产业园区工业污水收集处理实施方案（2021~2023年）》的通知(湘环发【2021】41号)。</w:t>
      </w:r>
    </w:p>
    <w:p>
      <w:pPr>
        <w:pStyle w:val="8"/>
        <w:spacing w:before="163"/>
        <w:rPr>
          <w:color w:val="000000"/>
        </w:rPr>
      </w:pPr>
      <w:bookmarkStart w:id="42" w:name="_Toc489349334"/>
      <w:bookmarkStart w:id="43" w:name="_Toc489350102"/>
      <w:bookmarkStart w:id="44" w:name="_Toc489349950"/>
      <w:bookmarkStart w:id="45" w:name="_Toc489350203"/>
      <w:r>
        <w:rPr>
          <w:rFonts w:hint="eastAsia"/>
          <w:color w:val="000000"/>
        </w:rPr>
        <w:t>1.1.3地方环境保护法规、政策</w:t>
      </w:r>
      <w:bookmarkEnd w:id="42"/>
      <w:bookmarkEnd w:id="43"/>
      <w:bookmarkEnd w:id="44"/>
      <w:bookmarkEnd w:id="45"/>
    </w:p>
    <w:p>
      <w:pPr>
        <w:tabs>
          <w:tab w:val="left" w:pos="8820"/>
          <w:tab w:val="left" w:pos="9000"/>
        </w:tabs>
        <w:adjustRightInd w:val="0"/>
        <w:ind w:firstLine="480"/>
        <w:jc w:val="both"/>
        <w:rPr>
          <w:color w:val="000000"/>
          <w:kern w:val="0"/>
          <w:szCs w:val="21"/>
        </w:rPr>
      </w:pPr>
      <w:bookmarkStart w:id="46" w:name="_Toc489350204"/>
      <w:bookmarkStart w:id="47" w:name="_Toc489350103"/>
      <w:bookmarkStart w:id="48" w:name="_Toc489349951"/>
      <w:bookmarkStart w:id="49" w:name="_Toc489349335"/>
      <w:r>
        <w:rPr>
          <w:rFonts w:hint="eastAsia"/>
          <w:color w:val="000000"/>
          <w:kern w:val="0"/>
          <w:szCs w:val="21"/>
        </w:rPr>
        <w:t>（</w:t>
      </w:r>
      <w:r>
        <w:rPr>
          <w:color w:val="000000"/>
          <w:kern w:val="0"/>
          <w:szCs w:val="21"/>
        </w:rPr>
        <w:t>1</w:t>
      </w:r>
      <w:r>
        <w:rPr>
          <w:rFonts w:hint="eastAsia"/>
          <w:color w:val="000000"/>
          <w:kern w:val="0"/>
          <w:szCs w:val="21"/>
        </w:rPr>
        <w:t>）《湖南省环境保护条例》，湖南省第十三届人民代表大会常务委员会第十三次会议修订，</w:t>
      </w:r>
      <w:r>
        <w:rPr>
          <w:color w:val="000000"/>
          <w:kern w:val="0"/>
          <w:szCs w:val="21"/>
        </w:rPr>
        <w:t>2019</w:t>
      </w:r>
      <w:r>
        <w:rPr>
          <w:rFonts w:hint="eastAsia"/>
          <w:color w:val="000000"/>
          <w:kern w:val="0"/>
          <w:szCs w:val="21"/>
        </w:rPr>
        <w:t>年</w:t>
      </w:r>
      <w:r>
        <w:rPr>
          <w:color w:val="000000"/>
          <w:kern w:val="0"/>
          <w:szCs w:val="21"/>
        </w:rPr>
        <w:t>9</w:t>
      </w:r>
      <w:r>
        <w:rPr>
          <w:rFonts w:hint="eastAsia"/>
          <w:color w:val="000000"/>
          <w:kern w:val="0"/>
          <w:szCs w:val="21"/>
        </w:rPr>
        <w:t>月</w:t>
      </w:r>
      <w:r>
        <w:rPr>
          <w:color w:val="000000"/>
          <w:kern w:val="0"/>
          <w:szCs w:val="21"/>
        </w:rPr>
        <w:t>28</w:t>
      </w:r>
      <w:r>
        <w:rPr>
          <w:rFonts w:hint="eastAsia"/>
          <w:color w:val="000000"/>
          <w:kern w:val="0"/>
          <w:szCs w:val="21"/>
        </w:rPr>
        <w:t>日；</w:t>
      </w:r>
    </w:p>
    <w:p>
      <w:pPr>
        <w:tabs>
          <w:tab w:val="left" w:pos="8820"/>
          <w:tab w:val="left" w:pos="9000"/>
        </w:tabs>
        <w:adjustRightInd w:val="0"/>
        <w:ind w:firstLine="480"/>
        <w:jc w:val="both"/>
        <w:rPr>
          <w:color w:val="auto"/>
          <w:kern w:val="0"/>
          <w:szCs w:val="21"/>
          <w:u w:val="single"/>
        </w:rPr>
      </w:pPr>
      <w:r>
        <w:rPr>
          <w:color w:val="auto"/>
          <w:kern w:val="0"/>
          <w:szCs w:val="21"/>
          <w:u w:val="single"/>
        </w:rPr>
        <w:t>（2）《湖南省水环境功能区划》；</w:t>
      </w:r>
    </w:p>
    <w:p>
      <w:pPr>
        <w:tabs>
          <w:tab w:val="left" w:pos="8820"/>
          <w:tab w:val="left" w:pos="9000"/>
        </w:tabs>
        <w:adjustRightInd w:val="0"/>
        <w:ind w:firstLine="480"/>
        <w:jc w:val="both"/>
        <w:rPr>
          <w:color w:val="000000"/>
          <w:kern w:val="0"/>
          <w:szCs w:val="21"/>
        </w:rPr>
      </w:pPr>
      <w:r>
        <w:rPr>
          <w:color w:val="000000"/>
          <w:kern w:val="0"/>
          <w:szCs w:val="21"/>
        </w:rPr>
        <w:t>（3）《湖南省人民政府关于公布湖南省县级以上地表水集中饮用水水源保护区划定方案的通知》</w:t>
      </w:r>
      <w:r>
        <w:rPr>
          <w:rFonts w:hint="eastAsia"/>
          <w:color w:val="000000"/>
          <w:kern w:val="0"/>
          <w:szCs w:val="21"/>
        </w:rPr>
        <w:t>，</w:t>
      </w:r>
      <w:r>
        <w:rPr>
          <w:color w:val="000000"/>
          <w:kern w:val="0"/>
          <w:szCs w:val="21"/>
        </w:rPr>
        <w:t>湖南省人民政府，湘政函【2016】176号；</w:t>
      </w:r>
    </w:p>
    <w:p>
      <w:pPr>
        <w:tabs>
          <w:tab w:val="left" w:pos="8820"/>
          <w:tab w:val="left" w:pos="9000"/>
        </w:tabs>
        <w:adjustRightInd w:val="0"/>
        <w:ind w:firstLine="480"/>
        <w:jc w:val="both"/>
        <w:rPr>
          <w:color w:val="000000"/>
          <w:kern w:val="0"/>
          <w:szCs w:val="21"/>
        </w:rPr>
      </w:pPr>
      <w:r>
        <w:rPr>
          <w:color w:val="000000"/>
          <w:kern w:val="0"/>
          <w:szCs w:val="21"/>
        </w:rPr>
        <w:t>（4）关于印发《贯彻落实&lt;大气污染防治行动计划&gt;实施细则》的通知</w:t>
      </w:r>
      <w:r>
        <w:rPr>
          <w:rFonts w:hint="eastAsia"/>
          <w:color w:val="000000"/>
          <w:kern w:val="0"/>
          <w:szCs w:val="21"/>
        </w:rPr>
        <w:t>，</w:t>
      </w:r>
      <w:r>
        <w:rPr>
          <w:color w:val="000000"/>
          <w:kern w:val="0"/>
          <w:szCs w:val="21"/>
        </w:rPr>
        <w:t>湘政发[2013]77号，2013年12月23日；</w:t>
      </w:r>
    </w:p>
    <w:p>
      <w:pPr>
        <w:tabs>
          <w:tab w:val="left" w:pos="8820"/>
          <w:tab w:val="left" w:pos="9000"/>
        </w:tabs>
        <w:adjustRightInd w:val="0"/>
        <w:ind w:firstLine="480"/>
        <w:jc w:val="both"/>
        <w:rPr>
          <w:color w:val="000000"/>
          <w:kern w:val="0"/>
          <w:szCs w:val="21"/>
        </w:rPr>
      </w:pPr>
      <w:r>
        <w:rPr>
          <w:color w:val="000000"/>
          <w:kern w:val="0"/>
          <w:szCs w:val="21"/>
        </w:rPr>
        <w:t>（5）《湖南省贯彻落实&lt;水污染防治行动计划&gt;实施方案(2016-2020年)》；</w:t>
      </w:r>
    </w:p>
    <w:p>
      <w:pPr>
        <w:ind w:firstLine="480"/>
        <w:jc w:val="both"/>
        <w:rPr>
          <w:color w:val="000000"/>
          <w:kern w:val="0"/>
          <w:szCs w:val="21"/>
        </w:rPr>
      </w:pPr>
      <w:r>
        <w:rPr>
          <w:color w:val="000000"/>
          <w:kern w:val="0"/>
          <w:szCs w:val="21"/>
        </w:rPr>
        <w:t>（6）《湘西自治州大气污染防治实施方案》</w:t>
      </w:r>
      <w:r>
        <w:rPr>
          <w:rFonts w:hint="eastAsia"/>
          <w:color w:val="000000"/>
          <w:kern w:val="0"/>
          <w:szCs w:val="21"/>
        </w:rPr>
        <w:t>，</w:t>
      </w:r>
      <w:r>
        <w:rPr>
          <w:color w:val="000000"/>
          <w:kern w:val="0"/>
          <w:szCs w:val="21"/>
        </w:rPr>
        <w:t xml:space="preserve">州政办发[2014]4号，2014年1月24日； </w:t>
      </w:r>
    </w:p>
    <w:p>
      <w:pPr>
        <w:adjustRightInd w:val="0"/>
        <w:snapToGrid w:val="0"/>
        <w:ind w:firstLine="480"/>
        <w:rPr>
          <w:color w:val="000000"/>
          <w:kern w:val="0"/>
          <w:szCs w:val="21"/>
        </w:rPr>
      </w:pPr>
      <w:r>
        <w:rPr>
          <w:color w:val="000000"/>
          <w:kern w:val="0"/>
          <w:szCs w:val="21"/>
        </w:rPr>
        <w:t>（7）《湘西自治州水污染防治实施方案（2016-2020年）》</w:t>
      </w:r>
      <w:r>
        <w:rPr>
          <w:rFonts w:hint="eastAsia"/>
          <w:color w:val="000000"/>
          <w:kern w:val="0"/>
          <w:szCs w:val="21"/>
        </w:rPr>
        <w:t>；</w:t>
      </w:r>
    </w:p>
    <w:p>
      <w:pPr>
        <w:adjustRightInd w:val="0"/>
        <w:snapToGrid w:val="0"/>
        <w:ind w:firstLine="480"/>
        <w:rPr>
          <w:color w:val="000000"/>
          <w:kern w:val="0"/>
          <w:szCs w:val="22"/>
        </w:rPr>
      </w:pPr>
      <w:r>
        <w:rPr>
          <w:rFonts w:hint="eastAsia"/>
          <w:color w:val="000000"/>
          <w:kern w:val="0"/>
          <w:szCs w:val="22"/>
        </w:rPr>
        <w:t>（8）《湖南省大气污染防治条例》（湖南省第十二届人民代表大会常务委员会第60号，2017年6月1日施行）；</w:t>
      </w:r>
    </w:p>
    <w:p>
      <w:pPr>
        <w:ind w:firstLine="480"/>
        <w:rPr>
          <w:rFonts w:hint="eastAsia"/>
          <w:color w:val="000000"/>
          <w:kern w:val="0"/>
          <w:szCs w:val="22"/>
        </w:rPr>
      </w:pPr>
      <w:r>
        <w:rPr>
          <w:rFonts w:hint="eastAsia"/>
          <w:color w:val="000000"/>
          <w:kern w:val="0"/>
          <w:szCs w:val="22"/>
        </w:rPr>
        <w:t>（</w:t>
      </w:r>
      <w:r>
        <w:rPr>
          <w:color w:val="000000"/>
          <w:kern w:val="0"/>
          <w:szCs w:val="22"/>
        </w:rPr>
        <w:t>9</w:t>
      </w:r>
      <w:r>
        <w:rPr>
          <w:rFonts w:hint="eastAsia"/>
          <w:color w:val="000000"/>
          <w:kern w:val="0"/>
          <w:szCs w:val="22"/>
        </w:rPr>
        <w:t>）《湖南省人民政府印发《湖南省污染防治攻坚战三年行动计划（2018-2020年）（湘政发[2018]17号）；</w:t>
      </w:r>
    </w:p>
    <w:p>
      <w:pPr>
        <w:ind w:firstLine="480"/>
        <w:rPr>
          <w:rFonts w:hint="eastAsia"/>
          <w:color w:val="auto"/>
          <w:kern w:val="0"/>
          <w:szCs w:val="22"/>
        </w:rPr>
      </w:pPr>
      <w:r>
        <w:rPr>
          <w:rFonts w:hint="eastAsia"/>
          <w:color w:val="000000"/>
          <w:kern w:val="0"/>
          <w:szCs w:val="22"/>
        </w:rPr>
        <w:t>（</w:t>
      </w:r>
      <w:r>
        <w:rPr>
          <w:color w:val="000000"/>
          <w:kern w:val="0"/>
          <w:szCs w:val="22"/>
        </w:rPr>
        <w:t>10</w:t>
      </w:r>
      <w:r>
        <w:rPr>
          <w:rFonts w:hint="eastAsia"/>
          <w:color w:val="000000"/>
          <w:kern w:val="0"/>
          <w:szCs w:val="22"/>
        </w:rPr>
        <w:t>）《湖南省实施&lt;中华人民共和国固体废物污染环境防治法&gt;办法》（湖南省第十二届人民代表大会常务委员会第三十五次会议通过，2018年5月1日</w:t>
      </w:r>
      <w:r>
        <w:rPr>
          <w:rFonts w:hint="eastAsia"/>
          <w:color w:val="auto"/>
          <w:kern w:val="0"/>
          <w:szCs w:val="22"/>
        </w:rPr>
        <w:t>起实施）；</w:t>
      </w:r>
    </w:p>
    <w:p>
      <w:pPr>
        <w:adjustRightInd w:val="0"/>
        <w:snapToGrid w:val="0"/>
        <w:ind w:firstLine="480"/>
        <w:rPr>
          <w:color w:val="auto"/>
          <w:kern w:val="0"/>
          <w:szCs w:val="22"/>
        </w:rPr>
      </w:pPr>
      <w:r>
        <w:rPr>
          <w:rFonts w:hint="eastAsia"/>
          <w:color w:val="auto"/>
          <w:kern w:val="0"/>
          <w:szCs w:val="22"/>
        </w:rPr>
        <w:t>（</w:t>
      </w:r>
      <w:r>
        <w:rPr>
          <w:color w:val="auto"/>
          <w:kern w:val="0"/>
          <w:szCs w:val="22"/>
        </w:rPr>
        <w:t>11</w:t>
      </w:r>
      <w:r>
        <w:rPr>
          <w:rFonts w:hint="eastAsia"/>
          <w:color w:val="auto"/>
          <w:kern w:val="0"/>
          <w:szCs w:val="22"/>
        </w:rPr>
        <w:t>）《湖南省主体功能区规划》，湘政发[2012]39号；2</w:t>
      </w:r>
      <w:r>
        <w:rPr>
          <w:color w:val="auto"/>
          <w:kern w:val="0"/>
          <w:szCs w:val="22"/>
        </w:rPr>
        <w:t>012</w:t>
      </w:r>
      <w:r>
        <w:rPr>
          <w:rFonts w:hint="eastAsia"/>
          <w:color w:val="auto"/>
          <w:kern w:val="0"/>
          <w:szCs w:val="22"/>
        </w:rPr>
        <w:t>年1</w:t>
      </w:r>
      <w:r>
        <w:rPr>
          <w:color w:val="auto"/>
          <w:kern w:val="0"/>
          <w:szCs w:val="22"/>
        </w:rPr>
        <w:t>1</w:t>
      </w:r>
      <w:r>
        <w:rPr>
          <w:rFonts w:hint="eastAsia"/>
          <w:color w:val="auto"/>
          <w:kern w:val="0"/>
          <w:szCs w:val="22"/>
        </w:rPr>
        <w:t>月1</w:t>
      </w:r>
      <w:r>
        <w:rPr>
          <w:color w:val="auto"/>
          <w:kern w:val="0"/>
          <w:szCs w:val="22"/>
        </w:rPr>
        <w:t>7</w:t>
      </w:r>
      <w:r>
        <w:rPr>
          <w:rFonts w:hint="eastAsia"/>
          <w:color w:val="auto"/>
          <w:kern w:val="0"/>
          <w:szCs w:val="22"/>
        </w:rPr>
        <w:t>日；</w:t>
      </w:r>
    </w:p>
    <w:p>
      <w:pPr>
        <w:adjustRightInd w:val="0"/>
        <w:snapToGrid w:val="0"/>
        <w:ind w:firstLine="480"/>
        <w:rPr>
          <w:rFonts w:hint="eastAsia"/>
          <w:color w:val="000000"/>
          <w:kern w:val="0"/>
        </w:rPr>
      </w:pPr>
      <w:r>
        <w:rPr>
          <w:rFonts w:hint="eastAsia"/>
          <w:color w:val="000000"/>
          <w:kern w:val="0"/>
          <w:szCs w:val="22"/>
        </w:rPr>
        <w:t>（</w:t>
      </w:r>
      <w:r>
        <w:rPr>
          <w:color w:val="000000"/>
          <w:kern w:val="0"/>
          <w:szCs w:val="22"/>
        </w:rPr>
        <w:t>12</w:t>
      </w:r>
      <w:r>
        <w:rPr>
          <w:rFonts w:hint="eastAsia"/>
          <w:color w:val="000000"/>
          <w:kern w:val="0"/>
          <w:szCs w:val="22"/>
        </w:rPr>
        <w:t>）</w:t>
      </w:r>
      <w:r>
        <w:rPr>
          <w:rFonts w:hint="eastAsia"/>
          <w:color w:val="000000"/>
          <w:kern w:val="0"/>
        </w:rPr>
        <w:t xml:space="preserve">《湖南省人民政府关于实施“三线一单”生态环境分区管控的意见》（湘政发〔2020〕12 号）； </w:t>
      </w:r>
    </w:p>
    <w:p>
      <w:pPr>
        <w:adjustRightInd w:val="0"/>
        <w:snapToGrid w:val="0"/>
        <w:ind w:firstLine="480"/>
        <w:rPr>
          <w:rFonts w:hint="eastAsia"/>
          <w:color w:val="000000"/>
          <w:kern w:val="0"/>
          <w:highlight w:val="none"/>
          <w:u w:val="single"/>
        </w:rPr>
      </w:pPr>
      <w:r>
        <w:rPr>
          <w:rFonts w:hint="eastAsia"/>
          <w:color w:val="000000"/>
          <w:kern w:val="0"/>
          <w:highlight w:val="none"/>
          <w:u w:val="single"/>
        </w:rPr>
        <w:t>（1</w:t>
      </w:r>
      <w:r>
        <w:rPr>
          <w:rFonts w:hint="eastAsia"/>
          <w:color w:val="000000"/>
          <w:kern w:val="0"/>
          <w:highlight w:val="none"/>
          <w:u w:val="single"/>
          <w:lang w:val="en-US" w:eastAsia="zh-CN"/>
        </w:rPr>
        <w:t>3</w:t>
      </w:r>
      <w:r>
        <w:rPr>
          <w:rFonts w:hint="eastAsia"/>
          <w:color w:val="000000"/>
          <w:kern w:val="0"/>
          <w:highlight w:val="none"/>
          <w:u w:val="single"/>
        </w:rPr>
        <w:t>）《湘西土家族苗族自治州水功能区划》；</w:t>
      </w:r>
    </w:p>
    <w:p>
      <w:pPr>
        <w:adjustRightInd w:val="0"/>
        <w:snapToGrid w:val="0"/>
        <w:ind w:firstLine="480"/>
        <w:rPr>
          <w:color w:val="000000"/>
          <w:kern w:val="0"/>
        </w:rPr>
      </w:pPr>
      <w:r>
        <w:rPr>
          <w:rFonts w:hint="eastAsia"/>
          <w:color w:val="000000"/>
          <w:kern w:val="0"/>
        </w:rPr>
        <w:t>（1</w:t>
      </w:r>
      <w:r>
        <w:rPr>
          <w:rFonts w:hint="eastAsia"/>
          <w:color w:val="000000"/>
          <w:kern w:val="0"/>
          <w:lang w:val="en-US" w:eastAsia="zh-CN"/>
        </w:rPr>
        <w:t>4</w:t>
      </w:r>
      <w:r>
        <w:rPr>
          <w:rFonts w:hint="eastAsia"/>
          <w:color w:val="000000"/>
          <w:kern w:val="0"/>
        </w:rPr>
        <w:t>）《湖南省“三线一单”生态环境总体管控要求暨省级以上产业园区生态环境准入清单》；</w:t>
      </w:r>
    </w:p>
    <w:p>
      <w:pPr>
        <w:adjustRightInd w:val="0"/>
        <w:snapToGrid w:val="0"/>
        <w:ind w:firstLine="480"/>
        <w:rPr>
          <w:rFonts w:hint="eastAsia"/>
          <w:color w:val="000000"/>
          <w:kern w:val="0"/>
        </w:rPr>
      </w:pPr>
      <w:r>
        <w:rPr>
          <w:rFonts w:hint="eastAsia"/>
          <w:color w:val="000000"/>
          <w:kern w:val="0"/>
        </w:rPr>
        <w:t>（1</w:t>
      </w:r>
      <w:r>
        <w:rPr>
          <w:rFonts w:hint="eastAsia"/>
          <w:color w:val="000000"/>
          <w:kern w:val="0"/>
          <w:lang w:val="en-US" w:eastAsia="zh-CN"/>
        </w:rPr>
        <w:t>5</w:t>
      </w:r>
      <w:r>
        <w:rPr>
          <w:rFonts w:hint="eastAsia"/>
          <w:color w:val="000000"/>
          <w:kern w:val="0"/>
        </w:rPr>
        <w:t>）《湘西自治州大气污染防治实施方案》（州政办发[2014]4号，2014年1月24日）；</w:t>
      </w:r>
    </w:p>
    <w:p>
      <w:pPr>
        <w:adjustRightInd w:val="0"/>
        <w:snapToGrid w:val="0"/>
        <w:ind w:firstLine="480"/>
        <w:rPr>
          <w:rFonts w:hint="eastAsia"/>
          <w:color w:val="000000"/>
          <w:kern w:val="0"/>
        </w:rPr>
      </w:pPr>
      <w:r>
        <w:rPr>
          <w:rFonts w:hint="eastAsia"/>
          <w:color w:val="000000"/>
          <w:kern w:val="0"/>
        </w:rPr>
        <w:t>（1</w:t>
      </w:r>
      <w:r>
        <w:rPr>
          <w:rFonts w:hint="eastAsia"/>
          <w:color w:val="000000"/>
          <w:kern w:val="0"/>
          <w:lang w:val="en-US" w:eastAsia="zh-CN"/>
        </w:rPr>
        <w:t>6</w:t>
      </w:r>
      <w:r>
        <w:rPr>
          <w:rFonts w:hint="eastAsia"/>
          <w:color w:val="000000"/>
          <w:kern w:val="0"/>
        </w:rPr>
        <w:t>）《湘西自治州水污染防治实施方案（2016-2020年）》；</w:t>
      </w:r>
    </w:p>
    <w:p>
      <w:pPr>
        <w:adjustRightInd w:val="0"/>
        <w:snapToGrid w:val="0"/>
        <w:ind w:firstLine="480"/>
        <w:rPr>
          <w:color w:val="000000"/>
          <w:kern w:val="0"/>
        </w:rPr>
      </w:pPr>
      <w:r>
        <w:rPr>
          <w:rFonts w:hint="eastAsia"/>
          <w:color w:val="000000"/>
          <w:kern w:val="0"/>
        </w:rPr>
        <w:t>（1</w:t>
      </w:r>
      <w:r>
        <w:rPr>
          <w:rFonts w:hint="eastAsia"/>
          <w:color w:val="000000"/>
          <w:kern w:val="0"/>
          <w:lang w:val="en-US" w:eastAsia="zh-CN"/>
        </w:rPr>
        <w:t>7</w:t>
      </w:r>
      <w:r>
        <w:rPr>
          <w:rFonts w:hint="eastAsia"/>
          <w:color w:val="000000"/>
          <w:kern w:val="0"/>
        </w:rPr>
        <w:t>）《湘西自治州人民政府关于实施“三线一单”生态环境分区管控的意见》州政发〔2020〕23号。</w:t>
      </w:r>
    </w:p>
    <w:p>
      <w:pPr>
        <w:pStyle w:val="8"/>
        <w:spacing w:before="163"/>
        <w:rPr>
          <w:rFonts w:hint="eastAsia"/>
          <w:b/>
          <w:bCs/>
          <w:color w:val="000000"/>
        </w:rPr>
      </w:pPr>
      <w:r>
        <w:rPr>
          <w:rFonts w:hint="eastAsia"/>
          <w:b/>
          <w:bCs/>
          <w:color w:val="000000"/>
        </w:rPr>
        <w:t>1.1.4技术导则与相关规范</w:t>
      </w:r>
      <w:bookmarkEnd w:id="46"/>
      <w:bookmarkEnd w:id="47"/>
      <w:bookmarkEnd w:id="48"/>
      <w:bookmarkEnd w:id="49"/>
    </w:p>
    <w:p>
      <w:pPr>
        <w:tabs>
          <w:tab w:val="left" w:pos="3138"/>
        </w:tabs>
        <w:ind w:firstLine="480"/>
        <w:rPr>
          <w:color w:val="000000"/>
          <w:kern w:val="0"/>
        </w:rPr>
      </w:pPr>
      <w:r>
        <w:rPr>
          <w:color w:val="000000"/>
          <w:kern w:val="0"/>
        </w:rPr>
        <w:t>（1）《</w:t>
      </w:r>
      <w:r>
        <w:rPr>
          <w:rFonts w:hint="eastAsia"/>
          <w:color w:val="000000"/>
          <w:kern w:val="0"/>
        </w:rPr>
        <w:t>建设项目</w:t>
      </w:r>
      <w:r>
        <w:rPr>
          <w:color w:val="000000"/>
          <w:kern w:val="0"/>
        </w:rPr>
        <w:t>环境影响评价技术导则-总纲》</w:t>
      </w:r>
      <w:r>
        <w:rPr>
          <w:rFonts w:hint="eastAsia"/>
          <w:color w:val="000000"/>
          <w:kern w:val="0"/>
        </w:rPr>
        <w:t>（</w:t>
      </w:r>
      <w:r>
        <w:rPr>
          <w:color w:val="000000"/>
          <w:kern w:val="0"/>
        </w:rPr>
        <w:t xml:space="preserve">HJ </w:t>
      </w:r>
      <w:r>
        <w:rPr>
          <w:rFonts w:hint="eastAsia"/>
          <w:color w:val="000000"/>
          <w:kern w:val="0"/>
        </w:rPr>
        <w:t>2.1</w:t>
      </w:r>
      <w:r>
        <w:rPr>
          <w:color w:val="000000"/>
          <w:kern w:val="0"/>
        </w:rPr>
        <w:t>-2016</w:t>
      </w:r>
      <w:r>
        <w:rPr>
          <w:rFonts w:hint="eastAsia"/>
          <w:color w:val="000000"/>
          <w:kern w:val="0"/>
        </w:rPr>
        <w:t>）</w:t>
      </w:r>
      <w:r>
        <w:rPr>
          <w:color w:val="000000"/>
          <w:kern w:val="0"/>
        </w:rPr>
        <w:t>；</w:t>
      </w:r>
    </w:p>
    <w:p>
      <w:pPr>
        <w:tabs>
          <w:tab w:val="left" w:pos="3138"/>
        </w:tabs>
        <w:ind w:firstLine="480"/>
        <w:rPr>
          <w:color w:val="000000"/>
          <w:kern w:val="0"/>
        </w:rPr>
      </w:pPr>
      <w:r>
        <w:rPr>
          <w:color w:val="000000"/>
          <w:kern w:val="0"/>
        </w:rPr>
        <w:t>（2）《环境影响评价技术导则-地</w:t>
      </w:r>
      <w:r>
        <w:rPr>
          <w:rFonts w:hint="eastAsia"/>
          <w:color w:val="000000"/>
          <w:kern w:val="0"/>
        </w:rPr>
        <w:t>表</w:t>
      </w:r>
      <w:r>
        <w:rPr>
          <w:color w:val="000000"/>
          <w:kern w:val="0"/>
        </w:rPr>
        <w:t>水环境》</w:t>
      </w:r>
      <w:r>
        <w:rPr>
          <w:rFonts w:hint="eastAsia"/>
          <w:color w:val="000000"/>
          <w:kern w:val="0"/>
        </w:rPr>
        <w:t>（</w:t>
      </w:r>
      <w:r>
        <w:rPr>
          <w:color w:val="000000"/>
          <w:kern w:val="0"/>
        </w:rPr>
        <w:t>HJ 2.3-2018</w:t>
      </w:r>
      <w:r>
        <w:rPr>
          <w:rFonts w:hint="eastAsia"/>
          <w:color w:val="000000"/>
          <w:kern w:val="0"/>
        </w:rPr>
        <w:t>）</w:t>
      </w:r>
      <w:r>
        <w:rPr>
          <w:color w:val="000000"/>
          <w:kern w:val="0"/>
        </w:rPr>
        <w:t>；</w:t>
      </w:r>
    </w:p>
    <w:p>
      <w:pPr>
        <w:tabs>
          <w:tab w:val="left" w:pos="3138"/>
        </w:tabs>
        <w:ind w:firstLine="480"/>
        <w:rPr>
          <w:color w:val="000000"/>
          <w:kern w:val="0"/>
        </w:rPr>
      </w:pPr>
      <w:r>
        <w:rPr>
          <w:color w:val="000000"/>
          <w:kern w:val="0"/>
        </w:rPr>
        <w:t>（3）《环境影响评价技术导则-大气环境》</w:t>
      </w:r>
      <w:r>
        <w:rPr>
          <w:rFonts w:hint="eastAsia"/>
          <w:color w:val="000000"/>
          <w:kern w:val="0"/>
        </w:rPr>
        <w:t>（</w:t>
      </w:r>
      <w:r>
        <w:rPr>
          <w:color w:val="000000"/>
          <w:kern w:val="0"/>
        </w:rPr>
        <w:t>HJ 2.2-2018</w:t>
      </w:r>
      <w:r>
        <w:rPr>
          <w:rFonts w:hint="eastAsia"/>
          <w:color w:val="000000"/>
          <w:kern w:val="0"/>
        </w:rPr>
        <w:t>）</w:t>
      </w:r>
      <w:r>
        <w:rPr>
          <w:color w:val="000000"/>
          <w:kern w:val="0"/>
        </w:rPr>
        <w:t>；</w:t>
      </w:r>
    </w:p>
    <w:p>
      <w:pPr>
        <w:tabs>
          <w:tab w:val="left" w:pos="3138"/>
        </w:tabs>
        <w:ind w:firstLine="480"/>
        <w:rPr>
          <w:color w:val="auto"/>
          <w:kern w:val="0"/>
          <w:u w:val="single"/>
        </w:rPr>
      </w:pPr>
      <w:r>
        <w:rPr>
          <w:color w:val="auto"/>
          <w:kern w:val="0"/>
          <w:u w:val="single"/>
        </w:rPr>
        <w:t>（4）《环境影响评价技术导则-声环境》</w:t>
      </w:r>
      <w:r>
        <w:rPr>
          <w:rFonts w:hint="eastAsia"/>
          <w:color w:val="auto"/>
          <w:kern w:val="0"/>
          <w:u w:val="single"/>
        </w:rPr>
        <w:t>（</w:t>
      </w:r>
      <w:r>
        <w:rPr>
          <w:color w:val="auto"/>
          <w:kern w:val="0"/>
          <w:u w:val="single"/>
        </w:rPr>
        <w:t>HJ 2.4-</w:t>
      </w:r>
      <w:r>
        <w:rPr>
          <w:rFonts w:hint="eastAsia"/>
          <w:color w:val="auto"/>
          <w:kern w:val="0"/>
          <w:u w:val="single"/>
          <w:lang w:val="en-US" w:eastAsia="zh-CN"/>
        </w:rPr>
        <w:t>2021</w:t>
      </w:r>
      <w:r>
        <w:rPr>
          <w:rFonts w:hint="eastAsia"/>
          <w:color w:val="auto"/>
          <w:kern w:val="0"/>
          <w:u w:val="single"/>
        </w:rPr>
        <w:t>）</w:t>
      </w:r>
      <w:r>
        <w:rPr>
          <w:color w:val="auto"/>
          <w:kern w:val="0"/>
          <w:u w:val="single"/>
        </w:rPr>
        <w:t>；</w:t>
      </w:r>
    </w:p>
    <w:p>
      <w:pPr>
        <w:tabs>
          <w:tab w:val="left" w:pos="3138"/>
        </w:tabs>
        <w:ind w:firstLine="480"/>
        <w:rPr>
          <w:color w:val="auto"/>
          <w:kern w:val="0"/>
          <w:u w:val="single"/>
        </w:rPr>
      </w:pPr>
      <w:r>
        <w:rPr>
          <w:color w:val="auto"/>
          <w:kern w:val="0"/>
          <w:u w:val="single"/>
        </w:rPr>
        <w:t>（5）《环境影响评价技术导则-生态影响》</w:t>
      </w:r>
      <w:r>
        <w:rPr>
          <w:rFonts w:hint="eastAsia"/>
          <w:color w:val="auto"/>
          <w:kern w:val="0"/>
          <w:u w:val="single"/>
        </w:rPr>
        <w:t>（</w:t>
      </w:r>
      <w:r>
        <w:rPr>
          <w:color w:val="auto"/>
          <w:kern w:val="0"/>
          <w:u w:val="single"/>
        </w:rPr>
        <w:t>HJ 19-20</w:t>
      </w:r>
      <w:r>
        <w:rPr>
          <w:rFonts w:hint="eastAsia"/>
          <w:color w:val="auto"/>
          <w:kern w:val="0"/>
          <w:u w:val="single"/>
          <w:lang w:val="en-US" w:eastAsia="zh-CN"/>
        </w:rPr>
        <w:t>22</w:t>
      </w:r>
      <w:r>
        <w:rPr>
          <w:rFonts w:hint="eastAsia"/>
          <w:color w:val="auto"/>
          <w:kern w:val="0"/>
          <w:u w:val="single"/>
        </w:rPr>
        <w:t>）</w:t>
      </w:r>
      <w:r>
        <w:rPr>
          <w:color w:val="auto"/>
          <w:kern w:val="0"/>
          <w:u w:val="single"/>
        </w:rPr>
        <w:t>；</w:t>
      </w:r>
    </w:p>
    <w:p>
      <w:pPr>
        <w:tabs>
          <w:tab w:val="left" w:pos="3138"/>
        </w:tabs>
        <w:ind w:firstLine="480"/>
        <w:rPr>
          <w:color w:val="000000"/>
          <w:kern w:val="0"/>
        </w:rPr>
      </w:pPr>
      <w:r>
        <w:rPr>
          <w:color w:val="000000"/>
          <w:kern w:val="0"/>
        </w:rPr>
        <w:t>（6）《环境影响评价技术导则-地下水环境》</w:t>
      </w:r>
      <w:r>
        <w:rPr>
          <w:rFonts w:hint="eastAsia"/>
          <w:color w:val="000000"/>
          <w:kern w:val="0"/>
        </w:rPr>
        <w:t>（</w:t>
      </w:r>
      <w:r>
        <w:rPr>
          <w:color w:val="000000"/>
          <w:kern w:val="0"/>
        </w:rPr>
        <w:t>HJ 610-2016</w:t>
      </w:r>
      <w:r>
        <w:rPr>
          <w:rFonts w:hint="eastAsia"/>
          <w:color w:val="000000"/>
          <w:kern w:val="0"/>
        </w:rPr>
        <w:t>）</w:t>
      </w:r>
      <w:r>
        <w:rPr>
          <w:color w:val="000000"/>
          <w:kern w:val="0"/>
        </w:rPr>
        <w:t>；</w:t>
      </w:r>
    </w:p>
    <w:p>
      <w:pPr>
        <w:tabs>
          <w:tab w:val="left" w:pos="3138"/>
        </w:tabs>
        <w:ind w:firstLine="480"/>
        <w:rPr>
          <w:color w:val="000000"/>
          <w:kern w:val="0"/>
        </w:rPr>
      </w:pPr>
      <w:r>
        <w:rPr>
          <w:color w:val="000000"/>
          <w:kern w:val="0"/>
        </w:rPr>
        <w:t>（7）《环境影响评价技术导则-</w:t>
      </w:r>
      <w:r>
        <w:rPr>
          <w:rFonts w:hint="eastAsia"/>
          <w:color w:val="000000"/>
          <w:kern w:val="0"/>
        </w:rPr>
        <w:t>土壤</w:t>
      </w:r>
      <w:r>
        <w:rPr>
          <w:color w:val="000000"/>
          <w:kern w:val="0"/>
        </w:rPr>
        <w:t>环境</w:t>
      </w:r>
      <w:r>
        <w:rPr>
          <w:rFonts w:hint="eastAsia"/>
          <w:color w:val="000000"/>
          <w:kern w:val="0"/>
        </w:rPr>
        <w:t>（试行）</w:t>
      </w:r>
      <w:r>
        <w:rPr>
          <w:color w:val="000000"/>
          <w:kern w:val="0"/>
        </w:rPr>
        <w:t>》</w:t>
      </w:r>
      <w:r>
        <w:rPr>
          <w:rFonts w:hint="eastAsia"/>
          <w:color w:val="000000"/>
          <w:kern w:val="0"/>
        </w:rPr>
        <w:t>（</w:t>
      </w:r>
      <w:r>
        <w:rPr>
          <w:color w:val="000000"/>
          <w:kern w:val="0"/>
        </w:rPr>
        <w:t>HJ 964-2018</w:t>
      </w:r>
      <w:r>
        <w:rPr>
          <w:rFonts w:hint="eastAsia"/>
          <w:color w:val="000000"/>
          <w:kern w:val="0"/>
        </w:rPr>
        <w:t>）</w:t>
      </w:r>
      <w:r>
        <w:rPr>
          <w:color w:val="000000"/>
          <w:kern w:val="0"/>
        </w:rPr>
        <w:t>；</w:t>
      </w:r>
    </w:p>
    <w:p>
      <w:pPr>
        <w:tabs>
          <w:tab w:val="left" w:pos="3138"/>
        </w:tabs>
        <w:ind w:firstLine="480"/>
        <w:rPr>
          <w:color w:val="000000"/>
          <w:kern w:val="0"/>
        </w:rPr>
      </w:pPr>
      <w:r>
        <w:rPr>
          <w:color w:val="000000"/>
          <w:kern w:val="0"/>
        </w:rPr>
        <w:t>（8）《建设项目环境风险评价技术导则》（HJ 169-2018）</w:t>
      </w:r>
      <w:r>
        <w:rPr>
          <w:rFonts w:hint="eastAsia"/>
          <w:color w:val="000000"/>
          <w:kern w:val="0"/>
        </w:rPr>
        <w:t>；</w:t>
      </w:r>
    </w:p>
    <w:p>
      <w:pPr>
        <w:tabs>
          <w:tab w:val="left" w:pos="3138"/>
        </w:tabs>
        <w:ind w:firstLine="480"/>
        <w:rPr>
          <w:color w:val="000000"/>
          <w:kern w:val="0"/>
        </w:rPr>
      </w:pPr>
      <w:r>
        <w:rPr>
          <w:color w:val="000000"/>
          <w:kern w:val="0"/>
        </w:rPr>
        <w:t>（9）《城市排水工程规划规范》（GB50318-2</w:t>
      </w:r>
      <w:r>
        <w:rPr>
          <w:rFonts w:hint="eastAsia"/>
          <w:color w:val="000000"/>
          <w:kern w:val="0"/>
        </w:rPr>
        <w:t>017）</w:t>
      </w:r>
      <w:r>
        <w:rPr>
          <w:color w:val="000000"/>
          <w:kern w:val="0"/>
        </w:rPr>
        <w:t>；</w:t>
      </w:r>
    </w:p>
    <w:p>
      <w:pPr>
        <w:tabs>
          <w:tab w:val="left" w:pos="3138"/>
        </w:tabs>
        <w:ind w:firstLine="480"/>
        <w:rPr>
          <w:color w:val="000000"/>
          <w:kern w:val="0"/>
        </w:rPr>
      </w:pPr>
      <w:r>
        <w:rPr>
          <w:color w:val="000000"/>
          <w:kern w:val="0"/>
        </w:rPr>
        <w:t xml:space="preserve">（10）《城市污水处理工程项目建设标准》（建标[2001]77号）； </w:t>
      </w:r>
    </w:p>
    <w:p>
      <w:pPr>
        <w:tabs>
          <w:tab w:val="left" w:pos="3138"/>
        </w:tabs>
        <w:ind w:firstLine="480"/>
        <w:rPr>
          <w:rFonts w:hint="eastAsia"/>
          <w:color w:val="000000"/>
          <w:kern w:val="0"/>
        </w:rPr>
      </w:pPr>
      <w:r>
        <w:rPr>
          <w:rFonts w:hint="eastAsia"/>
          <w:color w:val="000000"/>
          <w:kern w:val="0"/>
        </w:rPr>
        <w:t>（1</w:t>
      </w:r>
      <w:r>
        <w:rPr>
          <w:color w:val="000000"/>
          <w:kern w:val="0"/>
        </w:rPr>
        <w:t>1</w:t>
      </w:r>
      <w:r>
        <w:rPr>
          <w:rFonts w:hint="eastAsia"/>
          <w:color w:val="000000"/>
          <w:kern w:val="0"/>
        </w:rPr>
        <w:t>）《水污染治理工程技术导则》(HJ2015-2012)；</w:t>
      </w:r>
    </w:p>
    <w:p>
      <w:pPr>
        <w:tabs>
          <w:tab w:val="left" w:pos="3138"/>
        </w:tabs>
        <w:ind w:firstLine="480"/>
        <w:rPr>
          <w:rFonts w:hint="eastAsia"/>
          <w:color w:val="000000"/>
          <w:kern w:val="0"/>
        </w:rPr>
      </w:pPr>
      <w:r>
        <w:rPr>
          <w:rFonts w:hint="eastAsia"/>
          <w:color w:val="000000"/>
          <w:kern w:val="0"/>
        </w:rPr>
        <w:t>（1</w:t>
      </w:r>
      <w:r>
        <w:rPr>
          <w:color w:val="000000"/>
          <w:kern w:val="0"/>
        </w:rPr>
        <w:t>2</w:t>
      </w:r>
      <w:r>
        <w:rPr>
          <w:rFonts w:hint="eastAsia"/>
          <w:color w:val="000000"/>
          <w:kern w:val="0"/>
        </w:rPr>
        <w:t>）《大气污染治理工程技术导则》（HJ2000-2010）；</w:t>
      </w:r>
    </w:p>
    <w:p>
      <w:pPr>
        <w:tabs>
          <w:tab w:val="left" w:pos="3138"/>
        </w:tabs>
        <w:ind w:firstLine="480"/>
        <w:rPr>
          <w:rFonts w:hint="eastAsia"/>
          <w:color w:val="000000"/>
          <w:kern w:val="0"/>
        </w:rPr>
      </w:pPr>
      <w:r>
        <w:rPr>
          <w:rFonts w:hint="eastAsia"/>
          <w:color w:val="000000"/>
          <w:kern w:val="0"/>
        </w:rPr>
        <w:t>（1</w:t>
      </w:r>
      <w:r>
        <w:rPr>
          <w:color w:val="000000"/>
          <w:kern w:val="0"/>
        </w:rPr>
        <w:t>3</w:t>
      </w:r>
      <w:r>
        <w:rPr>
          <w:rFonts w:hint="eastAsia"/>
          <w:color w:val="000000"/>
          <w:kern w:val="0"/>
        </w:rPr>
        <w:t>）《环境噪声与振动控制工程技术导则》（HJ2024-2013）；</w:t>
      </w:r>
    </w:p>
    <w:p>
      <w:pPr>
        <w:tabs>
          <w:tab w:val="left" w:pos="3138"/>
        </w:tabs>
        <w:ind w:firstLine="480"/>
        <w:rPr>
          <w:rFonts w:hint="eastAsia"/>
          <w:color w:val="000000"/>
          <w:kern w:val="0"/>
        </w:rPr>
      </w:pPr>
      <w:r>
        <w:rPr>
          <w:rFonts w:hint="eastAsia"/>
          <w:color w:val="000000"/>
          <w:kern w:val="0"/>
        </w:rPr>
        <w:t>（1</w:t>
      </w:r>
      <w:r>
        <w:rPr>
          <w:color w:val="000000"/>
          <w:kern w:val="0"/>
        </w:rPr>
        <w:t>4</w:t>
      </w:r>
      <w:r>
        <w:rPr>
          <w:rFonts w:hint="eastAsia"/>
          <w:color w:val="000000"/>
          <w:kern w:val="0"/>
        </w:rPr>
        <w:t>）《声环境功能区划分技术规范》（GB/T15190-2014）；</w:t>
      </w:r>
    </w:p>
    <w:p>
      <w:pPr>
        <w:tabs>
          <w:tab w:val="left" w:pos="3138"/>
        </w:tabs>
        <w:ind w:firstLine="480"/>
        <w:rPr>
          <w:color w:val="000000"/>
          <w:kern w:val="0"/>
        </w:rPr>
      </w:pPr>
      <w:r>
        <w:rPr>
          <w:rFonts w:hint="eastAsia"/>
          <w:color w:val="000000"/>
          <w:kern w:val="0"/>
        </w:rPr>
        <w:t>（1</w:t>
      </w:r>
      <w:r>
        <w:rPr>
          <w:color w:val="000000"/>
          <w:kern w:val="0"/>
        </w:rPr>
        <w:t>5</w:t>
      </w:r>
      <w:r>
        <w:rPr>
          <w:rFonts w:hint="eastAsia"/>
          <w:color w:val="000000"/>
          <w:kern w:val="0"/>
        </w:rPr>
        <w:t>）《排污单位自行监测技术指南 总则》(HJ819-2017)，2017 年 6 月 1 日实施；</w:t>
      </w:r>
    </w:p>
    <w:p>
      <w:pPr>
        <w:tabs>
          <w:tab w:val="left" w:pos="3138"/>
        </w:tabs>
        <w:ind w:firstLine="480"/>
        <w:rPr>
          <w:rFonts w:hint="eastAsia"/>
          <w:color w:val="000000"/>
          <w:kern w:val="0"/>
        </w:rPr>
      </w:pPr>
      <w:r>
        <w:rPr>
          <w:rFonts w:hint="eastAsia"/>
          <w:color w:val="000000"/>
          <w:kern w:val="0"/>
        </w:rPr>
        <w:t>（1</w:t>
      </w:r>
      <w:r>
        <w:rPr>
          <w:color w:val="000000"/>
          <w:kern w:val="0"/>
        </w:rPr>
        <w:t>6</w:t>
      </w:r>
      <w:r>
        <w:rPr>
          <w:rFonts w:hint="eastAsia"/>
          <w:color w:val="000000"/>
          <w:kern w:val="0"/>
        </w:rPr>
        <w:t>）《城镇污水处理厂运行监督管理技术规范》（HJ2038-2014）；</w:t>
      </w:r>
    </w:p>
    <w:p>
      <w:pPr>
        <w:tabs>
          <w:tab w:val="left" w:pos="3138"/>
        </w:tabs>
        <w:ind w:firstLine="480"/>
        <w:rPr>
          <w:rFonts w:hint="eastAsia"/>
          <w:color w:val="000000"/>
          <w:kern w:val="0"/>
        </w:rPr>
      </w:pPr>
      <w:r>
        <w:rPr>
          <w:rFonts w:hint="eastAsia"/>
          <w:color w:val="000000"/>
          <w:kern w:val="0"/>
        </w:rPr>
        <w:t>（1</w:t>
      </w:r>
      <w:r>
        <w:rPr>
          <w:color w:val="000000"/>
          <w:kern w:val="0"/>
        </w:rPr>
        <w:t>7</w:t>
      </w:r>
      <w:r>
        <w:rPr>
          <w:rFonts w:hint="eastAsia"/>
          <w:color w:val="000000"/>
          <w:kern w:val="0"/>
        </w:rPr>
        <w:t>）《污染源源强核算技术指南 准则》（HJ884-2018）；</w:t>
      </w:r>
    </w:p>
    <w:p>
      <w:pPr>
        <w:tabs>
          <w:tab w:val="left" w:pos="3138"/>
        </w:tabs>
        <w:ind w:firstLine="480"/>
        <w:rPr>
          <w:rFonts w:hint="eastAsia"/>
          <w:color w:val="000000"/>
          <w:kern w:val="0"/>
        </w:rPr>
      </w:pPr>
      <w:r>
        <w:rPr>
          <w:rFonts w:hint="eastAsia"/>
          <w:color w:val="000000"/>
          <w:kern w:val="0"/>
        </w:rPr>
        <w:t>（1</w:t>
      </w:r>
      <w:r>
        <w:rPr>
          <w:color w:val="000000"/>
          <w:kern w:val="0"/>
        </w:rPr>
        <w:t>8</w:t>
      </w:r>
      <w:r>
        <w:rPr>
          <w:rFonts w:hint="eastAsia"/>
          <w:color w:val="000000"/>
          <w:kern w:val="0"/>
        </w:rPr>
        <w:t>）《城镇污水处理厂污泥处理处置污染防治最佳可行技术指南(试行)》（HJ-BAT-002）；</w:t>
      </w:r>
    </w:p>
    <w:p>
      <w:pPr>
        <w:tabs>
          <w:tab w:val="left" w:pos="3138"/>
        </w:tabs>
        <w:ind w:firstLine="480"/>
        <w:rPr>
          <w:rFonts w:hint="eastAsia" w:eastAsia="宋体"/>
          <w:color w:val="000000"/>
          <w:kern w:val="0"/>
          <w:lang w:eastAsia="zh-CN"/>
        </w:rPr>
      </w:pPr>
      <w:r>
        <w:rPr>
          <w:rFonts w:hint="eastAsia"/>
          <w:color w:val="000000"/>
          <w:kern w:val="0"/>
        </w:rPr>
        <w:t>（1</w:t>
      </w:r>
      <w:r>
        <w:rPr>
          <w:color w:val="000000"/>
          <w:kern w:val="0"/>
        </w:rPr>
        <w:t>9</w:t>
      </w:r>
      <w:r>
        <w:rPr>
          <w:rFonts w:hint="eastAsia"/>
          <w:color w:val="000000"/>
          <w:kern w:val="0"/>
        </w:rPr>
        <w:t>）《排污许可证申请与核发技术规范 水处理（试行）》(HJ978-2018)</w:t>
      </w:r>
      <w:r>
        <w:rPr>
          <w:rFonts w:hint="eastAsia"/>
          <w:color w:val="000000"/>
          <w:kern w:val="0"/>
          <w:lang w:eastAsia="zh-CN"/>
        </w:rPr>
        <w:t>。</w:t>
      </w:r>
    </w:p>
    <w:p>
      <w:pPr>
        <w:pStyle w:val="8"/>
        <w:spacing w:before="163"/>
        <w:rPr>
          <w:rFonts w:hint="default"/>
          <w:b/>
          <w:bCs/>
          <w:color w:val="000000"/>
          <w:lang w:val="en-US" w:eastAsia="zh-CN"/>
        </w:rPr>
      </w:pPr>
      <w:r>
        <w:rPr>
          <w:rFonts w:hint="eastAsia"/>
          <w:b/>
          <w:bCs/>
          <w:color w:val="000000"/>
          <w:lang w:val="en-US" w:eastAsia="zh-CN"/>
        </w:rPr>
        <w:t>1.1.5 建设单位提供的其他资料</w:t>
      </w:r>
    </w:p>
    <w:p>
      <w:pPr>
        <w:adjustRightInd w:val="0"/>
        <w:snapToGrid w:val="0"/>
        <w:ind w:firstLine="482"/>
        <w:rPr>
          <w:rFonts w:hint="eastAsia" w:ascii="Times New Roman" w:hAnsi="Times New Roman" w:eastAsia="宋体" w:cs="Times New Roman"/>
          <w:b w:val="0"/>
          <w:bCs/>
          <w:color w:val="000000"/>
          <w:kern w:val="0"/>
          <w:lang w:eastAsia="zh-CN"/>
        </w:rPr>
      </w:pPr>
      <w:r>
        <w:rPr>
          <w:rFonts w:hint="eastAsia" w:ascii="Times New Roman" w:hAnsi="Times New Roman" w:eastAsia="宋体" w:cs="Times New Roman"/>
          <w:b w:val="0"/>
          <w:bCs/>
          <w:color w:val="000000"/>
          <w:kern w:val="0"/>
        </w:rPr>
        <w:t>（</w:t>
      </w:r>
      <w:r>
        <w:rPr>
          <w:rFonts w:hint="eastAsia" w:ascii="Times New Roman" w:hAnsi="Times New Roman" w:eastAsia="宋体" w:cs="Times New Roman"/>
          <w:b w:val="0"/>
          <w:bCs/>
          <w:color w:val="000000"/>
          <w:kern w:val="0"/>
          <w:lang w:val="en-US" w:eastAsia="zh-CN"/>
        </w:rPr>
        <w:t>1</w:t>
      </w:r>
      <w:r>
        <w:rPr>
          <w:rFonts w:hint="eastAsia" w:ascii="Times New Roman" w:hAnsi="Times New Roman" w:eastAsia="宋体" w:cs="Times New Roman"/>
          <w:b w:val="0"/>
          <w:bCs/>
          <w:color w:val="000000"/>
          <w:kern w:val="0"/>
        </w:rPr>
        <w:t>）</w:t>
      </w:r>
      <w:r>
        <w:rPr>
          <w:rFonts w:hint="eastAsia" w:ascii="Times New Roman" w:hAnsi="Times New Roman" w:eastAsia="宋体" w:cs="Times New Roman"/>
          <w:b w:val="0"/>
          <w:bCs/>
          <w:color w:val="000000"/>
          <w:kern w:val="0"/>
          <w:lang w:eastAsia="zh-CN"/>
        </w:rPr>
        <w:t>《花垣工业集中区突发环境事件应急预案》；</w:t>
      </w:r>
    </w:p>
    <w:p>
      <w:pPr>
        <w:pStyle w:val="2"/>
        <w:ind w:firstLine="240" w:firstLineChars="100"/>
        <w:rPr>
          <w:rFonts w:hint="eastAsia" w:ascii="Times New Roman" w:hAnsi="Times New Roman" w:eastAsia="宋体" w:cs="Times New Roman"/>
          <w:b w:val="0"/>
          <w:bCs/>
          <w:color w:val="000000"/>
          <w:kern w:val="0"/>
          <w:lang w:eastAsia="zh-CN"/>
        </w:rPr>
      </w:pPr>
      <w:r>
        <w:rPr>
          <w:rFonts w:hint="eastAsia" w:ascii="Times New Roman" w:hAnsi="Times New Roman" w:eastAsia="宋体" w:cs="Times New Roman"/>
          <w:b w:val="0"/>
          <w:bCs/>
          <w:color w:val="000000"/>
          <w:kern w:val="0"/>
          <w:lang w:eastAsia="zh-CN"/>
        </w:rPr>
        <w:t>（</w:t>
      </w:r>
      <w:r>
        <w:rPr>
          <w:rFonts w:hint="eastAsia" w:ascii="Times New Roman" w:hAnsi="Times New Roman" w:eastAsia="宋体" w:cs="Times New Roman"/>
          <w:b w:val="0"/>
          <w:bCs/>
          <w:color w:val="000000"/>
          <w:kern w:val="0"/>
          <w:lang w:val="en-US" w:eastAsia="zh-CN"/>
        </w:rPr>
        <w:t>2</w:t>
      </w:r>
      <w:r>
        <w:rPr>
          <w:rFonts w:hint="eastAsia" w:ascii="Times New Roman" w:hAnsi="Times New Roman" w:eastAsia="宋体" w:cs="Times New Roman"/>
          <w:b w:val="0"/>
          <w:bCs/>
          <w:color w:val="000000"/>
          <w:kern w:val="0"/>
          <w:lang w:eastAsia="zh-CN"/>
        </w:rPr>
        <w:t>）《花垣县工业集中区重金属废水处理工程验收监测报告》SAL环监验字【2020】第007号；</w:t>
      </w:r>
    </w:p>
    <w:p>
      <w:pPr>
        <w:pStyle w:val="2"/>
        <w:ind w:firstLine="240" w:firstLineChars="100"/>
        <w:rPr>
          <w:rFonts w:hint="default" w:ascii="Times New Roman" w:hAnsi="Times New Roman" w:eastAsia="宋体" w:cs="Times New Roman"/>
          <w:b w:val="0"/>
          <w:bCs/>
          <w:color w:val="000000"/>
          <w:kern w:val="0"/>
          <w:lang w:val="en-US" w:eastAsia="zh-CN"/>
        </w:rPr>
      </w:pPr>
      <w:r>
        <w:rPr>
          <w:rFonts w:hint="eastAsia" w:ascii="Times New Roman" w:hAnsi="Times New Roman" w:eastAsia="宋体" w:cs="Times New Roman"/>
          <w:b w:val="0"/>
          <w:bCs/>
          <w:color w:val="000000"/>
          <w:kern w:val="0"/>
          <w:lang w:eastAsia="zh-CN"/>
        </w:rPr>
        <w:t>（</w:t>
      </w:r>
      <w:r>
        <w:rPr>
          <w:rFonts w:hint="eastAsia" w:ascii="Times New Roman" w:hAnsi="Times New Roman" w:eastAsia="宋体" w:cs="Times New Roman"/>
          <w:b w:val="0"/>
          <w:bCs/>
          <w:color w:val="000000"/>
          <w:kern w:val="0"/>
          <w:lang w:val="en-US" w:eastAsia="zh-CN"/>
        </w:rPr>
        <w:t>3</w:t>
      </w:r>
      <w:r>
        <w:rPr>
          <w:rFonts w:hint="eastAsia" w:ascii="Times New Roman" w:hAnsi="Times New Roman" w:eastAsia="宋体" w:cs="Times New Roman"/>
          <w:b w:val="0"/>
          <w:bCs/>
          <w:color w:val="000000"/>
          <w:kern w:val="0"/>
          <w:lang w:eastAsia="zh-CN"/>
        </w:rPr>
        <w:t>）《花垣县工业集中区污水处理厂建设项目环境影响报告书》及环评批复；</w:t>
      </w:r>
    </w:p>
    <w:p>
      <w:pPr>
        <w:pStyle w:val="2"/>
        <w:ind w:firstLine="240" w:firstLineChars="100"/>
        <w:rPr>
          <w:rFonts w:hint="eastAsia" w:ascii="Times New Roman" w:hAnsi="Times New Roman" w:eastAsia="宋体" w:cs="Times New Roman"/>
          <w:b w:val="0"/>
          <w:bCs/>
          <w:color w:val="000000"/>
          <w:kern w:val="0"/>
          <w:lang w:eastAsia="zh-CN"/>
        </w:rPr>
      </w:pPr>
      <w:r>
        <w:rPr>
          <w:rFonts w:hint="eastAsia" w:ascii="Times New Roman" w:hAnsi="Times New Roman" w:eastAsia="宋体" w:cs="Times New Roman"/>
          <w:b w:val="0"/>
          <w:bCs/>
          <w:color w:val="000000"/>
          <w:kern w:val="0"/>
          <w:lang w:eastAsia="zh-CN"/>
        </w:rPr>
        <w:t>（</w:t>
      </w:r>
      <w:r>
        <w:rPr>
          <w:rFonts w:hint="eastAsia" w:ascii="Times New Roman" w:hAnsi="Times New Roman" w:eastAsia="宋体" w:cs="Times New Roman"/>
          <w:b w:val="0"/>
          <w:bCs/>
          <w:color w:val="000000"/>
          <w:kern w:val="0"/>
          <w:lang w:val="en-US" w:eastAsia="zh-CN"/>
        </w:rPr>
        <w:t>4</w:t>
      </w:r>
      <w:r>
        <w:rPr>
          <w:rFonts w:hint="eastAsia" w:ascii="Times New Roman" w:hAnsi="Times New Roman" w:eastAsia="宋体" w:cs="Times New Roman"/>
          <w:b w:val="0"/>
          <w:bCs/>
          <w:color w:val="000000"/>
          <w:kern w:val="0"/>
          <w:lang w:eastAsia="zh-CN"/>
        </w:rPr>
        <w:t>）《花垣县工业集中区重金属废水处理工程技术方案》及批复；</w:t>
      </w:r>
    </w:p>
    <w:p>
      <w:pPr>
        <w:pStyle w:val="2"/>
        <w:ind w:firstLine="240" w:firstLineChars="100"/>
        <w:rPr>
          <w:rFonts w:hint="eastAsia" w:ascii="Times New Roman" w:hAnsi="Times New Roman" w:eastAsia="宋体" w:cs="Times New Roman"/>
          <w:b w:val="0"/>
          <w:bCs/>
          <w:color w:val="000000"/>
          <w:kern w:val="0"/>
          <w:lang w:eastAsia="zh-CN"/>
        </w:rPr>
      </w:pPr>
      <w:r>
        <w:rPr>
          <w:rFonts w:hint="eastAsia" w:ascii="Times New Roman" w:hAnsi="Times New Roman" w:eastAsia="宋体" w:cs="Times New Roman"/>
          <w:b w:val="0"/>
          <w:bCs/>
          <w:color w:val="000000"/>
          <w:kern w:val="0"/>
          <w:lang w:eastAsia="zh-CN"/>
        </w:rPr>
        <w:t>（</w:t>
      </w:r>
      <w:r>
        <w:rPr>
          <w:rFonts w:hint="eastAsia" w:ascii="Times New Roman" w:hAnsi="Times New Roman" w:eastAsia="宋体" w:cs="Times New Roman"/>
          <w:b w:val="0"/>
          <w:bCs/>
          <w:color w:val="000000"/>
          <w:kern w:val="0"/>
          <w:lang w:val="en-US" w:eastAsia="zh-CN"/>
        </w:rPr>
        <w:t>5</w:t>
      </w:r>
      <w:r>
        <w:rPr>
          <w:rFonts w:hint="eastAsia" w:ascii="Times New Roman" w:hAnsi="Times New Roman" w:eastAsia="宋体" w:cs="Times New Roman"/>
          <w:b w:val="0"/>
          <w:bCs/>
          <w:color w:val="000000"/>
          <w:kern w:val="0"/>
          <w:lang w:eastAsia="zh-CN"/>
        </w:rPr>
        <w:t>）《湖南东方矿业有限责任公司花垣县锰冶炼产业整合15万吨/年电解锰项目环境影响报告书》以及环评批复；</w:t>
      </w:r>
    </w:p>
    <w:p>
      <w:pPr>
        <w:pStyle w:val="2"/>
        <w:ind w:firstLine="240" w:firstLineChars="100"/>
        <w:rPr>
          <w:rFonts w:hint="eastAsia" w:ascii="Times New Roman" w:hAnsi="Times New Roman" w:eastAsia="宋体" w:cs="Times New Roman"/>
          <w:b w:val="0"/>
          <w:bCs/>
          <w:color w:val="000000"/>
          <w:kern w:val="0"/>
          <w:lang w:eastAsia="zh-CN"/>
        </w:rPr>
      </w:pPr>
      <w:r>
        <w:rPr>
          <w:rFonts w:hint="eastAsia" w:ascii="Times New Roman" w:hAnsi="Times New Roman" w:eastAsia="宋体" w:cs="Times New Roman"/>
          <w:b w:val="0"/>
          <w:bCs/>
          <w:color w:val="000000"/>
          <w:kern w:val="0"/>
          <w:lang w:eastAsia="zh-CN"/>
        </w:rPr>
        <w:t>（</w:t>
      </w:r>
      <w:r>
        <w:rPr>
          <w:rFonts w:hint="eastAsia" w:ascii="Times New Roman" w:hAnsi="Times New Roman" w:eastAsia="宋体" w:cs="Times New Roman"/>
          <w:b w:val="0"/>
          <w:bCs/>
          <w:color w:val="000000"/>
          <w:kern w:val="0"/>
          <w:lang w:val="en-US" w:eastAsia="zh-CN"/>
        </w:rPr>
        <w:t>6</w:t>
      </w:r>
      <w:r>
        <w:rPr>
          <w:rFonts w:hint="eastAsia" w:ascii="Times New Roman" w:hAnsi="Times New Roman" w:eastAsia="宋体" w:cs="Times New Roman"/>
          <w:b w:val="0"/>
          <w:bCs/>
          <w:color w:val="000000"/>
          <w:kern w:val="0"/>
          <w:lang w:eastAsia="zh-CN"/>
        </w:rPr>
        <w:t>）《湖南东方矿业有限责任公司15万吨/年电解锰一期工程竣工环境保护验收监测报告》；</w:t>
      </w:r>
    </w:p>
    <w:p>
      <w:pPr>
        <w:pStyle w:val="2"/>
        <w:ind w:firstLine="240" w:firstLineChars="100"/>
        <w:rPr>
          <w:rFonts w:hint="eastAsia" w:ascii="Times New Roman" w:hAnsi="Times New Roman" w:eastAsia="宋体" w:cs="Times New Roman"/>
          <w:b w:val="0"/>
          <w:bCs/>
          <w:color w:val="000000"/>
          <w:kern w:val="0"/>
          <w:lang w:eastAsia="zh-CN"/>
        </w:rPr>
      </w:pPr>
      <w:r>
        <w:rPr>
          <w:rFonts w:hint="eastAsia" w:ascii="Times New Roman" w:hAnsi="Times New Roman" w:eastAsia="宋体" w:cs="Times New Roman"/>
          <w:b w:val="0"/>
          <w:bCs/>
          <w:color w:val="000000"/>
          <w:kern w:val="0"/>
          <w:lang w:eastAsia="zh-CN"/>
        </w:rPr>
        <w:t>（</w:t>
      </w:r>
      <w:r>
        <w:rPr>
          <w:rFonts w:hint="eastAsia" w:ascii="Times New Roman" w:hAnsi="Times New Roman" w:eastAsia="宋体" w:cs="Times New Roman"/>
          <w:b w:val="0"/>
          <w:bCs/>
          <w:color w:val="000000"/>
          <w:kern w:val="0"/>
          <w:lang w:val="en-US" w:eastAsia="zh-CN"/>
        </w:rPr>
        <w:t>7</w:t>
      </w:r>
      <w:r>
        <w:rPr>
          <w:rFonts w:hint="eastAsia" w:ascii="Times New Roman" w:hAnsi="Times New Roman" w:eastAsia="宋体" w:cs="Times New Roman"/>
          <w:b w:val="0"/>
          <w:bCs/>
          <w:color w:val="000000"/>
          <w:kern w:val="0"/>
          <w:lang w:eastAsia="zh-CN"/>
        </w:rPr>
        <w:t>）《年产100万件通用纳米电解阳极板项目环境影响报告表》（湘西鼎圣利元新材料有限公司）；</w:t>
      </w:r>
    </w:p>
    <w:p>
      <w:pPr>
        <w:pStyle w:val="2"/>
        <w:ind w:firstLine="240" w:firstLineChars="100"/>
        <w:rPr>
          <w:rFonts w:hint="eastAsia" w:ascii="Times New Roman" w:hAnsi="Times New Roman" w:eastAsia="宋体" w:cs="Times New Roman"/>
          <w:b w:val="0"/>
          <w:bCs/>
          <w:color w:val="000000"/>
          <w:kern w:val="0"/>
          <w:lang w:eastAsia="zh-CN"/>
        </w:rPr>
      </w:pPr>
      <w:r>
        <w:rPr>
          <w:rFonts w:hint="eastAsia" w:ascii="Times New Roman" w:hAnsi="Times New Roman" w:eastAsia="宋体" w:cs="Times New Roman"/>
          <w:b w:val="0"/>
          <w:bCs/>
          <w:color w:val="000000"/>
          <w:kern w:val="0"/>
          <w:lang w:eastAsia="zh-CN"/>
        </w:rPr>
        <w:t>（</w:t>
      </w:r>
      <w:r>
        <w:rPr>
          <w:rFonts w:hint="eastAsia" w:ascii="Times New Roman" w:hAnsi="Times New Roman" w:eastAsia="宋体" w:cs="Times New Roman"/>
          <w:b w:val="0"/>
          <w:bCs/>
          <w:color w:val="000000"/>
          <w:kern w:val="0"/>
          <w:lang w:val="en-US" w:eastAsia="zh-CN"/>
        </w:rPr>
        <w:t>8</w:t>
      </w:r>
      <w:r>
        <w:rPr>
          <w:rFonts w:hint="eastAsia" w:ascii="Times New Roman" w:hAnsi="Times New Roman" w:eastAsia="宋体" w:cs="Times New Roman"/>
          <w:b w:val="0"/>
          <w:bCs/>
          <w:color w:val="000000"/>
          <w:kern w:val="0"/>
          <w:lang w:eastAsia="zh-CN"/>
        </w:rPr>
        <w:t>）《花垣县工业集中区污水处理厂入河排污口设置论证报告》（报批稿）以及入河排污口论证报告的批复；</w:t>
      </w:r>
    </w:p>
    <w:p>
      <w:pPr>
        <w:pStyle w:val="2"/>
        <w:ind w:firstLine="240" w:firstLineChars="100"/>
        <w:rPr>
          <w:rFonts w:hint="eastAsia" w:ascii="Times New Roman" w:hAnsi="Times New Roman" w:eastAsia="宋体" w:cs="Times New Roman"/>
          <w:b w:val="0"/>
          <w:bCs/>
          <w:color w:val="000000"/>
          <w:kern w:val="0"/>
          <w:lang w:eastAsia="zh-CN"/>
        </w:rPr>
      </w:pPr>
      <w:r>
        <w:rPr>
          <w:rFonts w:hint="eastAsia" w:ascii="Times New Roman" w:hAnsi="Times New Roman" w:eastAsia="宋体" w:cs="Times New Roman"/>
          <w:b w:val="0"/>
          <w:bCs/>
          <w:color w:val="000000"/>
          <w:kern w:val="0"/>
          <w:lang w:eastAsia="zh-CN"/>
        </w:rPr>
        <w:t>（</w:t>
      </w:r>
      <w:r>
        <w:rPr>
          <w:rFonts w:hint="eastAsia" w:ascii="Times New Roman" w:hAnsi="Times New Roman" w:eastAsia="宋体" w:cs="Times New Roman"/>
          <w:b w:val="0"/>
          <w:bCs/>
          <w:color w:val="000000"/>
          <w:kern w:val="0"/>
          <w:lang w:val="en-US" w:eastAsia="zh-CN"/>
        </w:rPr>
        <w:t>9</w:t>
      </w:r>
      <w:r>
        <w:rPr>
          <w:rFonts w:hint="eastAsia" w:ascii="Times New Roman" w:hAnsi="Times New Roman" w:eastAsia="宋体" w:cs="Times New Roman"/>
          <w:b w:val="0"/>
          <w:bCs/>
          <w:color w:val="000000"/>
          <w:kern w:val="0"/>
          <w:lang w:eastAsia="zh-CN"/>
        </w:rPr>
        <w:t>）《湖南东方锰业集团股份有限公司10000t/a电子级无硒高纯Mn3O4及配套1000t/a高性能软磁铁氧体项目环境影响报告书（报批稿）》（企业现更名为：）</w:t>
      </w:r>
    </w:p>
    <w:p>
      <w:pPr>
        <w:pStyle w:val="2"/>
        <w:ind w:firstLine="240" w:firstLineChars="100"/>
        <w:rPr>
          <w:rFonts w:hint="eastAsia" w:ascii="Times New Roman" w:hAnsi="Times New Roman" w:eastAsia="宋体" w:cs="Times New Roman"/>
          <w:b w:val="0"/>
          <w:bCs/>
          <w:color w:val="000000"/>
          <w:kern w:val="0"/>
          <w:lang w:eastAsia="zh-CN"/>
        </w:rPr>
      </w:pPr>
      <w:r>
        <w:rPr>
          <w:rFonts w:hint="eastAsia" w:ascii="Times New Roman" w:hAnsi="Times New Roman" w:eastAsia="宋体" w:cs="Times New Roman"/>
          <w:b w:val="0"/>
          <w:bCs/>
          <w:color w:val="000000"/>
          <w:kern w:val="0"/>
          <w:lang w:eastAsia="zh-CN"/>
        </w:rPr>
        <w:t>（</w:t>
      </w:r>
      <w:r>
        <w:rPr>
          <w:rFonts w:hint="eastAsia" w:ascii="Times New Roman" w:hAnsi="Times New Roman" w:eastAsia="宋体" w:cs="Times New Roman"/>
          <w:b w:val="0"/>
          <w:bCs/>
          <w:color w:val="000000"/>
          <w:kern w:val="0"/>
          <w:lang w:val="en-US" w:eastAsia="zh-CN"/>
        </w:rPr>
        <w:t>10</w:t>
      </w:r>
      <w:r>
        <w:rPr>
          <w:rFonts w:hint="eastAsia" w:ascii="Times New Roman" w:hAnsi="Times New Roman" w:eastAsia="宋体" w:cs="Times New Roman"/>
          <w:b w:val="0"/>
          <w:bCs/>
          <w:color w:val="000000"/>
          <w:kern w:val="0"/>
          <w:lang w:eastAsia="zh-CN"/>
        </w:rPr>
        <w:t>）《湖南三丰钒业有限公司2000吨五氧化二钒深加工建设项目环评报告书(报批稿)》及环评批复；</w:t>
      </w:r>
    </w:p>
    <w:p>
      <w:pPr>
        <w:pStyle w:val="2"/>
        <w:ind w:firstLine="240" w:firstLineChars="100"/>
        <w:rPr>
          <w:rFonts w:hint="eastAsia" w:ascii="Times New Roman" w:hAnsi="Times New Roman" w:eastAsia="宋体" w:cs="Times New Roman"/>
          <w:b w:val="0"/>
          <w:bCs/>
          <w:color w:val="000000"/>
          <w:kern w:val="0"/>
          <w:lang w:eastAsia="zh-CN"/>
        </w:rPr>
      </w:pPr>
      <w:r>
        <w:rPr>
          <w:rFonts w:hint="eastAsia" w:ascii="Times New Roman" w:hAnsi="Times New Roman" w:eastAsia="宋体" w:cs="Times New Roman"/>
          <w:b w:val="0"/>
          <w:bCs/>
          <w:color w:val="000000"/>
          <w:kern w:val="0"/>
          <w:lang w:eastAsia="zh-CN"/>
        </w:rPr>
        <w:t>（</w:t>
      </w:r>
      <w:r>
        <w:rPr>
          <w:rFonts w:hint="eastAsia" w:ascii="Times New Roman" w:hAnsi="Times New Roman" w:eastAsia="宋体" w:cs="Times New Roman"/>
          <w:b w:val="0"/>
          <w:bCs/>
          <w:color w:val="000000"/>
          <w:kern w:val="0"/>
          <w:lang w:val="en-US" w:eastAsia="zh-CN"/>
        </w:rPr>
        <w:t>11</w:t>
      </w:r>
      <w:r>
        <w:rPr>
          <w:rFonts w:hint="eastAsia" w:ascii="Times New Roman" w:hAnsi="Times New Roman" w:eastAsia="宋体" w:cs="Times New Roman"/>
          <w:b w:val="0"/>
          <w:bCs/>
          <w:color w:val="000000"/>
          <w:kern w:val="0"/>
          <w:lang w:eastAsia="zh-CN"/>
        </w:rPr>
        <w:t>）现场收集相关资料。</w:t>
      </w:r>
    </w:p>
    <w:p>
      <w:pPr>
        <w:pStyle w:val="86"/>
        <w:widowControl w:val="0"/>
        <w:spacing w:before="163" w:after="163"/>
        <w:rPr>
          <w:rFonts w:hint="eastAsia"/>
          <w:color w:val="000000"/>
          <w:kern w:val="0"/>
        </w:rPr>
      </w:pPr>
      <w:bookmarkStart w:id="50" w:name="_Toc29308645"/>
      <w:bookmarkStart w:id="51" w:name="_Toc27953"/>
      <w:r>
        <w:rPr>
          <w:color w:val="000000"/>
          <w:kern w:val="0"/>
        </w:rPr>
        <w:t>1.2评价目的及评价原则</w:t>
      </w:r>
      <w:bookmarkEnd w:id="50"/>
      <w:bookmarkEnd w:id="51"/>
    </w:p>
    <w:p>
      <w:pPr>
        <w:pStyle w:val="8"/>
        <w:keepNext w:val="0"/>
        <w:keepLines w:val="0"/>
        <w:spacing w:before="163"/>
        <w:rPr>
          <w:rFonts w:hint="eastAsia"/>
          <w:color w:val="000000"/>
        </w:rPr>
      </w:pPr>
      <w:bookmarkStart w:id="52" w:name="_Toc489349953"/>
      <w:bookmarkStart w:id="53" w:name="_Toc489349338"/>
      <w:bookmarkStart w:id="54" w:name="_Toc489350207"/>
      <w:bookmarkStart w:id="55" w:name="_Toc489350106"/>
      <w:r>
        <w:rPr>
          <w:rFonts w:hint="eastAsia"/>
          <w:color w:val="000000"/>
        </w:rPr>
        <w:t>1.2.1评价目的</w:t>
      </w:r>
      <w:bookmarkEnd w:id="52"/>
      <w:bookmarkEnd w:id="53"/>
      <w:bookmarkEnd w:id="54"/>
      <w:bookmarkEnd w:id="55"/>
    </w:p>
    <w:p>
      <w:pPr>
        <w:widowControl w:val="0"/>
        <w:tabs>
          <w:tab w:val="left" w:pos="3138"/>
        </w:tabs>
        <w:ind w:firstLine="480"/>
        <w:rPr>
          <w:color w:val="000000"/>
          <w:kern w:val="0"/>
        </w:rPr>
      </w:pPr>
      <w:r>
        <w:rPr>
          <w:rFonts w:hint="eastAsia"/>
          <w:color w:val="000000"/>
          <w:kern w:val="0"/>
        </w:rPr>
        <w:t>（</w:t>
      </w:r>
      <w:r>
        <w:rPr>
          <w:color w:val="000000"/>
          <w:kern w:val="0"/>
        </w:rPr>
        <w:t>1</w:t>
      </w:r>
      <w:r>
        <w:rPr>
          <w:rFonts w:hint="eastAsia"/>
          <w:color w:val="000000"/>
          <w:kern w:val="0"/>
        </w:rPr>
        <w:t>）通过</w:t>
      </w:r>
      <w:r>
        <w:rPr>
          <w:rFonts w:hint="eastAsia"/>
          <w:color w:val="auto"/>
          <w:kern w:val="0"/>
        </w:rPr>
        <w:t>对</w:t>
      </w:r>
      <w:r>
        <w:rPr>
          <w:rFonts w:hint="eastAsia"/>
          <w:color w:val="auto"/>
          <w:kern w:val="0"/>
          <w:lang w:eastAsia="zh-CN"/>
        </w:rPr>
        <w:t>花垣产业开发区</w:t>
      </w:r>
      <w:r>
        <w:rPr>
          <w:rFonts w:hint="eastAsia"/>
          <w:color w:val="auto"/>
          <w:kern w:val="0"/>
        </w:rPr>
        <w:t>和发展规划的调</w:t>
      </w:r>
      <w:r>
        <w:rPr>
          <w:rFonts w:hint="eastAsia"/>
          <w:color w:val="000000"/>
          <w:kern w:val="0"/>
        </w:rPr>
        <w:t>查，摸清区域现有规划的工业结构、工业废水的水量、水质状况及排污规律；预测区域工业废水的水量及水质状况，为工业废水处理规模及工艺的选择提供依据。</w:t>
      </w:r>
    </w:p>
    <w:p>
      <w:pPr>
        <w:widowControl w:val="0"/>
        <w:tabs>
          <w:tab w:val="left" w:pos="3138"/>
        </w:tabs>
        <w:ind w:firstLine="480"/>
        <w:rPr>
          <w:color w:val="000000"/>
          <w:kern w:val="0"/>
        </w:rPr>
      </w:pPr>
      <w:r>
        <w:rPr>
          <w:rFonts w:hint="eastAsia"/>
          <w:color w:val="000000"/>
          <w:kern w:val="0"/>
        </w:rPr>
        <w:t>（</w:t>
      </w:r>
      <w:r>
        <w:rPr>
          <w:color w:val="000000"/>
          <w:kern w:val="0"/>
        </w:rPr>
        <w:t>2</w:t>
      </w:r>
      <w:r>
        <w:rPr>
          <w:rFonts w:hint="eastAsia"/>
          <w:color w:val="000000"/>
          <w:kern w:val="0"/>
        </w:rPr>
        <w:t>）通过现场监测及数据收集，了解工程所在区域的大气、声、地表水、地下水及生态环境现状。</w:t>
      </w:r>
    </w:p>
    <w:p>
      <w:pPr>
        <w:widowControl w:val="0"/>
        <w:tabs>
          <w:tab w:val="left" w:pos="3138"/>
        </w:tabs>
        <w:ind w:firstLine="480"/>
        <w:rPr>
          <w:color w:val="000000"/>
          <w:kern w:val="0"/>
        </w:rPr>
      </w:pPr>
      <w:r>
        <w:rPr>
          <w:rFonts w:hint="eastAsia"/>
          <w:color w:val="000000"/>
          <w:kern w:val="0"/>
        </w:rPr>
        <w:t>（</w:t>
      </w:r>
      <w:r>
        <w:rPr>
          <w:color w:val="000000"/>
          <w:kern w:val="0"/>
        </w:rPr>
        <w:t>3</w:t>
      </w:r>
      <w:r>
        <w:rPr>
          <w:rFonts w:hint="eastAsia"/>
          <w:color w:val="000000"/>
          <w:kern w:val="0"/>
        </w:rPr>
        <w:t>）论证工程拟采取的环保治理措施的技术经济可行性与合理性，最大限度地避免和减轻对区域自然环境和社会环境的不利影响。</w:t>
      </w:r>
    </w:p>
    <w:p>
      <w:pPr>
        <w:widowControl w:val="0"/>
        <w:tabs>
          <w:tab w:val="left" w:pos="3138"/>
        </w:tabs>
        <w:ind w:firstLine="480"/>
        <w:rPr>
          <w:color w:val="000000"/>
          <w:kern w:val="0"/>
        </w:rPr>
      </w:pPr>
      <w:r>
        <w:rPr>
          <w:rFonts w:hint="eastAsia"/>
          <w:color w:val="000000"/>
          <w:kern w:val="0"/>
        </w:rPr>
        <w:t>（</w:t>
      </w:r>
      <w:r>
        <w:rPr>
          <w:color w:val="000000"/>
          <w:kern w:val="0"/>
        </w:rPr>
        <w:t>4</w:t>
      </w:r>
      <w:r>
        <w:rPr>
          <w:rFonts w:hint="eastAsia"/>
          <w:color w:val="000000"/>
          <w:kern w:val="0"/>
        </w:rPr>
        <w:t xml:space="preserve">）从环境保护角度论证项目建设的可行性，并对其可能存在的问题提出合理化建议，为环境管理和工程建设提供依据。 </w:t>
      </w:r>
    </w:p>
    <w:p>
      <w:pPr>
        <w:pStyle w:val="8"/>
        <w:keepNext w:val="0"/>
        <w:keepLines w:val="0"/>
        <w:spacing w:before="163"/>
        <w:rPr>
          <w:color w:val="000000"/>
        </w:rPr>
      </w:pPr>
      <w:bookmarkStart w:id="56" w:name="_Toc489349954"/>
      <w:bookmarkStart w:id="57" w:name="_Toc489349339"/>
      <w:bookmarkStart w:id="58" w:name="_Toc489350208"/>
      <w:bookmarkStart w:id="59" w:name="_Toc489350107"/>
      <w:r>
        <w:rPr>
          <w:color w:val="000000"/>
        </w:rPr>
        <w:t>1.</w:t>
      </w:r>
      <w:r>
        <w:rPr>
          <w:rFonts w:hint="eastAsia"/>
          <w:color w:val="000000"/>
          <w:lang w:val="en-US" w:eastAsia="zh-CN"/>
        </w:rPr>
        <w:t>2</w:t>
      </w:r>
      <w:r>
        <w:rPr>
          <w:color w:val="000000"/>
        </w:rPr>
        <w:t>.2评价原则</w:t>
      </w:r>
      <w:bookmarkEnd w:id="56"/>
      <w:bookmarkEnd w:id="57"/>
      <w:bookmarkEnd w:id="58"/>
      <w:bookmarkEnd w:id="59"/>
      <w:r>
        <w:rPr>
          <w:color w:val="000000"/>
        </w:rPr>
        <w:t xml:space="preserve"> </w:t>
      </w:r>
    </w:p>
    <w:p>
      <w:pPr>
        <w:widowControl w:val="0"/>
        <w:ind w:firstLine="480"/>
        <w:rPr>
          <w:color w:val="000000"/>
          <w:kern w:val="0"/>
        </w:rPr>
      </w:pPr>
      <w:r>
        <w:rPr>
          <w:rFonts w:hint="eastAsia"/>
          <w:color w:val="000000"/>
          <w:kern w:val="0"/>
        </w:rPr>
        <w:t>根据国家有关环保法规，结合项目建设特点确定工程评价原则如下：</w:t>
      </w:r>
    </w:p>
    <w:p>
      <w:pPr>
        <w:widowControl w:val="0"/>
        <w:ind w:firstLine="480"/>
        <w:rPr>
          <w:color w:val="000000"/>
          <w:kern w:val="0"/>
        </w:rPr>
      </w:pPr>
      <w:r>
        <w:rPr>
          <w:rFonts w:hint="eastAsia"/>
          <w:color w:val="000000"/>
          <w:kern w:val="0"/>
        </w:rPr>
        <w:t>（</w:t>
      </w:r>
      <w:r>
        <w:rPr>
          <w:color w:val="000000"/>
          <w:kern w:val="0"/>
        </w:rPr>
        <w:t>1</w:t>
      </w:r>
      <w:r>
        <w:rPr>
          <w:rFonts w:hint="eastAsia"/>
          <w:color w:val="000000"/>
          <w:kern w:val="0"/>
        </w:rPr>
        <w:t>）评价中认真贯彻执行“达标排放”及“污染物总量控制”等环境保护政策及法规；</w:t>
      </w:r>
    </w:p>
    <w:p>
      <w:pPr>
        <w:widowControl w:val="0"/>
        <w:ind w:firstLine="480"/>
        <w:rPr>
          <w:color w:val="000000"/>
          <w:kern w:val="0"/>
        </w:rPr>
      </w:pPr>
      <w:r>
        <w:rPr>
          <w:rFonts w:hint="eastAsia"/>
          <w:color w:val="000000"/>
          <w:kern w:val="0"/>
        </w:rPr>
        <w:t>（</w:t>
      </w:r>
      <w:r>
        <w:rPr>
          <w:color w:val="000000"/>
          <w:kern w:val="0"/>
        </w:rPr>
        <w:t>2</w:t>
      </w:r>
      <w:r>
        <w:rPr>
          <w:rFonts w:hint="eastAsia"/>
          <w:color w:val="000000"/>
          <w:kern w:val="0"/>
        </w:rPr>
        <w:t>）本评价将依据本项目污染源提出削减污染物排放量的措施，使本项目污染物排放量可实现其总量控制的要求；</w:t>
      </w:r>
    </w:p>
    <w:p>
      <w:pPr>
        <w:widowControl w:val="0"/>
        <w:ind w:firstLine="480"/>
        <w:rPr>
          <w:color w:val="000000"/>
          <w:kern w:val="0"/>
        </w:rPr>
      </w:pPr>
      <w:r>
        <w:rPr>
          <w:rFonts w:hint="eastAsia"/>
          <w:color w:val="000000"/>
          <w:kern w:val="0"/>
        </w:rPr>
        <w:t>（</w:t>
      </w:r>
      <w:r>
        <w:rPr>
          <w:color w:val="000000"/>
          <w:kern w:val="0"/>
        </w:rPr>
        <w:t>3</w:t>
      </w:r>
      <w:r>
        <w:rPr>
          <w:rFonts w:hint="eastAsia"/>
          <w:color w:val="000000"/>
          <w:kern w:val="0"/>
        </w:rPr>
        <w:t>）环境影响评价将坚持为项目建设的优化和决策服务，为环境管理服务，注重环评工作的政策性、针对性、客观性、公正性及实用性；</w:t>
      </w:r>
    </w:p>
    <w:p>
      <w:pPr>
        <w:widowControl w:val="0"/>
        <w:ind w:firstLine="480"/>
        <w:rPr>
          <w:color w:val="000000"/>
          <w:kern w:val="0"/>
        </w:rPr>
      </w:pPr>
      <w:r>
        <w:rPr>
          <w:rFonts w:hint="eastAsia"/>
          <w:color w:val="000000"/>
          <w:kern w:val="0"/>
        </w:rPr>
        <w:t>（</w:t>
      </w:r>
      <w:r>
        <w:rPr>
          <w:color w:val="000000"/>
          <w:kern w:val="0"/>
        </w:rPr>
        <w:t>4</w:t>
      </w:r>
      <w:r>
        <w:rPr>
          <w:rFonts w:hint="eastAsia"/>
          <w:color w:val="000000"/>
          <w:kern w:val="0"/>
        </w:rPr>
        <w:t>）评价内容做到重点突出、结论明确、对策可行；</w:t>
      </w:r>
    </w:p>
    <w:p>
      <w:pPr>
        <w:widowControl w:val="0"/>
        <w:ind w:firstLine="480"/>
        <w:rPr>
          <w:color w:val="000000"/>
          <w:kern w:val="0"/>
        </w:rPr>
      </w:pPr>
      <w:r>
        <w:rPr>
          <w:rFonts w:hint="eastAsia"/>
          <w:color w:val="000000"/>
          <w:kern w:val="0"/>
        </w:rPr>
        <w:t>（</w:t>
      </w:r>
      <w:r>
        <w:rPr>
          <w:color w:val="000000"/>
          <w:kern w:val="0"/>
        </w:rPr>
        <w:t>5</w:t>
      </w:r>
      <w:r>
        <w:rPr>
          <w:rFonts w:hint="eastAsia"/>
          <w:color w:val="000000"/>
          <w:kern w:val="0"/>
        </w:rPr>
        <w:t>）在满足评价技术要求的前提下，本次评价工作将尽可能利用该地区现有的有关环境影响评价成果资料；</w:t>
      </w:r>
    </w:p>
    <w:p>
      <w:pPr>
        <w:widowControl w:val="0"/>
        <w:ind w:firstLine="480"/>
        <w:rPr>
          <w:color w:val="000000"/>
          <w:kern w:val="0"/>
        </w:rPr>
      </w:pPr>
      <w:r>
        <w:rPr>
          <w:rFonts w:hint="eastAsia"/>
          <w:color w:val="000000"/>
          <w:kern w:val="0"/>
        </w:rPr>
        <w:t>（</w:t>
      </w:r>
      <w:r>
        <w:rPr>
          <w:color w:val="000000"/>
          <w:kern w:val="0"/>
        </w:rPr>
        <w:t>6</w:t>
      </w:r>
      <w:r>
        <w:rPr>
          <w:rFonts w:hint="eastAsia"/>
          <w:color w:val="000000"/>
          <w:kern w:val="0"/>
        </w:rPr>
        <w:t>）加强类比调查，充分利用国内同类型的污染物治理经验，力争使本项目环评更具实用性和可靠性；</w:t>
      </w:r>
    </w:p>
    <w:p>
      <w:pPr>
        <w:widowControl w:val="0"/>
        <w:ind w:firstLine="480"/>
        <w:rPr>
          <w:color w:val="000000"/>
          <w:kern w:val="0"/>
        </w:rPr>
      </w:pPr>
      <w:r>
        <w:rPr>
          <w:rFonts w:hint="eastAsia"/>
          <w:color w:val="000000"/>
          <w:kern w:val="0"/>
        </w:rPr>
        <w:t>（</w:t>
      </w:r>
      <w:r>
        <w:rPr>
          <w:color w:val="000000"/>
          <w:kern w:val="0"/>
        </w:rPr>
        <w:t>7</w:t>
      </w:r>
      <w:r>
        <w:rPr>
          <w:rFonts w:hint="eastAsia"/>
          <w:color w:val="000000"/>
          <w:kern w:val="0"/>
        </w:rPr>
        <w:t>）环评工作坚持有针对性、科学性和实用性原则，对该项目可能产生的环境影响及危害给出客观而公正的评价。</w:t>
      </w:r>
    </w:p>
    <w:p>
      <w:pPr>
        <w:pStyle w:val="86"/>
        <w:widowControl w:val="0"/>
        <w:spacing w:before="163" w:after="163"/>
        <w:rPr>
          <w:color w:val="000000"/>
        </w:rPr>
      </w:pPr>
      <w:bookmarkStart w:id="60" w:name="_Toc11432"/>
      <w:bookmarkStart w:id="61" w:name="_Toc489349340"/>
      <w:bookmarkStart w:id="62" w:name="_Toc29308646"/>
      <w:bookmarkStart w:id="63" w:name="_Toc489350108"/>
      <w:r>
        <w:rPr>
          <w:rFonts w:hint="eastAsia"/>
          <w:color w:val="000000"/>
        </w:rPr>
        <w:t>1.3总体构思</w:t>
      </w:r>
      <w:bookmarkEnd w:id="60"/>
      <w:bookmarkEnd w:id="61"/>
      <w:bookmarkEnd w:id="62"/>
      <w:bookmarkEnd w:id="63"/>
    </w:p>
    <w:p>
      <w:pPr>
        <w:ind w:firstLine="480"/>
        <w:rPr>
          <w:color w:val="000000"/>
          <w:kern w:val="0"/>
        </w:rPr>
      </w:pPr>
      <w:r>
        <w:rPr>
          <w:rFonts w:hint="eastAsia"/>
          <w:color w:val="000000"/>
          <w:kern w:val="0"/>
        </w:rPr>
        <w:t>根据项目的工程特征及工程所在区域的特点，分析项目建设的环境可行性。评价的总体构思如下：</w:t>
      </w:r>
    </w:p>
    <w:p>
      <w:pPr>
        <w:ind w:firstLine="480"/>
        <w:rPr>
          <w:color w:val="000000"/>
          <w:kern w:val="0"/>
        </w:rPr>
      </w:pPr>
      <w:r>
        <w:rPr>
          <w:rFonts w:hint="eastAsia"/>
          <w:color w:val="000000"/>
          <w:kern w:val="0"/>
        </w:rPr>
        <w:t>（</w:t>
      </w:r>
      <w:r>
        <w:rPr>
          <w:color w:val="000000"/>
          <w:kern w:val="0"/>
        </w:rPr>
        <w:t>1</w:t>
      </w:r>
      <w:r>
        <w:rPr>
          <w:rFonts w:hint="eastAsia"/>
          <w:color w:val="000000"/>
          <w:kern w:val="0"/>
        </w:rPr>
        <w:t>）调查项目区域的环境功能、环境保护敏感目标，进行环境质量现状评价。</w:t>
      </w:r>
    </w:p>
    <w:p>
      <w:pPr>
        <w:ind w:firstLine="480"/>
        <w:rPr>
          <w:color w:val="000000"/>
          <w:kern w:val="0"/>
        </w:rPr>
      </w:pPr>
      <w:r>
        <w:rPr>
          <w:rFonts w:hint="eastAsia"/>
          <w:color w:val="000000"/>
          <w:kern w:val="0"/>
        </w:rPr>
        <w:t>（</w:t>
      </w:r>
      <w:r>
        <w:rPr>
          <w:color w:val="000000"/>
          <w:kern w:val="0"/>
        </w:rPr>
        <w:t>2</w:t>
      </w:r>
      <w:r>
        <w:rPr>
          <w:rFonts w:hint="eastAsia"/>
          <w:color w:val="000000"/>
          <w:kern w:val="0"/>
        </w:rPr>
        <w:t>）根据项目目前的工程状况、区域环境特征，对项目目前所造成的空气、地表水、声环境、固废等方面环境污染，核算项目的排污量，进行环境影响评价，提出有针对性的污染防治措施，确保区域环境质量满足相关标准要求。</w:t>
      </w:r>
    </w:p>
    <w:p>
      <w:pPr>
        <w:ind w:firstLine="480"/>
        <w:rPr>
          <w:rFonts w:hint="eastAsia"/>
          <w:color w:val="000000"/>
          <w:kern w:val="0"/>
        </w:rPr>
      </w:pPr>
      <w:r>
        <w:rPr>
          <w:rFonts w:hint="eastAsia"/>
          <w:color w:val="000000"/>
          <w:kern w:val="0"/>
        </w:rPr>
        <w:t>（</w:t>
      </w:r>
      <w:r>
        <w:rPr>
          <w:color w:val="000000"/>
          <w:kern w:val="0"/>
        </w:rPr>
        <w:t>3</w:t>
      </w:r>
      <w:r>
        <w:rPr>
          <w:rFonts w:hint="eastAsia"/>
          <w:color w:val="000000"/>
          <w:kern w:val="0"/>
        </w:rPr>
        <w:t>）论证该项目是否符合国家和地方有关产业政策、环境保护政策和区域可持续发展规划。坚持公正、公开原则，以环境保护的法律法规、评价技术规范、环境保护标准和项目所在区域的环境功能区划为依据，从环境保护角度论证</w:t>
      </w:r>
      <w:r>
        <w:t>项目</w:t>
      </w:r>
      <w:r>
        <w:rPr>
          <w:rFonts w:hint="eastAsia"/>
          <w:color w:val="000000"/>
          <w:kern w:val="0"/>
        </w:rPr>
        <w:t>的可行性、环境保护措施的合理性，最终为项目的决策和环境管理提供科学依据。</w:t>
      </w:r>
    </w:p>
    <w:p>
      <w:pPr>
        <w:pStyle w:val="86"/>
        <w:spacing w:before="163" w:after="163"/>
        <w:rPr>
          <w:rFonts w:hint="eastAsia"/>
          <w:color w:val="000000"/>
          <w:kern w:val="0"/>
        </w:rPr>
      </w:pPr>
      <w:bookmarkStart w:id="64" w:name="_Toc29308647"/>
      <w:bookmarkStart w:id="65" w:name="_Toc17946"/>
      <w:r>
        <w:rPr>
          <w:rFonts w:hint="eastAsia"/>
          <w:color w:val="000000"/>
          <w:kern w:val="0"/>
        </w:rPr>
        <w:t>1.4 环境影响识别</w:t>
      </w:r>
      <w:bookmarkEnd w:id="64"/>
      <w:bookmarkEnd w:id="65"/>
    </w:p>
    <w:p>
      <w:pPr>
        <w:ind w:firstLine="480"/>
        <w:rPr>
          <w:color w:val="000000"/>
          <w:kern w:val="0"/>
        </w:rPr>
      </w:pPr>
      <w:r>
        <w:rPr>
          <w:rFonts w:hint="eastAsia"/>
          <w:color w:val="000000"/>
          <w:kern w:val="0"/>
        </w:rPr>
        <w:t>为了对项目区域环境带来的影响作出切合实际的评价，提出可靠的污染治理措施及保护措施，本评价从环境对本项目的影响、本项目对环境影响因素出发，分别识别出主要的环境问题及主要评价因子，对环境影响进行识别。</w:t>
      </w:r>
      <w:r>
        <w:rPr>
          <w:color w:val="000000"/>
          <w:kern w:val="0"/>
        </w:rPr>
        <w:t>本次环评中环境影响要素识别使用矩阵法，详见表</w:t>
      </w:r>
      <w:r>
        <w:rPr>
          <w:rFonts w:eastAsia="Times New Roman"/>
          <w:color w:val="000000"/>
          <w:kern w:val="0"/>
        </w:rPr>
        <w:t>1</w:t>
      </w:r>
      <w:r>
        <w:rPr>
          <w:rFonts w:hint="eastAsia"/>
          <w:color w:val="000000"/>
          <w:kern w:val="0"/>
        </w:rPr>
        <w:t>.</w:t>
      </w:r>
      <w:r>
        <w:rPr>
          <w:color w:val="000000"/>
          <w:kern w:val="0"/>
        </w:rPr>
        <w:t>4</w:t>
      </w:r>
      <w:r>
        <w:rPr>
          <w:rFonts w:hint="eastAsia"/>
          <w:color w:val="000000"/>
          <w:kern w:val="0"/>
        </w:rPr>
        <w:t>-1</w:t>
      </w:r>
      <w:r>
        <w:rPr>
          <w:color w:val="000000"/>
          <w:kern w:val="0"/>
        </w:rPr>
        <w:t>。</w:t>
      </w:r>
    </w:p>
    <w:p>
      <w:pPr>
        <w:ind w:firstLine="422"/>
        <w:jc w:val="center"/>
        <w:rPr>
          <w:b/>
          <w:color w:val="000000"/>
          <w:kern w:val="0"/>
          <w:sz w:val="21"/>
          <w:szCs w:val="21"/>
        </w:rPr>
      </w:pPr>
      <w:r>
        <w:rPr>
          <w:b/>
          <w:color w:val="000000"/>
          <w:kern w:val="0"/>
          <w:sz w:val="21"/>
          <w:szCs w:val="21"/>
        </w:rPr>
        <w:t>表</w:t>
      </w:r>
      <w:r>
        <w:rPr>
          <w:rFonts w:hint="eastAsia"/>
          <w:b/>
          <w:color w:val="000000"/>
          <w:kern w:val="0"/>
          <w:sz w:val="21"/>
          <w:szCs w:val="21"/>
        </w:rPr>
        <w:t xml:space="preserve"> </w:t>
      </w:r>
      <w:r>
        <w:rPr>
          <w:rFonts w:eastAsia="Times New Roman"/>
          <w:b/>
          <w:color w:val="000000"/>
          <w:kern w:val="0"/>
          <w:sz w:val="21"/>
          <w:szCs w:val="21"/>
        </w:rPr>
        <w:t>1.</w:t>
      </w:r>
      <w:r>
        <w:rPr>
          <w:rFonts w:hint="eastAsia"/>
          <w:b/>
          <w:color w:val="000000"/>
          <w:kern w:val="0"/>
          <w:sz w:val="21"/>
          <w:szCs w:val="21"/>
        </w:rPr>
        <w:t>4-</w:t>
      </w:r>
      <w:r>
        <w:rPr>
          <w:rFonts w:eastAsia="Times New Roman"/>
          <w:b/>
          <w:color w:val="000000"/>
          <w:kern w:val="0"/>
          <w:sz w:val="21"/>
          <w:szCs w:val="21"/>
        </w:rPr>
        <w:t>1</w:t>
      </w:r>
      <w:r>
        <w:rPr>
          <w:rFonts w:eastAsia="Times New Roman"/>
          <w:b/>
          <w:color w:val="000000"/>
          <w:kern w:val="0"/>
          <w:sz w:val="21"/>
          <w:szCs w:val="21"/>
        </w:rPr>
        <w:tab/>
      </w:r>
      <w:r>
        <w:rPr>
          <w:b/>
          <w:color w:val="000000"/>
          <w:kern w:val="0"/>
          <w:sz w:val="21"/>
          <w:szCs w:val="21"/>
        </w:rPr>
        <w:t>工程环境影响识别表</w:t>
      </w:r>
      <w:bookmarkStart w:id="66" w:name="_Toc489350109"/>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562"/>
        <w:gridCol w:w="535"/>
        <w:gridCol w:w="457"/>
        <w:gridCol w:w="504"/>
        <w:gridCol w:w="457"/>
        <w:gridCol w:w="457"/>
        <w:gridCol w:w="503"/>
        <w:gridCol w:w="457"/>
        <w:gridCol w:w="457"/>
        <w:gridCol w:w="535"/>
        <w:gridCol w:w="457"/>
        <w:gridCol w:w="536"/>
        <w:gridCol w:w="457"/>
        <w:gridCol w:w="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1" w:type="dxa"/>
            <w:vMerge w:val="restart"/>
            <w:noWrap w:val="0"/>
            <w:vAlign w:val="center"/>
          </w:tcPr>
          <w:p>
            <w:pPr>
              <w:pStyle w:val="79"/>
              <w:rPr>
                <w:rFonts w:hint="eastAsia"/>
                <w:b/>
                <w:bCs/>
                <w:color w:val="auto"/>
              </w:rPr>
            </w:pPr>
            <w:r>
              <w:rPr>
                <w:rFonts w:hint="eastAsia"/>
                <w:b/>
                <w:bCs/>
                <w:color w:val="auto"/>
              </w:rPr>
              <w:t>时期</w:t>
            </w:r>
          </w:p>
        </w:tc>
        <w:tc>
          <w:tcPr>
            <w:tcW w:w="1562" w:type="dxa"/>
            <w:vMerge w:val="restart"/>
            <w:noWrap w:val="0"/>
            <w:vAlign w:val="center"/>
          </w:tcPr>
          <w:p>
            <w:pPr>
              <w:pStyle w:val="79"/>
              <w:rPr>
                <w:rFonts w:hint="eastAsia"/>
                <w:b/>
                <w:bCs/>
                <w:color w:val="auto"/>
              </w:rPr>
            </w:pPr>
            <w:r>
              <w:rPr>
                <w:rFonts w:hint="eastAsia"/>
                <w:b/>
                <w:bCs/>
                <w:color w:val="auto"/>
              </w:rPr>
              <w:t>项目</w:t>
            </w:r>
          </w:p>
        </w:tc>
        <w:tc>
          <w:tcPr>
            <w:tcW w:w="1953" w:type="dxa"/>
            <w:gridSpan w:val="4"/>
            <w:noWrap w:val="0"/>
            <w:vAlign w:val="center"/>
          </w:tcPr>
          <w:p>
            <w:pPr>
              <w:pStyle w:val="79"/>
              <w:rPr>
                <w:rFonts w:hint="eastAsia"/>
                <w:b/>
                <w:bCs/>
                <w:color w:val="auto"/>
              </w:rPr>
            </w:pPr>
            <w:r>
              <w:rPr>
                <w:rFonts w:hint="eastAsia"/>
                <w:b/>
                <w:bCs/>
                <w:color w:val="auto"/>
              </w:rPr>
              <w:t>环境要素</w:t>
            </w:r>
          </w:p>
        </w:tc>
        <w:tc>
          <w:tcPr>
            <w:tcW w:w="1417" w:type="dxa"/>
            <w:gridSpan w:val="3"/>
            <w:noWrap w:val="0"/>
            <w:vAlign w:val="center"/>
          </w:tcPr>
          <w:p>
            <w:pPr>
              <w:pStyle w:val="79"/>
              <w:rPr>
                <w:rFonts w:hint="eastAsia"/>
                <w:b/>
                <w:bCs/>
                <w:color w:val="auto"/>
              </w:rPr>
            </w:pPr>
            <w:r>
              <w:rPr>
                <w:rFonts w:hint="eastAsia"/>
                <w:b/>
                <w:bCs/>
                <w:color w:val="auto"/>
              </w:rPr>
              <w:t>生态资源</w:t>
            </w:r>
          </w:p>
        </w:tc>
        <w:tc>
          <w:tcPr>
            <w:tcW w:w="3003" w:type="dxa"/>
            <w:gridSpan w:val="6"/>
            <w:noWrap w:val="0"/>
            <w:vAlign w:val="center"/>
          </w:tcPr>
          <w:p>
            <w:pPr>
              <w:pStyle w:val="79"/>
              <w:rPr>
                <w:rFonts w:hint="eastAsia"/>
                <w:b/>
                <w:bCs/>
                <w:color w:val="auto"/>
              </w:rPr>
            </w:pPr>
            <w:r>
              <w:rPr>
                <w:rFonts w:hint="eastAsia"/>
                <w:b/>
                <w:bCs/>
                <w:color w:val="auto"/>
              </w:rPr>
              <w:t>社会环境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31" w:type="dxa"/>
            <w:vMerge w:val="continue"/>
            <w:noWrap w:val="0"/>
            <w:vAlign w:val="center"/>
          </w:tcPr>
          <w:p>
            <w:pPr>
              <w:pStyle w:val="79"/>
              <w:rPr>
                <w:rFonts w:hint="eastAsia"/>
                <w:b/>
                <w:bCs/>
                <w:color w:val="auto"/>
              </w:rPr>
            </w:pPr>
          </w:p>
        </w:tc>
        <w:tc>
          <w:tcPr>
            <w:tcW w:w="1562" w:type="dxa"/>
            <w:vMerge w:val="continue"/>
            <w:noWrap w:val="0"/>
            <w:vAlign w:val="center"/>
          </w:tcPr>
          <w:p>
            <w:pPr>
              <w:pStyle w:val="79"/>
              <w:rPr>
                <w:rFonts w:hint="eastAsia"/>
                <w:b/>
                <w:bCs/>
                <w:color w:val="auto"/>
              </w:rPr>
            </w:pPr>
          </w:p>
        </w:tc>
        <w:tc>
          <w:tcPr>
            <w:tcW w:w="535" w:type="dxa"/>
            <w:noWrap w:val="0"/>
            <w:vAlign w:val="center"/>
          </w:tcPr>
          <w:p>
            <w:pPr>
              <w:pStyle w:val="79"/>
              <w:rPr>
                <w:rFonts w:hint="eastAsia"/>
                <w:b/>
                <w:bCs/>
                <w:color w:val="auto"/>
              </w:rPr>
            </w:pPr>
            <w:r>
              <w:rPr>
                <w:rFonts w:hint="eastAsia"/>
                <w:b/>
                <w:bCs/>
                <w:color w:val="auto"/>
              </w:rPr>
              <w:t>水环境</w:t>
            </w:r>
          </w:p>
        </w:tc>
        <w:tc>
          <w:tcPr>
            <w:tcW w:w="457" w:type="dxa"/>
            <w:noWrap w:val="0"/>
            <w:vAlign w:val="center"/>
          </w:tcPr>
          <w:p>
            <w:pPr>
              <w:pStyle w:val="79"/>
              <w:rPr>
                <w:rFonts w:hint="eastAsia"/>
                <w:b/>
                <w:bCs/>
                <w:color w:val="auto"/>
              </w:rPr>
            </w:pPr>
            <w:r>
              <w:rPr>
                <w:rFonts w:hint="eastAsia"/>
                <w:b/>
                <w:bCs/>
                <w:color w:val="auto"/>
              </w:rPr>
              <w:t>大气环境</w:t>
            </w:r>
          </w:p>
        </w:tc>
        <w:tc>
          <w:tcPr>
            <w:tcW w:w="504" w:type="dxa"/>
            <w:noWrap w:val="0"/>
            <w:vAlign w:val="center"/>
          </w:tcPr>
          <w:p>
            <w:pPr>
              <w:pStyle w:val="79"/>
              <w:rPr>
                <w:rFonts w:hint="eastAsia"/>
                <w:b/>
                <w:bCs/>
                <w:color w:val="auto"/>
              </w:rPr>
            </w:pPr>
            <w:r>
              <w:rPr>
                <w:rFonts w:hint="eastAsia"/>
                <w:b/>
                <w:bCs/>
                <w:color w:val="auto"/>
              </w:rPr>
              <w:t>声环境</w:t>
            </w:r>
          </w:p>
        </w:tc>
        <w:tc>
          <w:tcPr>
            <w:tcW w:w="457" w:type="dxa"/>
            <w:noWrap w:val="0"/>
            <w:vAlign w:val="center"/>
          </w:tcPr>
          <w:p>
            <w:pPr>
              <w:pStyle w:val="79"/>
              <w:rPr>
                <w:rFonts w:hint="eastAsia"/>
                <w:b/>
                <w:bCs/>
                <w:color w:val="auto"/>
              </w:rPr>
            </w:pPr>
            <w:r>
              <w:rPr>
                <w:rFonts w:hint="eastAsia"/>
                <w:b/>
                <w:bCs/>
                <w:color w:val="auto"/>
              </w:rPr>
              <w:t>土壤环境</w:t>
            </w:r>
          </w:p>
        </w:tc>
        <w:tc>
          <w:tcPr>
            <w:tcW w:w="457" w:type="dxa"/>
            <w:noWrap w:val="0"/>
            <w:vAlign w:val="center"/>
          </w:tcPr>
          <w:p>
            <w:pPr>
              <w:pStyle w:val="79"/>
              <w:rPr>
                <w:rFonts w:hint="eastAsia"/>
                <w:b/>
                <w:bCs/>
                <w:color w:val="auto"/>
              </w:rPr>
            </w:pPr>
            <w:r>
              <w:rPr>
                <w:rFonts w:hint="eastAsia"/>
                <w:b/>
                <w:bCs/>
                <w:color w:val="auto"/>
              </w:rPr>
              <w:t>植被</w:t>
            </w:r>
          </w:p>
        </w:tc>
        <w:tc>
          <w:tcPr>
            <w:tcW w:w="503" w:type="dxa"/>
            <w:noWrap w:val="0"/>
            <w:vAlign w:val="center"/>
          </w:tcPr>
          <w:p>
            <w:pPr>
              <w:pStyle w:val="79"/>
              <w:rPr>
                <w:rFonts w:hint="eastAsia"/>
                <w:b/>
                <w:bCs/>
                <w:color w:val="auto"/>
              </w:rPr>
            </w:pPr>
            <w:r>
              <w:rPr>
                <w:rFonts w:hint="eastAsia"/>
                <w:b/>
                <w:bCs/>
                <w:color w:val="auto"/>
              </w:rPr>
              <w:t>水生生物</w:t>
            </w:r>
          </w:p>
        </w:tc>
        <w:tc>
          <w:tcPr>
            <w:tcW w:w="457" w:type="dxa"/>
            <w:noWrap w:val="0"/>
            <w:vAlign w:val="center"/>
          </w:tcPr>
          <w:p>
            <w:pPr>
              <w:pStyle w:val="79"/>
              <w:rPr>
                <w:rFonts w:hint="eastAsia"/>
                <w:b/>
                <w:bCs/>
                <w:color w:val="auto"/>
              </w:rPr>
            </w:pPr>
            <w:r>
              <w:rPr>
                <w:rFonts w:hint="eastAsia"/>
                <w:b/>
                <w:bCs/>
                <w:color w:val="auto"/>
              </w:rPr>
              <w:t>大气圈</w:t>
            </w:r>
          </w:p>
        </w:tc>
        <w:tc>
          <w:tcPr>
            <w:tcW w:w="457" w:type="dxa"/>
            <w:noWrap w:val="0"/>
            <w:vAlign w:val="center"/>
          </w:tcPr>
          <w:p>
            <w:pPr>
              <w:pStyle w:val="79"/>
              <w:rPr>
                <w:rFonts w:hint="eastAsia"/>
                <w:b/>
                <w:bCs/>
                <w:color w:val="auto"/>
              </w:rPr>
            </w:pPr>
            <w:r>
              <w:rPr>
                <w:rFonts w:hint="eastAsia"/>
                <w:b/>
                <w:bCs/>
                <w:color w:val="auto"/>
              </w:rPr>
              <w:t>水源保护</w:t>
            </w:r>
          </w:p>
        </w:tc>
        <w:tc>
          <w:tcPr>
            <w:tcW w:w="535" w:type="dxa"/>
            <w:noWrap w:val="0"/>
            <w:vAlign w:val="center"/>
          </w:tcPr>
          <w:p>
            <w:pPr>
              <w:pStyle w:val="79"/>
              <w:rPr>
                <w:rFonts w:hint="eastAsia"/>
                <w:b/>
                <w:bCs/>
                <w:color w:val="auto"/>
              </w:rPr>
            </w:pPr>
            <w:r>
              <w:rPr>
                <w:rFonts w:hint="eastAsia"/>
                <w:b/>
                <w:bCs/>
                <w:color w:val="auto"/>
              </w:rPr>
              <w:t>工业发展</w:t>
            </w:r>
          </w:p>
        </w:tc>
        <w:tc>
          <w:tcPr>
            <w:tcW w:w="457" w:type="dxa"/>
            <w:noWrap w:val="0"/>
            <w:vAlign w:val="center"/>
          </w:tcPr>
          <w:p>
            <w:pPr>
              <w:pStyle w:val="79"/>
              <w:rPr>
                <w:rFonts w:hint="eastAsia"/>
                <w:b/>
                <w:bCs/>
                <w:color w:val="auto"/>
              </w:rPr>
            </w:pPr>
            <w:r>
              <w:rPr>
                <w:rFonts w:hint="eastAsia"/>
                <w:b/>
                <w:bCs/>
                <w:color w:val="auto"/>
              </w:rPr>
              <w:t>景观</w:t>
            </w:r>
          </w:p>
        </w:tc>
        <w:tc>
          <w:tcPr>
            <w:tcW w:w="536" w:type="dxa"/>
            <w:noWrap w:val="0"/>
            <w:vAlign w:val="center"/>
          </w:tcPr>
          <w:p>
            <w:pPr>
              <w:pStyle w:val="79"/>
              <w:rPr>
                <w:rFonts w:hint="eastAsia"/>
                <w:b/>
                <w:bCs/>
                <w:color w:val="auto"/>
              </w:rPr>
            </w:pPr>
            <w:r>
              <w:rPr>
                <w:rFonts w:hint="eastAsia"/>
                <w:b/>
                <w:bCs/>
                <w:color w:val="auto"/>
              </w:rPr>
              <w:t>居民生活</w:t>
            </w:r>
          </w:p>
        </w:tc>
        <w:tc>
          <w:tcPr>
            <w:tcW w:w="457" w:type="dxa"/>
            <w:noWrap w:val="0"/>
            <w:vAlign w:val="center"/>
          </w:tcPr>
          <w:p>
            <w:pPr>
              <w:pStyle w:val="79"/>
              <w:rPr>
                <w:rFonts w:hint="eastAsia"/>
                <w:b/>
                <w:bCs/>
                <w:color w:val="auto"/>
              </w:rPr>
            </w:pPr>
            <w:r>
              <w:rPr>
                <w:rFonts w:hint="eastAsia"/>
                <w:b/>
                <w:bCs/>
                <w:color w:val="auto"/>
              </w:rPr>
              <w:t>就业</w:t>
            </w:r>
          </w:p>
        </w:tc>
        <w:tc>
          <w:tcPr>
            <w:tcW w:w="561" w:type="dxa"/>
            <w:noWrap w:val="0"/>
            <w:vAlign w:val="center"/>
          </w:tcPr>
          <w:p>
            <w:pPr>
              <w:pStyle w:val="79"/>
              <w:rPr>
                <w:rFonts w:hint="eastAsia"/>
                <w:b/>
                <w:bCs/>
                <w:color w:val="auto"/>
              </w:rPr>
            </w:pPr>
            <w:r>
              <w:rPr>
                <w:rFonts w:hint="eastAsia"/>
                <w:b/>
                <w:bCs/>
                <w:color w:val="auto"/>
              </w:rPr>
              <w:t>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1" w:type="dxa"/>
            <w:vMerge w:val="restart"/>
            <w:noWrap w:val="0"/>
            <w:vAlign w:val="center"/>
          </w:tcPr>
          <w:p>
            <w:pPr>
              <w:pStyle w:val="79"/>
              <w:rPr>
                <w:rFonts w:hint="eastAsia"/>
                <w:color w:val="auto"/>
              </w:rPr>
            </w:pPr>
            <w:r>
              <w:rPr>
                <w:rFonts w:hint="eastAsia"/>
                <w:color w:val="auto"/>
              </w:rPr>
              <w:t>施工期</w:t>
            </w:r>
          </w:p>
        </w:tc>
        <w:tc>
          <w:tcPr>
            <w:tcW w:w="1562" w:type="dxa"/>
            <w:noWrap w:val="0"/>
            <w:vAlign w:val="center"/>
          </w:tcPr>
          <w:p>
            <w:pPr>
              <w:pStyle w:val="79"/>
              <w:rPr>
                <w:rFonts w:hint="eastAsia"/>
                <w:color w:val="auto"/>
              </w:rPr>
            </w:pPr>
            <w:r>
              <w:rPr>
                <w:rFonts w:hint="eastAsia"/>
                <w:color w:val="auto"/>
              </w:rPr>
              <w:t>取土、弃土</w:t>
            </w:r>
          </w:p>
        </w:tc>
        <w:tc>
          <w:tcPr>
            <w:tcW w:w="535"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04" w:type="dxa"/>
            <w:noWrap w:val="0"/>
            <w:vAlign w:val="center"/>
          </w:tcPr>
          <w:p>
            <w:pPr>
              <w:pStyle w:val="79"/>
              <w:rPr>
                <w:rFonts w:hint="eastAsia"/>
                <w:color w:val="auto"/>
              </w:rPr>
            </w:pPr>
          </w:p>
        </w:tc>
        <w:tc>
          <w:tcPr>
            <w:tcW w:w="457" w:type="dxa"/>
            <w:noWrap w:val="0"/>
            <w:vAlign w:val="center"/>
          </w:tcPr>
          <w:p>
            <w:pPr>
              <w:pStyle w:val="79"/>
              <w:rPr>
                <w:rFonts w:hint="eastAsia"/>
                <w:color w:val="auto"/>
              </w:rPr>
            </w:pPr>
            <w:r>
              <w:rPr>
                <w:rFonts w:hint="eastAsia"/>
                <w:color w:val="auto"/>
              </w:rPr>
              <w:t>—</w:t>
            </w:r>
          </w:p>
        </w:tc>
        <w:tc>
          <w:tcPr>
            <w:tcW w:w="457" w:type="dxa"/>
            <w:noWrap w:val="0"/>
            <w:vAlign w:val="center"/>
          </w:tcPr>
          <w:p>
            <w:pPr>
              <w:pStyle w:val="79"/>
              <w:rPr>
                <w:rFonts w:hint="eastAsia"/>
                <w:color w:val="auto"/>
              </w:rPr>
            </w:pPr>
            <w:r>
              <w:rPr>
                <w:rFonts w:hint="eastAsia"/>
                <w:color w:val="auto"/>
              </w:rPr>
              <w:t>—</w:t>
            </w:r>
          </w:p>
        </w:tc>
        <w:tc>
          <w:tcPr>
            <w:tcW w:w="503"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35" w:type="dxa"/>
            <w:noWrap w:val="0"/>
            <w:vAlign w:val="center"/>
          </w:tcPr>
          <w:p>
            <w:pPr>
              <w:pStyle w:val="79"/>
              <w:rPr>
                <w:rFonts w:hint="eastAsia"/>
                <w:color w:val="auto"/>
              </w:rPr>
            </w:pPr>
          </w:p>
        </w:tc>
        <w:tc>
          <w:tcPr>
            <w:tcW w:w="457" w:type="dxa"/>
            <w:noWrap w:val="0"/>
            <w:vAlign w:val="center"/>
          </w:tcPr>
          <w:p>
            <w:pPr>
              <w:pStyle w:val="79"/>
              <w:rPr>
                <w:rFonts w:hint="eastAsia"/>
                <w:color w:val="auto"/>
              </w:rPr>
            </w:pPr>
            <w:r>
              <w:rPr>
                <w:rFonts w:hint="eastAsia"/>
                <w:color w:val="auto"/>
              </w:rPr>
              <w:t>—</w:t>
            </w:r>
          </w:p>
        </w:tc>
        <w:tc>
          <w:tcPr>
            <w:tcW w:w="536" w:type="dxa"/>
            <w:noWrap w:val="0"/>
            <w:vAlign w:val="center"/>
          </w:tcPr>
          <w:p>
            <w:pPr>
              <w:pStyle w:val="79"/>
              <w:rPr>
                <w:rFonts w:hint="eastAsia"/>
                <w:color w:val="auto"/>
              </w:rPr>
            </w:pPr>
          </w:p>
        </w:tc>
        <w:tc>
          <w:tcPr>
            <w:tcW w:w="457" w:type="dxa"/>
            <w:noWrap w:val="0"/>
            <w:vAlign w:val="center"/>
          </w:tcPr>
          <w:p>
            <w:pPr>
              <w:pStyle w:val="79"/>
              <w:rPr>
                <w:rFonts w:hint="eastAsia"/>
                <w:color w:val="auto"/>
              </w:rPr>
            </w:pPr>
            <w:r>
              <w:rPr>
                <w:rFonts w:hint="eastAsia"/>
                <w:color w:val="auto"/>
              </w:rPr>
              <w:t>+</w:t>
            </w:r>
          </w:p>
        </w:tc>
        <w:tc>
          <w:tcPr>
            <w:tcW w:w="561" w:type="dxa"/>
            <w:noWrap w:val="0"/>
            <w:vAlign w:val="center"/>
          </w:tcPr>
          <w:p>
            <w:pPr>
              <w:pStyle w:val="79"/>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continue"/>
            <w:noWrap w:val="0"/>
            <w:vAlign w:val="center"/>
          </w:tcPr>
          <w:p>
            <w:pPr>
              <w:pStyle w:val="79"/>
              <w:rPr>
                <w:rFonts w:hint="eastAsia"/>
                <w:color w:val="auto"/>
              </w:rPr>
            </w:pPr>
          </w:p>
        </w:tc>
        <w:tc>
          <w:tcPr>
            <w:tcW w:w="1562" w:type="dxa"/>
            <w:noWrap w:val="0"/>
            <w:vAlign w:val="center"/>
          </w:tcPr>
          <w:p>
            <w:pPr>
              <w:pStyle w:val="79"/>
              <w:rPr>
                <w:rFonts w:hint="eastAsia"/>
                <w:color w:val="auto"/>
              </w:rPr>
            </w:pPr>
            <w:r>
              <w:rPr>
                <w:rFonts w:hint="eastAsia"/>
                <w:color w:val="auto"/>
              </w:rPr>
              <w:t>施工噪声</w:t>
            </w:r>
          </w:p>
        </w:tc>
        <w:tc>
          <w:tcPr>
            <w:tcW w:w="535"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04" w:type="dxa"/>
            <w:noWrap w:val="0"/>
            <w:vAlign w:val="center"/>
          </w:tcPr>
          <w:p>
            <w:pPr>
              <w:pStyle w:val="79"/>
              <w:rPr>
                <w:rFonts w:hint="eastAsia"/>
                <w:color w:val="auto"/>
              </w:rPr>
            </w:pPr>
            <w:r>
              <w:rPr>
                <w:rFonts w:hint="eastAsia"/>
                <w:color w:val="auto"/>
              </w:rPr>
              <w:t>—</w:t>
            </w:r>
          </w:p>
        </w:tc>
        <w:tc>
          <w:tcPr>
            <w:tcW w:w="457"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03"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35"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36"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61" w:type="dxa"/>
            <w:noWrap w:val="0"/>
            <w:vAlign w:val="center"/>
          </w:tcPr>
          <w:p>
            <w:pPr>
              <w:pStyle w:val="79"/>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continue"/>
            <w:noWrap w:val="0"/>
            <w:vAlign w:val="center"/>
          </w:tcPr>
          <w:p>
            <w:pPr>
              <w:pStyle w:val="79"/>
              <w:rPr>
                <w:rFonts w:hint="eastAsia"/>
                <w:color w:val="auto"/>
              </w:rPr>
            </w:pPr>
          </w:p>
        </w:tc>
        <w:tc>
          <w:tcPr>
            <w:tcW w:w="1562" w:type="dxa"/>
            <w:noWrap w:val="0"/>
            <w:vAlign w:val="center"/>
          </w:tcPr>
          <w:p>
            <w:pPr>
              <w:pStyle w:val="79"/>
              <w:rPr>
                <w:rFonts w:hint="eastAsia"/>
                <w:color w:val="auto"/>
              </w:rPr>
            </w:pPr>
            <w:r>
              <w:rPr>
                <w:rFonts w:hint="eastAsia"/>
                <w:color w:val="auto"/>
              </w:rPr>
              <w:t>施工扬尘</w:t>
            </w:r>
          </w:p>
        </w:tc>
        <w:tc>
          <w:tcPr>
            <w:tcW w:w="535" w:type="dxa"/>
            <w:noWrap w:val="0"/>
            <w:vAlign w:val="center"/>
          </w:tcPr>
          <w:p>
            <w:pPr>
              <w:pStyle w:val="79"/>
              <w:rPr>
                <w:rFonts w:hint="eastAsia"/>
                <w:color w:val="auto"/>
              </w:rPr>
            </w:pPr>
          </w:p>
        </w:tc>
        <w:tc>
          <w:tcPr>
            <w:tcW w:w="457" w:type="dxa"/>
            <w:noWrap w:val="0"/>
            <w:vAlign w:val="center"/>
          </w:tcPr>
          <w:p>
            <w:pPr>
              <w:pStyle w:val="79"/>
              <w:rPr>
                <w:rFonts w:hint="eastAsia"/>
                <w:color w:val="auto"/>
              </w:rPr>
            </w:pPr>
            <w:r>
              <w:rPr>
                <w:rFonts w:hint="eastAsia"/>
                <w:color w:val="auto"/>
              </w:rPr>
              <w:t>—</w:t>
            </w:r>
          </w:p>
        </w:tc>
        <w:tc>
          <w:tcPr>
            <w:tcW w:w="504"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03"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35" w:type="dxa"/>
            <w:noWrap w:val="0"/>
            <w:vAlign w:val="center"/>
          </w:tcPr>
          <w:p>
            <w:pPr>
              <w:pStyle w:val="79"/>
              <w:rPr>
                <w:rFonts w:hint="eastAsia"/>
                <w:color w:val="auto"/>
              </w:rPr>
            </w:pPr>
          </w:p>
        </w:tc>
        <w:tc>
          <w:tcPr>
            <w:tcW w:w="457" w:type="dxa"/>
            <w:noWrap w:val="0"/>
            <w:vAlign w:val="center"/>
          </w:tcPr>
          <w:p>
            <w:pPr>
              <w:pStyle w:val="79"/>
              <w:rPr>
                <w:rFonts w:hint="eastAsia"/>
                <w:color w:val="auto"/>
              </w:rPr>
            </w:pPr>
            <w:r>
              <w:rPr>
                <w:rFonts w:hint="eastAsia"/>
                <w:color w:val="auto"/>
              </w:rPr>
              <w:t>—</w:t>
            </w:r>
          </w:p>
        </w:tc>
        <w:tc>
          <w:tcPr>
            <w:tcW w:w="536"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61" w:type="dxa"/>
            <w:noWrap w:val="0"/>
            <w:vAlign w:val="center"/>
          </w:tcPr>
          <w:p>
            <w:pPr>
              <w:pStyle w:val="79"/>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restart"/>
            <w:noWrap w:val="0"/>
            <w:vAlign w:val="center"/>
          </w:tcPr>
          <w:p>
            <w:pPr>
              <w:pStyle w:val="79"/>
              <w:rPr>
                <w:rFonts w:hint="eastAsia"/>
                <w:color w:val="auto"/>
              </w:rPr>
            </w:pPr>
            <w:r>
              <w:rPr>
                <w:rFonts w:hint="eastAsia"/>
                <w:color w:val="auto"/>
              </w:rPr>
              <w:t>运营期</w:t>
            </w:r>
          </w:p>
        </w:tc>
        <w:tc>
          <w:tcPr>
            <w:tcW w:w="1562" w:type="dxa"/>
            <w:noWrap w:val="0"/>
            <w:vAlign w:val="center"/>
          </w:tcPr>
          <w:p>
            <w:pPr>
              <w:pStyle w:val="79"/>
              <w:rPr>
                <w:rFonts w:hint="eastAsia"/>
                <w:color w:val="auto"/>
              </w:rPr>
            </w:pPr>
            <w:r>
              <w:rPr>
                <w:rFonts w:hint="eastAsia"/>
                <w:color w:val="auto"/>
              </w:rPr>
              <w:t>水环境</w:t>
            </w:r>
          </w:p>
        </w:tc>
        <w:tc>
          <w:tcPr>
            <w:tcW w:w="535" w:type="dxa"/>
            <w:noWrap w:val="0"/>
            <w:vAlign w:val="center"/>
          </w:tcPr>
          <w:p>
            <w:pPr>
              <w:pStyle w:val="79"/>
              <w:rPr>
                <w:rFonts w:hint="eastAsia"/>
                <w:color w:val="auto"/>
              </w:rPr>
            </w:pPr>
            <w:r>
              <w:rPr>
                <w:rFonts w:hint="eastAsia"/>
                <w:color w:val="auto"/>
              </w:rPr>
              <w:t>+</w:t>
            </w:r>
          </w:p>
        </w:tc>
        <w:tc>
          <w:tcPr>
            <w:tcW w:w="457" w:type="dxa"/>
            <w:noWrap w:val="0"/>
            <w:vAlign w:val="center"/>
          </w:tcPr>
          <w:p>
            <w:pPr>
              <w:pStyle w:val="79"/>
              <w:rPr>
                <w:rFonts w:hint="eastAsia"/>
                <w:color w:val="auto"/>
              </w:rPr>
            </w:pPr>
          </w:p>
        </w:tc>
        <w:tc>
          <w:tcPr>
            <w:tcW w:w="504"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03" w:type="dxa"/>
            <w:noWrap w:val="0"/>
            <w:vAlign w:val="center"/>
          </w:tcPr>
          <w:p>
            <w:pPr>
              <w:pStyle w:val="79"/>
              <w:rPr>
                <w:rFonts w:hint="eastAsia"/>
                <w:color w:val="auto"/>
              </w:rPr>
            </w:pPr>
            <w:r>
              <w:rPr>
                <w:rFonts w:hint="eastAsia"/>
                <w:color w:val="auto"/>
              </w:rPr>
              <w:t>+</w:t>
            </w:r>
          </w:p>
        </w:tc>
        <w:tc>
          <w:tcPr>
            <w:tcW w:w="457" w:type="dxa"/>
            <w:noWrap w:val="0"/>
            <w:vAlign w:val="center"/>
          </w:tcPr>
          <w:p>
            <w:pPr>
              <w:pStyle w:val="79"/>
              <w:rPr>
                <w:rFonts w:hint="eastAsia"/>
                <w:color w:val="auto"/>
              </w:rPr>
            </w:pPr>
          </w:p>
        </w:tc>
        <w:tc>
          <w:tcPr>
            <w:tcW w:w="457" w:type="dxa"/>
            <w:noWrap w:val="0"/>
            <w:vAlign w:val="center"/>
          </w:tcPr>
          <w:p>
            <w:pPr>
              <w:pStyle w:val="79"/>
              <w:rPr>
                <w:rFonts w:hint="eastAsia"/>
                <w:color w:val="auto"/>
              </w:rPr>
            </w:pPr>
            <w:r>
              <w:rPr>
                <w:rFonts w:hint="eastAsia"/>
                <w:color w:val="auto"/>
              </w:rPr>
              <w:t>+</w:t>
            </w:r>
          </w:p>
        </w:tc>
        <w:tc>
          <w:tcPr>
            <w:tcW w:w="535" w:type="dxa"/>
            <w:noWrap w:val="0"/>
            <w:vAlign w:val="center"/>
          </w:tcPr>
          <w:p>
            <w:pPr>
              <w:pStyle w:val="79"/>
              <w:rPr>
                <w:rFonts w:hint="eastAsia"/>
                <w:color w:val="auto"/>
              </w:rPr>
            </w:pPr>
            <w:r>
              <w:rPr>
                <w:rFonts w:hint="eastAsia"/>
                <w:color w:val="auto"/>
              </w:rPr>
              <w:t>+</w:t>
            </w:r>
          </w:p>
        </w:tc>
        <w:tc>
          <w:tcPr>
            <w:tcW w:w="457" w:type="dxa"/>
            <w:noWrap w:val="0"/>
            <w:vAlign w:val="center"/>
          </w:tcPr>
          <w:p>
            <w:pPr>
              <w:pStyle w:val="79"/>
              <w:rPr>
                <w:rFonts w:hint="eastAsia"/>
                <w:color w:val="auto"/>
              </w:rPr>
            </w:pPr>
            <w:r>
              <w:rPr>
                <w:rFonts w:hint="eastAsia"/>
                <w:color w:val="auto"/>
              </w:rPr>
              <w:t>+</w:t>
            </w:r>
          </w:p>
        </w:tc>
        <w:tc>
          <w:tcPr>
            <w:tcW w:w="536" w:type="dxa"/>
            <w:noWrap w:val="0"/>
            <w:vAlign w:val="center"/>
          </w:tcPr>
          <w:p>
            <w:pPr>
              <w:pStyle w:val="79"/>
              <w:rPr>
                <w:rFonts w:hint="eastAsia"/>
                <w:color w:val="auto"/>
              </w:rPr>
            </w:pPr>
            <w:r>
              <w:rPr>
                <w:rFonts w:hint="eastAsia"/>
                <w:color w:val="auto"/>
              </w:rPr>
              <w:t>+</w:t>
            </w:r>
          </w:p>
        </w:tc>
        <w:tc>
          <w:tcPr>
            <w:tcW w:w="457" w:type="dxa"/>
            <w:noWrap w:val="0"/>
            <w:vAlign w:val="center"/>
          </w:tcPr>
          <w:p>
            <w:pPr>
              <w:pStyle w:val="79"/>
              <w:rPr>
                <w:rFonts w:hint="eastAsia"/>
                <w:color w:val="auto"/>
              </w:rPr>
            </w:pPr>
            <w:r>
              <w:rPr>
                <w:rFonts w:hint="eastAsia"/>
                <w:color w:val="auto"/>
              </w:rPr>
              <w:t>+</w:t>
            </w:r>
          </w:p>
        </w:tc>
        <w:tc>
          <w:tcPr>
            <w:tcW w:w="561" w:type="dxa"/>
            <w:noWrap w:val="0"/>
            <w:vAlign w:val="center"/>
          </w:tcPr>
          <w:p>
            <w:pPr>
              <w:pStyle w:val="79"/>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continue"/>
            <w:noWrap w:val="0"/>
            <w:vAlign w:val="center"/>
          </w:tcPr>
          <w:p>
            <w:pPr>
              <w:pStyle w:val="79"/>
              <w:rPr>
                <w:rFonts w:hint="eastAsia"/>
                <w:color w:val="auto"/>
              </w:rPr>
            </w:pPr>
          </w:p>
        </w:tc>
        <w:tc>
          <w:tcPr>
            <w:tcW w:w="1562" w:type="dxa"/>
            <w:noWrap w:val="0"/>
            <w:vAlign w:val="center"/>
          </w:tcPr>
          <w:p>
            <w:pPr>
              <w:pStyle w:val="79"/>
              <w:rPr>
                <w:rFonts w:hint="eastAsia" w:eastAsia="宋体"/>
                <w:color w:val="auto"/>
                <w:lang w:eastAsia="zh-CN"/>
              </w:rPr>
            </w:pPr>
            <w:r>
              <w:rPr>
                <w:rFonts w:hint="eastAsia"/>
                <w:color w:val="auto"/>
                <w:lang w:eastAsia="zh-CN"/>
              </w:rPr>
              <w:t>土壤环境</w:t>
            </w:r>
          </w:p>
        </w:tc>
        <w:tc>
          <w:tcPr>
            <w:tcW w:w="535"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04"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03"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35"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36"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61" w:type="dxa"/>
            <w:noWrap w:val="0"/>
            <w:vAlign w:val="center"/>
          </w:tcPr>
          <w:p>
            <w:pPr>
              <w:pStyle w:val="79"/>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continue"/>
            <w:noWrap w:val="0"/>
            <w:vAlign w:val="center"/>
          </w:tcPr>
          <w:p>
            <w:pPr>
              <w:pStyle w:val="79"/>
              <w:rPr>
                <w:rFonts w:hint="eastAsia"/>
                <w:color w:val="auto"/>
              </w:rPr>
            </w:pPr>
          </w:p>
        </w:tc>
        <w:tc>
          <w:tcPr>
            <w:tcW w:w="1562" w:type="dxa"/>
            <w:noWrap w:val="0"/>
            <w:vAlign w:val="center"/>
          </w:tcPr>
          <w:p>
            <w:pPr>
              <w:pStyle w:val="79"/>
              <w:rPr>
                <w:rFonts w:hint="eastAsia"/>
                <w:color w:val="auto"/>
              </w:rPr>
            </w:pPr>
            <w:r>
              <w:rPr>
                <w:rFonts w:hint="eastAsia"/>
                <w:color w:val="auto"/>
              </w:rPr>
              <w:t>臭气排放</w:t>
            </w:r>
          </w:p>
        </w:tc>
        <w:tc>
          <w:tcPr>
            <w:tcW w:w="535"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04"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03"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35"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36"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61" w:type="dxa"/>
            <w:noWrap w:val="0"/>
            <w:vAlign w:val="center"/>
          </w:tcPr>
          <w:p>
            <w:pPr>
              <w:pStyle w:val="79"/>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continue"/>
            <w:noWrap w:val="0"/>
            <w:vAlign w:val="center"/>
          </w:tcPr>
          <w:p>
            <w:pPr>
              <w:pStyle w:val="79"/>
              <w:rPr>
                <w:rFonts w:hint="eastAsia"/>
                <w:color w:val="auto"/>
              </w:rPr>
            </w:pPr>
          </w:p>
        </w:tc>
        <w:tc>
          <w:tcPr>
            <w:tcW w:w="1562" w:type="dxa"/>
            <w:noWrap w:val="0"/>
            <w:vAlign w:val="center"/>
          </w:tcPr>
          <w:p>
            <w:pPr>
              <w:pStyle w:val="79"/>
              <w:rPr>
                <w:rFonts w:hint="eastAsia"/>
                <w:color w:val="auto"/>
              </w:rPr>
            </w:pPr>
            <w:r>
              <w:rPr>
                <w:rFonts w:hint="eastAsia"/>
                <w:color w:val="auto"/>
              </w:rPr>
              <w:t>设备噪声</w:t>
            </w:r>
          </w:p>
        </w:tc>
        <w:tc>
          <w:tcPr>
            <w:tcW w:w="535"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04" w:type="dxa"/>
            <w:noWrap w:val="0"/>
            <w:vAlign w:val="center"/>
          </w:tcPr>
          <w:p>
            <w:pPr>
              <w:pStyle w:val="79"/>
              <w:rPr>
                <w:rFonts w:hint="eastAsia"/>
                <w:color w:val="auto"/>
              </w:rPr>
            </w:pPr>
            <w:r>
              <w:rPr>
                <w:rFonts w:hint="eastAsia"/>
                <w:color w:val="auto"/>
              </w:rPr>
              <w:t>—</w:t>
            </w:r>
          </w:p>
        </w:tc>
        <w:tc>
          <w:tcPr>
            <w:tcW w:w="457"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03"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35"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36" w:type="dxa"/>
            <w:noWrap w:val="0"/>
            <w:vAlign w:val="center"/>
          </w:tcPr>
          <w:p>
            <w:pPr>
              <w:pStyle w:val="79"/>
              <w:rPr>
                <w:rFonts w:hint="eastAsia"/>
                <w:color w:val="auto"/>
              </w:rPr>
            </w:pPr>
            <w:r>
              <w:rPr>
                <w:rFonts w:hint="eastAsia"/>
                <w:color w:val="auto"/>
              </w:rPr>
              <w:t>—</w:t>
            </w:r>
          </w:p>
        </w:tc>
        <w:tc>
          <w:tcPr>
            <w:tcW w:w="457" w:type="dxa"/>
            <w:noWrap w:val="0"/>
            <w:vAlign w:val="center"/>
          </w:tcPr>
          <w:p>
            <w:pPr>
              <w:pStyle w:val="79"/>
              <w:rPr>
                <w:rFonts w:hint="eastAsia"/>
                <w:color w:val="auto"/>
              </w:rPr>
            </w:pPr>
          </w:p>
        </w:tc>
        <w:tc>
          <w:tcPr>
            <w:tcW w:w="561" w:type="dxa"/>
            <w:noWrap w:val="0"/>
            <w:vAlign w:val="center"/>
          </w:tcPr>
          <w:p>
            <w:pPr>
              <w:pStyle w:val="79"/>
              <w:rPr>
                <w:rFonts w:hint="eastAsia"/>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continue"/>
            <w:noWrap w:val="0"/>
            <w:vAlign w:val="center"/>
          </w:tcPr>
          <w:p>
            <w:pPr>
              <w:pStyle w:val="79"/>
              <w:rPr>
                <w:rFonts w:hint="eastAsia"/>
                <w:color w:val="auto"/>
              </w:rPr>
            </w:pPr>
          </w:p>
        </w:tc>
        <w:tc>
          <w:tcPr>
            <w:tcW w:w="1562" w:type="dxa"/>
            <w:noWrap w:val="0"/>
            <w:vAlign w:val="center"/>
          </w:tcPr>
          <w:p>
            <w:pPr>
              <w:pStyle w:val="79"/>
              <w:rPr>
                <w:rFonts w:hint="eastAsia"/>
                <w:color w:val="auto"/>
              </w:rPr>
            </w:pPr>
            <w:r>
              <w:rPr>
                <w:rFonts w:hint="eastAsia"/>
                <w:color w:val="auto"/>
              </w:rPr>
              <w:t>污泥排放</w:t>
            </w:r>
          </w:p>
        </w:tc>
        <w:tc>
          <w:tcPr>
            <w:tcW w:w="535" w:type="dxa"/>
            <w:noWrap w:val="0"/>
            <w:vAlign w:val="center"/>
          </w:tcPr>
          <w:p>
            <w:pPr>
              <w:pStyle w:val="79"/>
              <w:rPr>
                <w:rFonts w:hint="eastAsia"/>
                <w:color w:val="auto"/>
              </w:rPr>
            </w:pPr>
            <w:r>
              <w:rPr>
                <w:rFonts w:hint="eastAsia"/>
                <w:color w:val="auto"/>
              </w:rPr>
              <w:t>—</w:t>
            </w:r>
          </w:p>
        </w:tc>
        <w:tc>
          <w:tcPr>
            <w:tcW w:w="457" w:type="dxa"/>
            <w:noWrap w:val="0"/>
            <w:vAlign w:val="center"/>
          </w:tcPr>
          <w:p>
            <w:pPr>
              <w:pStyle w:val="79"/>
              <w:rPr>
                <w:rFonts w:hint="eastAsia"/>
                <w:color w:val="auto"/>
              </w:rPr>
            </w:pPr>
          </w:p>
        </w:tc>
        <w:tc>
          <w:tcPr>
            <w:tcW w:w="504" w:type="dxa"/>
            <w:noWrap w:val="0"/>
            <w:vAlign w:val="center"/>
          </w:tcPr>
          <w:p>
            <w:pPr>
              <w:pStyle w:val="79"/>
              <w:rPr>
                <w:rFonts w:hint="eastAsia"/>
                <w:color w:val="auto"/>
              </w:rPr>
            </w:pPr>
          </w:p>
        </w:tc>
        <w:tc>
          <w:tcPr>
            <w:tcW w:w="457" w:type="dxa"/>
            <w:noWrap w:val="0"/>
            <w:vAlign w:val="center"/>
          </w:tcPr>
          <w:p>
            <w:pPr>
              <w:pStyle w:val="79"/>
              <w:rPr>
                <w:rFonts w:hint="eastAsia"/>
                <w:color w:val="auto"/>
              </w:rPr>
            </w:pPr>
            <w:r>
              <w:rPr>
                <w:rFonts w:hint="eastAsia"/>
                <w:color w:val="auto"/>
              </w:rPr>
              <w:t>—</w:t>
            </w:r>
          </w:p>
        </w:tc>
        <w:tc>
          <w:tcPr>
            <w:tcW w:w="457" w:type="dxa"/>
            <w:noWrap w:val="0"/>
            <w:vAlign w:val="center"/>
          </w:tcPr>
          <w:p>
            <w:pPr>
              <w:pStyle w:val="79"/>
              <w:rPr>
                <w:rFonts w:hint="eastAsia"/>
                <w:color w:val="auto"/>
              </w:rPr>
            </w:pPr>
            <w:r>
              <w:rPr>
                <w:rFonts w:hint="eastAsia"/>
                <w:color w:val="auto"/>
              </w:rPr>
              <w:t>—</w:t>
            </w:r>
          </w:p>
        </w:tc>
        <w:tc>
          <w:tcPr>
            <w:tcW w:w="503"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35" w:type="dxa"/>
            <w:noWrap w:val="0"/>
            <w:vAlign w:val="center"/>
          </w:tcPr>
          <w:p>
            <w:pPr>
              <w:pStyle w:val="79"/>
              <w:rPr>
                <w:rFonts w:hint="eastAsia"/>
                <w:color w:val="auto"/>
              </w:rPr>
            </w:pPr>
          </w:p>
        </w:tc>
        <w:tc>
          <w:tcPr>
            <w:tcW w:w="457" w:type="dxa"/>
            <w:noWrap w:val="0"/>
            <w:vAlign w:val="center"/>
          </w:tcPr>
          <w:p>
            <w:pPr>
              <w:pStyle w:val="79"/>
              <w:rPr>
                <w:rFonts w:hint="eastAsia"/>
                <w:color w:val="auto"/>
              </w:rPr>
            </w:pPr>
            <w:r>
              <w:rPr>
                <w:rFonts w:hint="eastAsia"/>
                <w:color w:val="auto"/>
              </w:rPr>
              <w:t>—</w:t>
            </w:r>
          </w:p>
        </w:tc>
        <w:tc>
          <w:tcPr>
            <w:tcW w:w="536"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61" w:type="dxa"/>
            <w:noWrap w:val="0"/>
            <w:vAlign w:val="center"/>
          </w:tcPr>
          <w:p>
            <w:pPr>
              <w:pStyle w:val="79"/>
              <w:rPr>
                <w:rFonts w:hint="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1" w:type="dxa"/>
            <w:vMerge w:val="continue"/>
            <w:noWrap w:val="0"/>
            <w:vAlign w:val="center"/>
          </w:tcPr>
          <w:p>
            <w:pPr>
              <w:pStyle w:val="79"/>
              <w:rPr>
                <w:rFonts w:hint="eastAsia"/>
                <w:color w:val="auto"/>
              </w:rPr>
            </w:pPr>
          </w:p>
        </w:tc>
        <w:tc>
          <w:tcPr>
            <w:tcW w:w="1562" w:type="dxa"/>
            <w:noWrap w:val="0"/>
            <w:vAlign w:val="center"/>
          </w:tcPr>
          <w:p>
            <w:pPr>
              <w:pStyle w:val="79"/>
              <w:rPr>
                <w:rFonts w:hint="eastAsia"/>
                <w:color w:val="auto"/>
              </w:rPr>
            </w:pPr>
            <w:r>
              <w:rPr>
                <w:rFonts w:hint="eastAsia"/>
                <w:color w:val="auto"/>
              </w:rPr>
              <w:t>环境分险</w:t>
            </w:r>
          </w:p>
        </w:tc>
        <w:tc>
          <w:tcPr>
            <w:tcW w:w="535" w:type="dxa"/>
            <w:noWrap w:val="0"/>
            <w:vAlign w:val="center"/>
          </w:tcPr>
          <w:p>
            <w:pPr>
              <w:pStyle w:val="79"/>
              <w:rPr>
                <w:rFonts w:hint="eastAsia"/>
                <w:color w:val="auto"/>
              </w:rPr>
            </w:pPr>
            <w:r>
              <w:rPr>
                <w:rFonts w:hint="eastAsia"/>
                <w:color w:val="auto"/>
              </w:rPr>
              <w:t>—</w:t>
            </w:r>
          </w:p>
        </w:tc>
        <w:tc>
          <w:tcPr>
            <w:tcW w:w="457" w:type="dxa"/>
            <w:noWrap w:val="0"/>
            <w:vAlign w:val="center"/>
          </w:tcPr>
          <w:p>
            <w:pPr>
              <w:pStyle w:val="79"/>
              <w:rPr>
                <w:rFonts w:hint="eastAsia"/>
                <w:color w:val="auto"/>
              </w:rPr>
            </w:pPr>
          </w:p>
        </w:tc>
        <w:tc>
          <w:tcPr>
            <w:tcW w:w="504"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03"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457" w:type="dxa"/>
            <w:noWrap w:val="0"/>
            <w:vAlign w:val="center"/>
          </w:tcPr>
          <w:p>
            <w:pPr>
              <w:pStyle w:val="79"/>
              <w:rPr>
                <w:rFonts w:hint="eastAsia"/>
                <w:color w:val="auto"/>
              </w:rPr>
            </w:pPr>
            <w:r>
              <w:rPr>
                <w:rFonts w:hint="eastAsia"/>
                <w:color w:val="auto"/>
              </w:rPr>
              <w:t>—</w:t>
            </w:r>
          </w:p>
        </w:tc>
        <w:tc>
          <w:tcPr>
            <w:tcW w:w="535" w:type="dxa"/>
            <w:noWrap w:val="0"/>
            <w:vAlign w:val="center"/>
          </w:tcPr>
          <w:p>
            <w:pPr>
              <w:pStyle w:val="79"/>
              <w:rPr>
                <w:rFonts w:hint="eastAsia"/>
                <w:color w:val="auto"/>
              </w:rPr>
            </w:pPr>
          </w:p>
        </w:tc>
        <w:tc>
          <w:tcPr>
            <w:tcW w:w="457" w:type="dxa"/>
            <w:noWrap w:val="0"/>
            <w:vAlign w:val="center"/>
          </w:tcPr>
          <w:p>
            <w:pPr>
              <w:pStyle w:val="79"/>
              <w:rPr>
                <w:rFonts w:hint="eastAsia"/>
                <w:color w:val="auto"/>
              </w:rPr>
            </w:pPr>
          </w:p>
        </w:tc>
        <w:tc>
          <w:tcPr>
            <w:tcW w:w="536" w:type="dxa"/>
            <w:noWrap w:val="0"/>
            <w:vAlign w:val="center"/>
          </w:tcPr>
          <w:p>
            <w:pPr>
              <w:pStyle w:val="79"/>
              <w:rPr>
                <w:rFonts w:hint="eastAsia"/>
                <w:color w:val="auto"/>
              </w:rPr>
            </w:pPr>
            <w:r>
              <w:rPr>
                <w:rFonts w:hint="eastAsia"/>
                <w:color w:val="auto"/>
              </w:rPr>
              <w:t>—</w:t>
            </w:r>
          </w:p>
        </w:tc>
        <w:tc>
          <w:tcPr>
            <w:tcW w:w="457" w:type="dxa"/>
            <w:noWrap w:val="0"/>
            <w:vAlign w:val="center"/>
          </w:tcPr>
          <w:p>
            <w:pPr>
              <w:pStyle w:val="79"/>
              <w:rPr>
                <w:rFonts w:hint="eastAsia"/>
                <w:color w:val="auto"/>
              </w:rPr>
            </w:pPr>
          </w:p>
        </w:tc>
        <w:tc>
          <w:tcPr>
            <w:tcW w:w="561" w:type="dxa"/>
            <w:noWrap w:val="0"/>
            <w:vAlign w:val="center"/>
          </w:tcPr>
          <w:p>
            <w:pPr>
              <w:pStyle w:val="79"/>
              <w:rPr>
                <w:rFonts w:hint="eastAsia"/>
                <w:color w:val="auto"/>
              </w:rPr>
            </w:pPr>
          </w:p>
        </w:tc>
      </w:tr>
    </w:tbl>
    <w:p>
      <w:pPr>
        <w:ind w:firstLine="422"/>
        <w:rPr>
          <w:b/>
          <w:color w:val="000000"/>
          <w:kern w:val="0"/>
          <w:sz w:val="21"/>
          <w:szCs w:val="21"/>
        </w:rPr>
      </w:pPr>
      <w:r>
        <w:rPr>
          <w:b/>
          <w:color w:val="000000"/>
          <w:kern w:val="0"/>
          <w:sz w:val="21"/>
          <w:szCs w:val="21"/>
        </w:rPr>
        <w:t>（注：</w:t>
      </w:r>
      <w:r>
        <w:rPr>
          <w:rFonts w:eastAsia="Times New Roman"/>
          <w:b/>
          <w:color w:val="000000"/>
          <w:kern w:val="0"/>
          <w:sz w:val="21"/>
          <w:szCs w:val="21"/>
        </w:rPr>
        <w:t>—</w:t>
      </w:r>
      <w:r>
        <w:rPr>
          <w:b/>
          <w:color w:val="000000"/>
          <w:kern w:val="0"/>
          <w:sz w:val="21"/>
          <w:szCs w:val="21"/>
        </w:rPr>
        <w:t>代表不利影响</w:t>
      </w:r>
      <w:r>
        <w:rPr>
          <w:rFonts w:hint="eastAsia"/>
          <w:b/>
          <w:color w:val="000000"/>
          <w:kern w:val="0"/>
          <w:sz w:val="21"/>
          <w:szCs w:val="21"/>
        </w:rPr>
        <w:t xml:space="preserve">  </w:t>
      </w:r>
      <w:r>
        <w:rPr>
          <w:rFonts w:eastAsia="Times New Roman"/>
          <w:b/>
          <w:color w:val="000000"/>
          <w:kern w:val="0"/>
          <w:sz w:val="21"/>
          <w:szCs w:val="21"/>
        </w:rPr>
        <w:t>+</w:t>
      </w:r>
      <w:r>
        <w:rPr>
          <w:b/>
          <w:color w:val="000000"/>
          <w:kern w:val="0"/>
          <w:sz w:val="21"/>
          <w:szCs w:val="21"/>
        </w:rPr>
        <w:t>代表有利影响）</w:t>
      </w:r>
    </w:p>
    <w:p>
      <w:pPr>
        <w:pStyle w:val="86"/>
        <w:spacing w:before="163" w:after="163"/>
        <w:rPr>
          <w:rFonts w:hint="eastAsia"/>
          <w:color w:val="000000"/>
          <w:kern w:val="0"/>
          <w:u w:val="none"/>
        </w:rPr>
      </w:pPr>
      <w:bookmarkStart w:id="67" w:name="_Toc29308648"/>
      <w:bookmarkStart w:id="68" w:name="_Toc13680"/>
      <w:r>
        <w:rPr>
          <w:color w:val="000000"/>
          <w:kern w:val="0"/>
          <w:u w:val="none"/>
        </w:rPr>
        <w:t>1.</w:t>
      </w:r>
      <w:r>
        <w:rPr>
          <w:rFonts w:hint="eastAsia"/>
          <w:color w:val="000000"/>
          <w:kern w:val="0"/>
          <w:u w:val="none"/>
        </w:rPr>
        <w:t>5 评价因子</w:t>
      </w:r>
      <w:bookmarkEnd w:id="66"/>
      <w:bookmarkEnd w:id="67"/>
      <w:bookmarkEnd w:id="68"/>
    </w:p>
    <w:p>
      <w:pPr>
        <w:tabs>
          <w:tab w:val="left" w:pos="3138"/>
        </w:tabs>
        <w:ind w:firstLine="480"/>
        <w:rPr>
          <w:rFonts w:hint="eastAsia"/>
          <w:color w:val="000000"/>
          <w:u w:val="none"/>
        </w:rPr>
      </w:pPr>
      <w:r>
        <w:rPr>
          <w:rFonts w:hint="eastAsia"/>
          <w:color w:val="000000"/>
          <w:kern w:val="0"/>
          <w:u w:val="none"/>
        </w:rPr>
        <w:t>根据项</w:t>
      </w:r>
      <w:r>
        <w:rPr>
          <w:rFonts w:hint="eastAsia"/>
          <w:color w:val="000000"/>
          <w:u w:val="none"/>
        </w:rPr>
        <w:t>目的污染物排放特征及所在区域的环境特征，确定本次评价因子见下表1.5-1。</w:t>
      </w:r>
    </w:p>
    <w:p>
      <w:pPr>
        <w:tabs>
          <w:tab w:val="left" w:pos="3138"/>
        </w:tabs>
        <w:ind w:firstLine="422"/>
        <w:jc w:val="center"/>
        <w:rPr>
          <w:rFonts w:hint="eastAsia"/>
          <w:b/>
          <w:color w:val="000000"/>
          <w:kern w:val="0"/>
          <w:sz w:val="21"/>
          <w:szCs w:val="21"/>
          <w:u w:val="none"/>
        </w:rPr>
      </w:pPr>
      <w:r>
        <w:rPr>
          <w:rFonts w:hint="eastAsia"/>
          <w:b/>
          <w:color w:val="000000"/>
          <w:kern w:val="0"/>
          <w:sz w:val="21"/>
          <w:szCs w:val="21"/>
          <w:u w:val="none"/>
        </w:rPr>
        <w:t>表1.5-1  项目环境评价因子</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3686"/>
        <w:gridCol w:w="1814"/>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356" w:type="dxa"/>
            <w:noWrap w:val="0"/>
            <w:vAlign w:val="center"/>
          </w:tcPr>
          <w:p>
            <w:pPr>
              <w:pStyle w:val="79"/>
              <w:rPr>
                <w:rFonts w:hint="eastAsia"/>
                <w:b/>
                <w:bCs/>
                <w:u w:val="none"/>
              </w:rPr>
            </w:pPr>
            <w:r>
              <w:rPr>
                <w:rFonts w:hint="eastAsia"/>
                <w:b/>
                <w:bCs/>
                <w:u w:val="none"/>
              </w:rPr>
              <w:t>评价项目</w:t>
            </w:r>
          </w:p>
        </w:tc>
        <w:tc>
          <w:tcPr>
            <w:tcW w:w="3686" w:type="dxa"/>
            <w:noWrap w:val="0"/>
            <w:vAlign w:val="center"/>
          </w:tcPr>
          <w:p>
            <w:pPr>
              <w:pStyle w:val="79"/>
              <w:rPr>
                <w:rFonts w:hint="eastAsia"/>
                <w:b/>
                <w:bCs/>
                <w:u w:val="none"/>
              </w:rPr>
            </w:pPr>
            <w:r>
              <w:rPr>
                <w:rFonts w:hint="eastAsia"/>
                <w:b/>
                <w:bCs/>
                <w:u w:val="none"/>
              </w:rPr>
              <w:t>现状调查因子</w:t>
            </w:r>
          </w:p>
        </w:tc>
        <w:tc>
          <w:tcPr>
            <w:tcW w:w="1814" w:type="dxa"/>
            <w:noWrap w:val="0"/>
            <w:vAlign w:val="center"/>
          </w:tcPr>
          <w:p>
            <w:pPr>
              <w:pStyle w:val="79"/>
              <w:rPr>
                <w:rFonts w:hint="eastAsia"/>
                <w:b/>
                <w:bCs/>
                <w:u w:val="none"/>
              </w:rPr>
            </w:pPr>
            <w:r>
              <w:rPr>
                <w:rFonts w:hint="eastAsia"/>
                <w:b/>
                <w:bCs/>
                <w:u w:val="none"/>
              </w:rPr>
              <w:t>环境评价因子</w:t>
            </w:r>
          </w:p>
        </w:tc>
        <w:tc>
          <w:tcPr>
            <w:tcW w:w="1610" w:type="dxa"/>
            <w:noWrap w:val="0"/>
            <w:vAlign w:val="center"/>
          </w:tcPr>
          <w:p>
            <w:pPr>
              <w:pStyle w:val="79"/>
              <w:rPr>
                <w:rFonts w:hint="eastAsia"/>
                <w:b/>
                <w:bCs/>
                <w:u w:val="none"/>
              </w:rPr>
            </w:pPr>
            <w:r>
              <w:rPr>
                <w:rFonts w:hint="eastAsia"/>
                <w:b/>
                <w:bCs/>
                <w:u w:val="none"/>
              </w:rPr>
              <w:t>总量控制因子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大气</w:t>
            </w:r>
          </w:p>
        </w:tc>
        <w:tc>
          <w:tcPr>
            <w:tcW w:w="3686" w:type="dxa"/>
            <w:noWrap w:val="0"/>
            <w:vAlign w:val="center"/>
          </w:tcPr>
          <w:p>
            <w:pPr>
              <w:pStyle w:val="79"/>
              <w:rPr>
                <w:rFonts w:hint="default" w:ascii="Times New Roman" w:hAnsi="Times New Roman" w:cs="Times New Roman"/>
                <w:b w:val="0"/>
                <w:bCs w:val="0"/>
                <w:u w:val="none"/>
                <w:vertAlign w:val="subscript"/>
              </w:rPr>
            </w:pPr>
            <w:r>
              <w:rPr>
                <w:rFonts w:hint="default" w:ascii="Times New Roman" w:hAnsi="Times New Roman" w:cs="Times New Roman"/>
                <w:b w:val="0"/>
                <w:bCs w:val="0"/>
                <w:u w:val="none"/>
              </w:rPr>
              <w:t>PM</w:t>
            </w:r>
            <w:r>
              <w:rPr>
                <w:rFonts w:hint="default" w:ascii="Times New Roman" w:hAnsi="Times New Roman" w:cs="Times New Roman"/>
                <w:b w:val="0"/>
                <w:bCs w:val="0"/>
                <w:u w:val="none"/>
                <w:vertAlign w:val="subscript"/>
              </w:rPr>
              <w:t>2.5</w:t>
            </w:r>
            <w:r>
              <w:rPr>
                <w:rFonts w:hint="default" w:ascii="Times New Roman" w:hAnsi="Times New Roman" w:cs="Times New Roman"/>
                <w:b w:val="0"/>
                <w:bCs w:val="0"/>
                <w:u w:val="none"/>
              </w:rPr>
              <w:t>、PM</w:t>
            </w:r>
            <w:r>
              <w:rPr>
                <w:rFonts w:hint="default" w:ascii="Times New Roman" w:hAnsi="Times New Roman" w:cs="Times New Roman"/>
                <w:b w:val="0"/>
                <w:bCs w:val="0"/>
                <w:u w:val="none"/>
                <w:vertAlign w:val="subscript"/>
              </w:rPr>
              <w:t>10</w:t>
            </w:r>
            <w:r>
              <w:rPr>
                <w:rFonts w:hint="default" w:ascii="Times New Roman" w:hAnsi="Times New Roman" w:cs="Times New Roman"/>
                <w:b w:val="0"/>
                <w:bCs w:val="0"/>
                <w:u w:val="none"/>
              </w:rPr>
              <w:t>、SO</w:t>
            </w:r>
            <w:r>
              <w:rPr>
                <w:rFonts w:hint="default" w:ascii="Times New Roman" w:hAnsi="Times New Roman" w:cs="Times New Roman"/>
                <w:b w:val="0"/>
                <w:bCs w:val="0"/>
                <w:u w:val="none"/>
                <w:vertAlign w:val="subscript"/>
              </w:rPr>
              <w:t>2</w:t>
            </w:r>
            <w:r>
              <w:rPr>
                <w:rFonts w:hint="default" w:ascii="Times New Roman" w:hAnsi="Times New Roman" w:cs="Times New Roman"/>
                <w:b w:val="0"/>
                <w:bCs w:val="0"/>
                <w:u w:val="none"/>
              </w:rPr>
              <w:t>、NO</w:t>
            </w:r>
            <w:r>
              <w:rPr>
                <w:rFonts w:hint="default" w:ascii="Times New Roman" w:hAnsi="Times New Roman" w:cs="Times New Roman"/>
                <w:b w:val="0"/>
                <w:bCs w:val="0"/>
                <w:u w:val="none"/>
                <w:vertAlign w:val="subscript"/>
              </w:rPr>
              <w:t>2</w:t>
            </w:r>
            <w:r>
              <w:rPr>
                <w:rFonts w:hint="default" w:ascii="Times New Roman" w:hAnsi="Times New Roman" w:cs="Times New Roman"/>
                <w:b w:val="0"/>
                <w:bCs w:val="0"/>
                <w:u w:val="none"/>
              </w:rPr>
              <w:t>、CO、O</w:t>
            </w:r>
            <w:r>
              <w:rPr>
                <w:rFonts w:hint="default" w:ascii="Times New Roman" w:hAnsi="Times New Roman" w:cs="Times New Roman"/>
                <w:b w:val="0"/>
                <w:bCs w:val="0"/>
                <w:u w:val="none"/>
                <w:vertAlign w:val="subscript"/>
              </w:rPr>
              <w:t>3</w:t>
            </w:r>
          </w:p>
        </w:tc>
        <w:tc>
          <w:tcPr>
            <w:tcW w:w="1814" w:type="dxa"/>
            <w:noWrap w:val="0"/>
            <w:vAlign w:val="center"/>
          </w:tcPr>
          <w:p>
            <w:pPr>
              <w:pStyle w:val="79"/>
              <w:rPr>
                <w:rFonts w:hint="default" w:ascii="Times New Roman" w:hAnsi="Times New Roman" w:eastAsia="宋体" w:cs="Times New Roman"/>
                <w:b w:val="0"/>
                <w:bCs w:val="0"/>
                <w:u w:val="none"/>
                <w:lang w:eastAsia="zh-CN"/>
              </w:rPr>
            </w:pPr>
            <w:r>
              <w:rPr>
                <w:rFonts w:hint="default" w:ascii="Times New Roman" w:hAnsi="Times New Roman" w:cs="Times New Roman"/>
                <w:b w:val="0"/>
                <w:bCs w:val="0"/>
                <w:u w:val="none"/>
              </w:rPr>
              <w:t xml:space="preserve"> </w:t>
            </w:r>
            <w:r>
              <w:rPr>
                <w:rFonts w:hint="default" w:ascii="Times New Roman" w:hAnsi="Times New Roman" w:cs="Times New Roman"/>
                <w:b w:val="0"/>
                <w:bCs w:val="0"/>
                <w:u w:val="none"/>
                <w:lang w:val="en-US" w:eastAsia="zh-CN"/>
              </w:rPr>
              <w:t>/</w:t>
            </w:r>
          </w:p>
        </w:tc>
        <w:tc>
          <w:tcPr>
            <w:tcW w:w="1610"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地表水</w:t>
            </w:r>
          </w:p>
        </w:tc>
        <w:tc>
          <w:tcPr>
            <w:tcW w:w="3686"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pH、氨氮、化学需氧量、五日生化需氧量、溶解氧、悬浮物、总磷、总氮、石油类、阴离子表面活性剂、挥发酚、粪大肠菌群、六价铬、锌、铅、镉、锰、砷、总铬、总钒</w:t>
            </w:r>
          </w:p>
        </w:tc>
        <w:tc>
          <w:tcPr>
            <w:tcW w:w="1814"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锌、铅、锰、总铬、</w:t>
            </w:r>
            <w:r>
              <w:rPr>
                <w:rFonts w:hint="eastAsia" w:ascii="Times New Roman" w:hAnsi="Times New Roman" w:cs="Times New Roman"/>
                <w:b w:val="0"/>
                <w:bCs w:val="0"/>
                <w:u w:val="none"/>
                <w:lang w:eastAsia="zh-CN"/>
              </w:rPr>
              <w:t>六价铬、</w:t>
            </w:r>
            <w:r>
              <w:rPr>
                <w:rFonts w:hint="default" w:ascii="Times New Roman" w:hAnsi="Times New Roman" w:cs="Times New Roman"/>
                <w:b w:val="0"/>
                <w:bCs w:val="0"/>
                <w:u w:val="none"/>
              </w:rPr>
              <w:t>总钒</w:t>
            </w:r>
          </w:p>
        </w:tc>
        <w:tc>
          <w:tcPr>
            <w:tcW w:w="1610" w:type="dxa"/>
            <w:noWrap w:val="0"/>
            <w:vAlign w:val="center"/>
          </w:tcPr>
          <w:p>
            <w:pPr>
              <w:pStyle w:val="79"/>
              <w:rPr>
                <w:rFonts w:hint="eastAsia" w:ascii="Times New Roman" w:hAnsi="Times New Roman" w:eastAsia="宋体" w:cs="Times New Roman"/>
                <w:b w:val="0"/>
                <w:bCs w:val="0"/>
                <w:u w:val="none"/>
                <w:lang w:eastAsia="zh-CN"/>
              </w:rPr>
            </w:pPr>
            <w:r>
              <w:rPr>
                <w:rFonts w:hint="default" w:ascii="Times New Roman" w:hAnsi="Times New Roman" w:cs="Times New Roman"/>
                <w:b w:val="0"/>
                <w:bCs w:val="0"/>
                <w:u w:val="none"/>
              </w:rPr>
              <w:t>锌、铅、锰、总铬、总钒</w:t>
            </w:r>
            <w:r>
              <w:rPr>
                <w:rFonts w:hint="eastAsia" w:ascii="Times New Roman" w:hAnsi="Times New Roman" w:cs="Times New Roman"/>
                <w:b w:val="0"/>
                <w:bCs w:val="0"/>
                <w:u w:val="none"/>
                <w:lang w:eastAsia="zh-CN"/>
              </w:rPr>
              <w:t>、六价铬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56"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地下水</w:t>
            </w:r>
          </w:p>
        </w:tc>
        <w:tc>
          <w:tcPr>
            <w:tcW w:w="3686" w:type="dxa"/>
            <w:noWrap w:val="0"/>
            <w:vAlign w:val="center"/>
          </w:tcPr>
          <w:p>
            <w:pPr>
              <w:pStyle w:val="79"/>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pH、耗氧量、氨氮、溶解性总固体、总磷、总硬度、砷、汞、镉、六价铬、铅、铁、锰、铜、锌</w:t>
            </w:r>
          </w:p>
        </w:tc>
        <w:tc>
          <w:tcPr>
            <w:tcW w:w="1814" w:type="dxa"/>
            <w:noWrap w:val="0"/>
            <w:vAlign w:val="center"/>
          </w:tcPr>
          <w:p>
            <w:pPr>
              <w:pStyle w:val="79"/>
              <w:rPr>
                <w:rFonts w:hint="eastAsia" w:ascii="Times New Roman" w:hAnsi="Times New Roman" w:eastAsia="宋体" w:cs="Times New Roman"/>
                <w:b w:val="0"/>
                <w:bCs w:val="0"/>
                <w:color w:val="auto"/>
                <w:u w:val="none"/>
                <w:lang w:eastAsia="zh-CN"/>
              </w:rPr>
            </w:pPr>
            <w:r>
              <w:rPr>
                <w:rFonts w:hint="default" w:ascii="Times New Roman" w:hAnsi="Times New Roman" w:cs="Times New Roman"/>
                <w:b w:val="0"/>
                <w:bCs w:val="0"/>
                <w:color w:val="auto"/>
                <w:u w:val="none"/>
              </w:rPr>
              <w:t>锌、铅、锰、总铬、总钒</w:t>
            </w:r>
            <w:r>
              <w:rPr>
                <w:rFonts w:hint="eastAsia" w:ascii="Times New Roman" w:hAnsi="Times New Roman" w:cs="Times New Roman"/>
                <w:b w:val="0"/>
                <w:bCs w:val="0"/>
                <w:color w:val="auto"/>
                <w:u w:val="none"/>
                <w:lang w:eastAsia="zh-CN"/>
              </w:rPr>
              <w:t>、六价铬</w:t>
            </w:r>
          </w:p>
        </w:tc>
        <w:tc>
          <w:tcPr>
            <w:tcW w:w="1610" w:type="dxa"/>
            <w:noWrap w:val="0"/>
            <w:vAlign w:val="center"/>
          </w:tcPr>
          <w:p>
            <w:pPr>
              <w:pStyle w:val="79"/>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噪声</w:t>
            </w:r>
          </w:p>
        </w:tc>
        <w:tc>
          <w:tcPr>
            <w:tcW w:w="3686"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等效连续A声级</w:t>
            </w:r>
          </w:p>
        </w:tc>
        <w:tc>
          <w:tcPr>
            <w:tcW w:w="1814"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等效连续A声级</w:t>
            </w:r>
          </w:p>
        </w:tc>
        <w:tc>
          <w:tcPr>
            <w:tcW w:w="1610"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土壤</w:t>
            </w:r>
          </w:p>
        </w:tc>
        <w:tc>
          <w:tcPr>
            <w:tcW w:w="3686"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《土壤环境质量 建设用地土壤污染风险管控标准（试行）》（GB36600-2018）45项基本因子、pH、六价铬、铬、铅、锰、锌、钒</w:t>
            </w:r>
          </w:p>
        </w:tc>
        <w:tc>
          <w:tcPr>
            <w:tcW w:w="1814"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w:t>
            </w:r>
          </w:p>
        </w:tc>
        <w:tc>
          <w:tcPr>
            <w:tcW w:w="1610"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6"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固体废弃物</w:t>
            </w:r>
          </w:p>
        </w:tc>
        <w:tc>
          <w:tcPr>
            <w:tcW w:w="3686"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建筑垃圾、生活垃圾、土石方</w:t>
            </w:r>
          </w:p>
        </w:tc>
        <w:tc>
          <w:tcPr>
            <w:tcW w:w="1814"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建筑垃圾、生活垃圾、土石方</w:t>
            </w:r>
          </w:p>
        </w:tc>
        <w:tc>
          <w:tcPr>
            <w:tcW w:w="1610"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56"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生态环境</w:t>
            </w:r>
          </w:p>
        </w:tc>
        <w:tc>
          <w:tcPr>
            <w:tcW w:w="3686" w:type="dxa"/>
            <w:noWrap w:val="0"/>
            <w:vAlign w:val="center"/>
          </w:tcPr>
          <w:p>
            <w:pPr>
              <w:pStyle w:val="79"/>
              <w:rPr>
                <w:rFonts w:hint="eastAsia" w:ascii="Times New Roman" w:hAnsi="Times New Roman" w:eastAsia="宋体" w:cs="Times New Roman"/>
                <w:b w:val="0"/>
                <w:bCs w:val="0"/>
                <w:u w:val="none"/>
                <w:lang w:eastAsia="zh-CN"/>
              </w:rPr>
            </w:pPr>
            <w:r>
              <w:rPr>
                <w:rFonts w:hint="eastAsia" w:ascii="Times New Roman" w:hAnsi="Times New Roman" w:cs="Times New Roman"/>
                <w:b w:val="0"/>
                <w:bCs w:val="0"/>
                <w:u w:val="none"/>
                <w:lang w:eastAsia="zh-CN"/>
              </w:rPr>
              <w:t>水土流失、生物多样性丰富度、生态系统完整度、物种组成、群落结构</w:t>
            </w:r>
          </w:p>
        </w:tc>
        <w:tc>
          <w:tcPr>
            <w:tcW w:w="1814" w:type="dxa"/>
            <w:noWrap w:val="0"/>
            <w:vAlign w:val="center"/>
          </w:tcPr>
          <w:p>
            <w:pPr>
              <w:pStyle w:val="79"/>
              <w:rPr>
                <w:rFonts w:hint="eastAsia" w:ascii="Times New Roman" w:hAnsi="Times New Roman" w:eastAsia="宋体" w:cs="Times New Roman"/>
                <w:b w:val="0"/>
                <w:bCs w:val="0"/>
                <w:u w:val="none"/>
                <w:lang w:eastAsia="zh-CN"/>
              </w:rPr>
            </w:pPr>
            <w:r>
              <w:rPr>
                <w:rFonts w:hint="eastAsia" w:ascii="Times New Roman" w:hAnsi="Times New Roman" w:cs="Times New Roman"/>
                <w:b w:val="0"/>
                <w:bCs w:val="0"/>
                <w:u w:val="none"/>
                <w:lang w:eastAsia="zh-CN"/>
              </w:rPr>
              <w:t>水土流失</w:t>
            </w:r>
          </w:p>
        </w:tc>
        <w:tc>
          <w:tcPr>
            <w:tcW w:w="1610" w:type="dxa"/>
            <w:noWrap w:val="0"/>
            <w:vAlign w:val="center"/>
          </w:tcPr>
          <w:p>
            <w:pPr>
              <w:pStyle w:val="79"/>
              <w:rPr>
                <w:rFonts w:hint="default" w:ascii="Times New Roman" w:hAnsi="Times New Roman" w:cs="Times New Roman"/>
                <w:b w:val="0"/>
                <w:bCs w:val="0"/>
                <w:u w:val="none"/>
              </w:rPr>
            </w:pPr>
            <w:r>
              <w:rPr>
                <w:rFonts w:hint="default" w:ascii="Times New Roman" w:hAnsi="Times New Roman" w:cs="Times New Roman"/>
                <w:b w:val="0"/>
                <w:bCs w:val="0"/>
                <w:u w:val="none"/>
              </w:rPr>
              <w:t>/</w:t>
            </w:r>
          </w:p>
        </w:tc>
      </w:tr>
    </w:tbl>
    <w:p>
      <w:pPr>
        <w:pStyle w:val="86"/>
        <w:spacing w:before="163" w:after="163"/>
        <w:rPr>
          <w:rFonts w:hint="eastAsia"/>
          <w:color w:val="000000"/>
          <w:kern w:val="0"/>
          <w:u w:val="none"/>
        </w:rPr>
      </w:pPr>
      <w:bookmarkStart w:id="69" w:name="_Toc10975"/>
      <w:bookmarkStart w:id="70" w:name="_Toc29308649"/>
      <w:bookmarkStart w:id="71" w:name="_Toc489350110"/>
      <w:bookmarkStart w:id="72" w:name="_Toc489349341"/>
      <w:r>
        <w:rPr>
          <w:rFonts w:hint="eastAsia"/>
          <w:color w:val="000000"/>
          <w:kern w:val="0"/>
          <w:u w:val="none"/>
        </w:rPr>
        <w:t>1.6 评价标准</w:t>
      </w:r>
      <w:bookmarkEnd w:id="69"/>
      <w:bookmarkEnd w:id="70"/>
      <w:bookmarkEnd w:id="71"/>
      <w:bookmarkEnd w:id="72"/>
    </w:p>
    <w:p>
      <w:pPr>
        <w:pStyle w:val="8"/>
        <w:spacing w:before="163"/>
        <w:rPr>
          <w:color w:val="000000"/>
          <w:u w:val="none"/>
        </w:rPr>
      </w:pPr>
      <w:bookmarkStart w:id="73" w:name="_Toc489350111"/>
      <w:bookmarkStart w:id="74" w:name="_Toc460351417"/>
      <w:bookmarkStart w:id="75" w:name="_Toc441075606"/>
      <w:bookmarkStart w:id="76" w:name="_Toc489349342"/>
      <w:bookmarkStart w:id="77" w:name="_Toc489349955"/>
      <w:bookmarkStart w:id="78" w:name="_Toc489350212"/>
      <w:r>
        <w:rPr>
          <w:rFonts w:hint="eastAsia"/>
          <w:color w:val="000000"/>
          <w:u w:val="none"/>
        </w:rPr>
        <w:t>1.6.1</w:t>
      </w:r>
      <w:r>
        <w:rPr>
          <w:color w:val="000000"/>
          <w:u w:val="none"/>
        </w:rPr>
        <w:t xml:space="preserve">  </w:t>
      </w:r>
      <w:r>
        <w:rPr>
          <w:rFonts w:hint="eastAsia"/>
          <w:color w:val="000000"/>
          <w:u w:val="none"/>
        </w:rPr>
        <w:t>环境质量标准</w:t>
      </w:r>
      <w:bookmarkEnd w:id="73"/>
      <w:bookmarkEnd w:id="74"/>
      <w:bookmarkEnd w:id="75"/>
      <w:bookmarkEnd w:id="76"/>
      <w:bookmarkEnd w:id="77"/>
      <w:bookmarkEnd w:id="78"/>
    </w:p>
    <w:p>
      <w:pPr>
        <w:pStyle w:val="81"/>
        <w:rPr>
          <w:rFonts w:hint="eastAsia"/>
          <w:color w:val="000000"/>
          <w:u w:val="none"/>
        </w:rPr>
      </w:pPr>
      <w:bookmarkStart w:id="79" w:name="_Toc489350213"/>
      <w:bookmarkStart w:id="80" w:name="_Toc489350112"/>
      <w:bookmarkStart w:id="81" w:name="_Toc460351418"/>
      <w:bookmarkStart w:id="82" w:name="_Toc489349956"/>
      <w:r>
        <w:rPr>
          <w:rFonts w:hint="eastAsia"/>
          <w:color w:val="000000"/>
          <w:u w:val="none"/>
        </w:rPr>
        <w:t>1</w:t>
      </w:r>
      <w:r>
        <w:rPr>
          <w:color w:val="000000"/>
          <w:u w:val="none"/>
        </w:rPr>
        <w:t>.</w:t>
      </w:r>
      <w:r>
        <w:rPr>
          <w:rFonts w:hint="eastAsia"/>
          <w:color w:val="000000"/>
          <w:u w:val="none"/>
        </w:rPr>
        <w:t>6</w:t>
      </w:r>
      <w:r>
        <w:rPr>
          <w:color w:val="000000"/>
          <w:u w:val="none"/>
        </w:rPr>
        <w:t xml:space="preserve">.1.1  </w:t>
      </w:r>
      <w:r>
        <w:rPr>
          <w:rFonts w:hint="eastAsia"/>
          <w:color w:val="000000"/>
          <w:u w:val="none"/>
        </w:rPr>
        <w:t>环境空气质量标准</w:t>
      </w:r>
      <w:bookmarkEnd w:id="79"/>
      <w:bookmarkEnd w:id="80"/>
      <w:bookmarkEnd w:id="81"/>
      <w:bookmarkEnd w:id="82"/>
    </w:p>
    <w:p>
      <w:pPr>
        <w:ind w:firstLine="480"/>
        <w:rPr>
          <w:rFonts w:hint="eastAsia"/>
          <w:b/>
          <w:color w:val="000000"/>
          <w:kern w:val="0"/>
          <w:u w:val="none"/>
        </w:rPr>
      </w:pPr>
      <w:r>
        <w:rPr>
          <w:rFonts w:hint="eastAsia"/>
          <w:color w:val="000000"/>
          <w:kern w:val="0"/>
          <w:u w:val="none"/>
        </w:rPr>
        <w:t>评价区域环境空气执行《环境空气质量标准》</w:t>
      </w:r>
      <w:r>
        <w:rPr>
          <w:color w:val="000000"/>
          <w:kern w:val="0"/>
          <w:u w:val="none"/>
        </w:rPr>
        <w:t>（GB3095-2012）</w:t>
      </w:r>
      <w:r>
        <w:rPr>
          <w:rFonts w:hint="eastAsia"/>
          <w:u w:val="none"/>
        </w:rPr>
        <w:t>及修改单中二级标准</w:t>
      </w:r>
      <w:r>
        <w:rPr>
          <w:rFonts w:hint="eastAsia"/>
          <w:color w:val="000000"/>
          <w:kern w:val="0"/>
          <w:u w:val="none"/>
        </w:rPr>
        <w:t>，具体标准限值见表</w:t>
      </w:r>
      <w:r>
        <w:rPr>
          <w:color w:val="000000"/>
          <w:kern w:val="0"/>
          <w:u w:val="none"/>
        </w:rPr>
        <w:t>1.</w:t>
      </w:r>
      <w:r>
        <w:rPr>
          <w:rFonts w:hint="eastAsia"/>
          <w:color w:val="000000"/>
          <w:kern w:val="0"/>
          <w:u w:val="none"/>
        </w:rPr>
        <w:t>6</w:t>
      </w:r>
      <w:r>
        <w:rPr>
          <w:color w:val="000000"/>
          <w:kern w:val="0"/>
          <w:u w:val="none"/>
        </w:rPr>
        <w:t>-1</w:t>
      </w:r>
      <w:r>
        <w:rPr>
          <w:rFonts w:hint="eastAsia"/>
          <w:color w:val="000000"/>
          <w:kern w:val="0"/>
          <w:u w:val="none"/>
        </w:rPr>
        <w:t>。</w:t>
      </w:r>
    </w:p>
    <w:p>
      <w:pPr>
        <w:ind w:firstLine="422"/>
        <w:jc w:val="center"/>
        <w:rPr>
          <w:rFonts w:hint="eastAsia"/>
          <w:b/>
          <w:color w:val="000000"/>
          <w:kern w:val="0"/>
          <w:sz w:val="21"/>
          <w:szCs w:val="21"/>
          <w:u w:val="none"/>
        </w:rPr>
      </w:pPr>
      <w:r>
        <w:rPr>
          <w:b/>
          <w:color w:val="000000"/>
          <w:kern w:val="0"/>
          <w:sz w:val="21"/>
          <w:szCs w:val="21"/>
          <w:u w:val="none"/>
        </w:rPr>
        <w:t>表1.</w:t>
      </w:r>
      <w:r>
        <w:rPr>
          <w:rFonts w:hint="eastAsia"/>
          <w:b/>
          <w:color w:val="000000"/>
          <w:kern w:val="0"/>
          <w:sz w:val="21"/>
          <w:szCs w:val="21"/>
          <w:u w:val="none"/>
        </w:rPr>
        <w:t>6</w:t>
      </w:r>
      <w:r>
        <w:rPr>
          <w:b/>
          <w:color w:val="000000"/>
          <w:kern w:val="0"/>
          <w:sz w:val="21"/>
          <w:szCs w:val="21"/>
          <w:u w:val="none"/>
        </w:rPr>
        <w:t>-1  环境空气质量标准 单位：</w:t>
      </w:r>
      <w:r>
        <w:rPr>
          <w:rFonts w:hint="eastAsia"/>
          <w:b/>
          <w:color w:val="000000"/>
          <w:kern w:val="0"/>
          <w:sz w:val="21"/>
          <w:szCs w:val="21"/>
          <w:u w:val="none"/>
        </w:rPr>
        <w:t>u</w:t>
      </w:r>
      <w:r>
        <w:rPr>
          <w:b/>
          <w:color w:val="000000"/>
          <w:kern w:val="0"/>
          <w:sz w:val="21"/>
          <w:szCs w:val="21"/>
          <w:u w:val="none"/>
        </w:rPr>
        <w:t>g/m</w:t>
      </w:r>
      <w:r>
        <w:rPr>
          <w:b/>
          <w:color w:val="000000"/>
          <w:kern w:val="0"/>
          <w:sz w:val="21"/>
          <w:szCs w:val="21"/>
          <w:u w:val="none"/>
          <w:vertAlign w:val="superscript"/>
        </w:rPr>
        <w:t>3</w:t>
      </w:r>
      <w:bookmarkStart w:id="83" w:name="_Toc460351419"/>
    </w:p>
    <w:tbl>
      <w:tblPr>
        <w:tblStyle w:val="37"/>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1"/>
        <w:gridCol w:w="1941"/>
        <w:gridCol w:w="1247"/>
        <w:gridCol w:w="3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41"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污染物</w:t>
            </w:r>
          </w:p>
        </w:tc>
        <w:tc>
          <w:tcPr>
            <w:tcW w:w="1941"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取值时间</w:t>
            </w:r>
          </w:p>
        </w:tc>
        <w:tc>
          <w:tcPr>
            <w:tcW w:w="1247"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标准限值</w:t>
            </w:r>
          </w:p>
        </w:tc>
        <w:tc>
          <w:tcPr>
            <w:tcW w:w="3610"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41"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PM</w:t>
            </w:r>
            <w:r>
              <w:rPr>
                <w:rFonts w:hint="default" w:ascii="Times New Roman" w:hAnsi="Times New Roman" w:cs="Times New Roman"/>
                <w:u w:val="none"/>
                <w:vertAlign w:val="subscript"/>
              </w:rPr>
              <w:t>10</w:t>
            </w:r>
          </w:p>
        </w:tc>
        <w:tc>
          <w:tcPr>
            <w:tcW w:w="1941"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24小时平均</w:t>
            </w:r>
          </w:p>
        </w:tc>
        <w:tc>
          <w:tcPr>
            <w:tcW w:w="1247"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150</w:t>
            </w:r>
          </w:p>
        </w:tc>
        <w:tc>
          <w:tcPr>
            <w:tcW w:w="3610" w:type="dxa"/>
            <w:vMerge w:val="restart"/>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《环境空气质量标准》</w:t>
            </w:r>
          </w:p>
          <w:p>
            <w:pPr>
              <w:pStyle w:val="79"/>
              <w:rPr>
                <w:rFonts w:hint="default" w:ascii="Times New Roman" w:hAnsi="Times New Roman" w:cs="Times New Roman"/>
                <w:u w:val="none"/>
              </w:rPr>
            </w:pPr>
            <w:r>
              <w:rPr>
                <w:rFonts w:hint="default" w:ascii="Times New Roman" w:hAnsi="Times New Roman" w:cs="Times New Roman"/>
                <w:u w:val="none"/>
              </w:rPr>
              <w:t>（GB3095-2012）及修改单中二级标准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41" w:type="dxa"/>
            <w:vMerge w:val="restart"/>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SO</w:t>
            </w:r>
            <w:r>
              <w:rPr>
                <w:rFonts w:hint="default" w:ascii="Times New Roman" w:hAnsi="Times New Roman" w:cs="Times New Roman"/>
                <w:u w:val="none"/>
                <w:vertAlign w:val="subscript"/>
              </w:rPr>
              <w:t>2</w:t>
            </w:r>
          </w:p>
        </w:tc>
        <w:tc>
          <w:tcPr>
            <w:tcW w:w="1941"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24小时平均</w:t>
            </w:r>
          </w:p>
        </w:tc>
        <w:tc>
          <w:tcPr>
            <w:tcW w:w="1247"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150</w:t>
            </w:r>
          </w:p>
        </w:tc>
        <w:tc>
          <w:tcPr>
            <w:tcW w:w="3610" w:type="dxa"/>
            <w:vMerge w:val="continue"/>
            <w:noWrap w:val="0"/>
            <w:vAlign w:val="center"/>
          </w:tcPr>
          <w:p>
            <w:pPr>
              <w:pStyle w:val="79"/>
              <w:rPr>
                <w:rFonts w:hint="default" w:ascii="Times New Roman" w:hAnsi="Times New Roman" w:cs="Times New Roman"/>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41" w:type="dxa"/>
            <w:vMerge w:val="continue"/>
            <w:noWrap w:val="0"/>
            <w:vAlign w:val="center"/>
          </w:tcPr>
          <w:p>
            <w:pPr>
              <w:pStyle w:val="79"/>
              <w:rPr>
                <w:rFonts w:hint="default" w:ascii="Times New Roman" w:hAnsi="Times New Roman" w:cs="Times New Roman"/>
                <w:u w:val="none"/>
              </w:rPr>
            </w:pPr>
          </w:p>
        </w:tc>
        <w:tc>
          <w:tcPr>
            <w:tcW w:w="1941"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1小时平均</w:t>
            </w:r>
          </w:p>
        </w:tc>
        <w:tc>
          <w:tcPr>
            <w:tcW w:w="1247"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500</w:t>
            </w:r>
          </w:p>
        </w:tc>
        <w:tc>
          <w:tcPr>
            <w:tcW w:w="3610" w:type="dxa"/>
            <w:vMerge w:val="continue"/>
            <w:noWrap w:val="0"/>
            <w:vAlign w:val="center"/>
          </w:tcPr>
          <w:p>
            <w:pPr>
              <w:pStyle w:val="79"/>
              <w:rPr>
                <w:rFonts w:hint="default" w:ascii="Times New Roman" w:hAnsi="Times New Roman" w:cs="Times New Roman"/>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41" w:type="dxa"/>
            <w:vMerge w:val="restart"/>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NO</w:t>
            </w:r>
            <w:r>
              <w:rPr>
                <w:rFonts w:hint="default" w:ascii="Times New Roman" w:hAnsi="Times New Roman" w:cs="Times New Roman"/>
                <w:u w:val="none"/>
                <w:vertAlign w:val="subscript"/>
              </w:rPr>
              <w:t>2</w:t>
            </w:r>
          </w:p>
        </w:tc>
        <w:tc>
          <w:tcPr>
            <w:tcW w:w="1941"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24小时平均</w:t>
            </w:r>
          </w:p>
        </w:tc>
        <w:tc>
          <w:tcPr>
            <w:tcW w:w="1247"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80</w:t>
            </w:r>
          </w:p>
        </w:tc>
        <w:tc>
          <w:tcPr>
            <w:tcW w:w="3610" w:type="dxa"/>
            <w:vMerge w:val="continue"/>
            <w:noWrap w:val="0"/>
            <w:vAlign w:val="center"/>
          </w:tcPr>
          <w:p>
            <w:pPr>
              <w:pStyle w:val="79"/>
              <w:rPr>
                <w:rFonts w:hint="default" w:ascii="Times New Roman" w:hAnsi="Times New Roman" w:cs="Times New Roman"/>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41" w:type="dxa"/>
            <w:vMerge w:val="continue"/>
            <w:noWrap w:val="0"/>
            <w:vAlign w:val="center"/>
          </w:tcPr>
          <w:p>
            <w:pPr>
              <w:pStyle w:val="79"/>
              <w:rPr>
                <w:rFonts w:hint="default" w:ascii="Times New Roman" w:hAnsi="Times New Roman" w:cs="Times New Roman"/>
                <w:u w:val="none"/>
              </w:rPr>
            </w:pPr>
          </w:p>
        </w:tc>
        <w:tc>
          <w:tcPr>
            <w:tcW w:w="1941"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1小时平均</w:t>
            </w:r>
          </w:p>
        </w:tc>
        <w:tc>
          <w:tcPr>
            <w:tcW w:w="1247"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200</w:t>
            </w:r>
          </w:p>
        </w:tc>
        <w:tc>
          <w:tcPr>
            <w:tcW w:w="3610" w:type="dxa"/>
            <w:vMerge w:val="continue"/>
            <w:noWrap w:val="0"/>
            <w:vAlign w:val="center"/>
          </w:tcPr>
          <w:p>
            <w:pPr>
              <w:pStyle w:val="79"/>
              <w:rPr>
                <w:rFonts w:hint="default" w:ascii="Times New Roman" w:hAnsi="Times New Roman" w:cs="Times New Roman"/>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941"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TSP</w:t>
            </w:r>
          </w:p>
        </w:tc>
        <w:tc>
          <w:tcPr>
            <w:tcW w:w="1941"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24小时平均</w:t>
            </w:r>
          </w:p>
        </w:tc>
        <w:tc>
          <w:tcPr>
            <w:tcW w:w="1247"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300</w:t>
            </w:r>
          </w:p>
        </w:tc>
        <w:tc>
          <w:tcPr>
            <w:tcW w:w="3610" w:type="dxa"/>
            <w:vMerge w:val="continue"/>
            <w:noWrap w:val="0"/>
            <w:vAlign w:val="center"/>
          </w:tcPr>
          <w:p>
            <w:pPr>
              <w:pStyle w:val="79"/>
              <w:rPr>
                <w:rFonts w:hint="default" w:ascii="Times New Roman" w:hAnsi="Times New Roman" w:cs="Times New Roman"/>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941" w:type="dxa"/>
            <w:vMerge w:val="restart"/>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CO</w:t>
            </w:r>
          </w:p>
        </w:tc>
        <w:tc>
          <w:tcPr>
            <w:tcW w:w="1941"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24小时平均</w:t>
            </w:r>
          </w:p>
        </w:tc>
        <w:tc>
          <w:tcPr>
            <w:tcW w:w="1247"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4000</w:t>
            </w:r>
          </w:p>
        </w:tc>
        <w:tc>
          <w:tcPr>
            <w:tcW w:w="3610" w:type="dxa"/>
            <w:vMerge w:val="continue"/>
            <w:noWrap w:val="0"/>
            <w:vAlign w:val="center"/>
          </w:tcPr>
          <w:p>
            <w:pPr>
              <w:pStyle w:val="79"/>
              <w:rPr>
                <w:rFonts w:hint="default" w:ascii="Times New Roman" w:hAnsi="Times New Roman" w:cs="Times New Roman"/>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941" w:type="dxa"/>
            <w:vMerge w:val="continue"/>
            <w:noWrap w:val="0"/>
            <w:vAlign w:val="center"/>
          </w:tcPr>
          <w:p>
            <w:pPr>
              <w:pStyle w:val="79"/>
              <w:rPr>
                <w:rFonts w:hint="default" w:ascii="Times New Roman" w:hAnsi="Times New Roman" w:cs="Times New Roman"/>
                <w:u w:val="none"/>
              </w:rPr>
            </w:pPr>
          </w:p>
        </w:tc>
        <w:tc>
          <w:tcPr>
            <w:tcW w:w="1941"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1小时平均</w:t>
            </w:r>
          </w:p>
        </w:tc>
        <w:tc>
          <w:tcPr>
            <w:tcW w:w="1247"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10000</w:t>
            </w:r>
          </w:p>
        </w:tc>
        <w:tc>
          <w:tcPr>
            <w:tcW w:w="3610" w:type="dxa"/>
            <w:vMerge w:val="continue"/>
            <w:noWrap w:val="0"/>
            <w:vAlign w:val="center"/>
          </w:tcPr>
          <w:p>
            <w:pPr>
              <w:pStyle w:val="79"/>
              <w:rPr>
                <w:rFonts w:hint="default" w:ascii="Times New Roman" w:hAnsi="Times New Roman" w:cs="Times New Roman"/>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41"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O</w:t>
            </w:r>
            <w:r>
              <w:rPr>
                <w:rFonts w:hint="default" w:ascii="Times New Roman" w:hAnsi="Times New Roman" w:cs="Times New Roman"/>
                <w:u w:val="none"/>
                <w:vertAlign w:val="subscript"/>
              </w:rPr>
              <w:t>3</w:t>
            </w:r>
          </w:p>
        </w:tc>
        <w:tc>
          <w:tcPr>
            <w:tcW w:w="1941"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1小时平均</w:t>
            </w:r>
          </w:p>
        </w:tc>
        <w:tc>
          <w:tcPr>
            <w:tcW w:w="1247"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200</w:t>
            </w:r>
          </w:p>
        </w:tc>
        <w:tc>
          <w:tcPr>
            <w:tcW w:w="3610" w:type="dxa"/>
            <w:vMerge w:val="continue"/>
            <w:noWrap w:val="0"/>
            <w:vAlign w:val="center"/>
          </w:tcPr>
          <w:p>
            <w:pPr>
              <w:pStyle w:val="79"/>
              <w:rPr>
                <w:rFonts w:hint="default" w:ascii="Times New Roman" w:hAnsi="Times New Roman" w:cs="Times New Roman"/>
                <w:u w:val="none"/>
              </w:rPr>
            </w:pPr>
          </w:p>
        </w:tc>
      </w:tr>
    </w:tbl>
    <w:p>
      <w:pPr>
        <w:pStyle w:val="81"/>
        <w:rPr>
          <w:rFonts w:hint="eastAsia"/>
          <w:color w:val="000000"/>
        </w:rPr>
      </w:pPr>
      <w:bookmarkStart w:id="84" w:name="_Toc489350214"/>
      <w:bookmarkStart w:id="85" w:name="_Toc489350113"/>
      <w:bookmarkStart w:id="86" w:name="_Toc489349957"/>
      <w:r>
        <w:rPr>
          <w:rFonts w:hint="eastAsia"/>
          <w:color w:val="000000"/>
        </w:rPr>
        <w:t>1</w:t>
      </w:r>
      <w:r>
        <w:rPr>
          <w:color w:val="000000"/>
        </w:rPr>
        <w:t>.</w:t>
      </w:r>
      <w:r>
        <w:rPr>
          <w:rFonts w:hint="eastAsia"/>
          <w:color w:val="000000"/>
        </w:rPr>
        <w:t>6</w:t>
      </w:r>
      <w:r>
        <w:rPr>
          <w:color w:val="000000"/>
        </w:rPr>
        <w:t xml:space="preserve">.1.2 </w:t>
      </w:r>
      <w:r>
        <w:rPr>
          <w:rFonts w:hint="eastAsia"/>
          <w:color w:val="000000"/>
        </w:rPr>
        <w:t>地表水质量标准</w:t>
      </w:r>
      <w:bookmarkEnd w:id="83"/>
      <w:bookmarkEnd w:id="84"/>
      <w:bookmarkEnd w:id="85"/>
      <w:bookmarkEnd w:id="86"/>
    </w:p>
    <w:p>
      <w:pPr>
        <w:ind w:firstLine="480"/>
        <w:rPr>
          <w:rFonts w:hint="eastAsia"/>
          <w:color w:val="000000"/>
          <w:kern w:val="0"/>
        </w:rPr>
      </w:pPr>
      <w:r>
        <w:rPr>
          <w:rFonts w:hint="eastAsia"/>
          <w:color w:val="000000"/>
          <w:kern w:val="0"/>
        </w:rPr>
        <w:t>本项目地表水环境质量执行《地表水环境质量标准》（GB3838-2002）</w:t>
      </w:r>
      <w:r>
        <w:rPr>
          <w:rFonts w:hint="eastAsia" w:cs="宋体"/>
          <w:color w:val="000000"/>
          <w:kern w:val="0"/>
        </w:rPr>
        <w:t>Ⅲ类标准，本项目地表水</w:t>
      </w:r>
      <w:r>
        <w:rPr>
          <w:rFonts w:hint="eastAsia" w:cs="宋体"/>
          <w:color w:val="000000"/>
          <w:kern w:val="0"/>
          <w:lang w:eastAsia="zh-CN"/>
        </w:rPr>
        <w:t>总钒、锰</w:t>
      </w:r>
      <w:r>
        <w:rPr>
          <w:rFonts w:hint="eastAsia" w:cs="宋体"/>
          <w:color w:val="000000"/>
          <w:kern w:val="0"/>
        </w:rPr>
        <w:t>不评价，仅作为本底值</w:t>
      </w:r>
      <w:r>
        <w:rPr>
          <w:rFonts w:hint="eastAsia" w:cs="宋体"/>
          <w:color w:val="000000"/>
          <w:kern w:val="0"/>
          <w:lang w:eastAsia="zh-CN"/>
        </w:rPr>
        <w:t>。项目执行</w:t>
      </w:r>
      <w:r>
        <w:rPr>
          <w:rFonts w:hint="eastAsia" w:cs="宋体"/>
          <w:color w:val="000000"/>
          <w:kern w:val="0"/>
        </w:rPr>
        <w:t>标准值详见下表</w:t>
      </w:r>
      <w:r>
        <w:rPr>
          <w:color w:val="000000"/>
          <w:kern w:val="0"/>
        </w:rPr>
        <w:t>1.</w:t>
      </w:r>
      <w:r>
        <w:rPr>
          <w:rFonts w:hint="eastAsia"/>
          <w:color w:val="000000"/>
          <w:kern w:val="0"/>
        </w:rPr>
        <w:t>6</w:t>
      </w:r>
      <w:r>
        <w:rPr>
          <w:color w:val="000000"/>
          <w:kern w:val="0"/>
        </w:rPr>
        <w:t>-2</w:t>
      </w:r>
      <w:r>
        <w:rPr>
          <w:rFonts w:hint="eastAsia"/>
          <w:color w:val="000000"/>
          <w:kern w:val="0"/>
        </w:rPr>
        <w:t>。</w:t>
      </w:r>
    </w:p>
    <w:p>
      <w:pPr>
        <w:ind w:firstLine="422"/>
        <w:jc w:val="center"/>
        <w:rPr>
          <w:b/>
          <w:color w:val="000000"/>
          <w:kern w:val="0"/>
          <w:sz w:val="21"/>
          <w:szCs w:val="21"/>
        </w:rPr>
      </w:pPr>
      <w:r>
        <w:rPr>
          <w:rFonts w:hint="eastAsia"/>
          <w:b/>
          <w:color w:val="000000"/>
          <w:kern w:val="0"/>
          <w:sz w:val="21"/>
          <w:szCs w:val="21"/>
        </w:rPr>
        <w:t>表1.6-2 地表水环境质量标准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8"/>
        <w:gridCol w:w="725"/>
        <w:gridCol w:w="3686"/>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218" w:type="dxa"/>
            <w:noWrap w:val="0"/>
            <w:vAlign w:val="center"/>
          </w:tcPr>
          <w:p>
            <w:pPr>
              <w:snapToGrid w:val="0"/>
              <w:spacing w:line="240" w:lineRule="auto"/>
              <w:ind w:firstLine="0" w:firstLineChars="0"/>
              <w:jc w:val="center"/>
              <w:rPr>
                <w:rFonts w:hint="eastAsia"/>
                <w:b/>
                <w:bCs/>
                <w:color w:val="000000"/>
                <w:kern w:val="0"/>
                <w:sz w:val="21"/>
                <w:szCs w:val="21"/>
              </w:rPr>
            </w:pPr>
            <w:r>
              <w:rPr>
                <w:rFonts w:hint="eastAsia"/>
                <w:b/>
                <w:bCs/>
                <w:color w:val="000000"/>
                <w:kern w:val="0"/>
                <w:sz w:val="21"/>
                <w:szCs w:val="21"/>
              </w:rPr>
              <w:t>污染物名称</w:t>
            </w:r>
          </w:p>
        </w:tc>
        <w:tc>
          <w:tcPr>
            <w:tcW w:w="725" w:type="dxa"/>
            <w:noWrap w:val="0"/>
            <w:vAlign w:val="center"/>
          </w:tcPr>
          <w:p>
            <w:pPr>
              <w:snapToGrid w:val="0"/>
              <w:spacing w:line="240" w:lineRule="auto"/>
              <w:ind w:firstLine="0" w:firstLineChars="0"/>
              <w:jc w:val="center"/>
              <w:rPr>
                <w:rFonts w:hint="eastAsia"/>
                <w:b/>
                <w:bCs/>
                <w:color w:val="000000"/>
                <w:kern w:val="0"/>
                <w:sz w:val="21"/>
                <w:szCs w:val="21"/>
              </w:rPr>
            </w:pPr>
            <w:r>
              <w:rPr>
                <w:rFonts w:hint="eastAsia"/>
                <w:b/>
                <w:bCs/>
                <w:color w:val="000000"/>
                <w:kern w:val="0"/>
                <w:sz w:val="21"/>
                <w:szCs w:val="21"/>
              </w:rPr>
              <w:t>单位</w:t>
            </w:r>
          </w:p>
        </w:tc>
        <w:tc>
          <w:tcPr>
            <w:tcW w:w="3686" w:type="dxa"/>
            <w:noWrap w:val="0"/>
            <w:vAlign w:val="center"/>
          </w:tcPr>
          <w:p>
            <w:pPr>
              <w:snapToGrid w:val="0"/>
              <w:spacing w:line="240" w:lineRule="auto"/>
              <w:ind w:firstLine="0" w:firstLineChars="0"/>
              <w:jc w:val="center"/>
              <w:rPr>
                <w:rFonts w:hint="eastAsia"/>
                <w:b/>
                <w:bCs/>
                <w:color w:val="000000"/>
                <w:kern w:val="0"/>
                <w:sz w:val="21"/>
                <w:szCs w:val="21"/>
              </w:rPr>
            </w:pPr>
            <w:r>
              <w:rPr>
                <w:rFonts w:hint="eastAsia"/>
                <w:b/>
                <w:bCs/>
                <w:color w:val="000000"/>
                <w:kern w:val="0"/>
                <w:sz w:val="21"/>
                <w:szCs w:val="21"/>
              </w:rPr>
              <w:t>标准限值（</w:t>
            </w:r>
            <w:r>
              <w:rPr>
                <w:rFonts w:hint="eastAsia" w:cs="宋体"/>
                <w:b/>
                <w:bCs/>
                <w:color w:val="000000"/>
                <w:kern w:val="0"/>
                <w:sz w:val="21"/>
                <w:szCs w:val="21"/>
              </w:rPr>
              <w:t>Ⅲ类标准</w:t>
            </w:r>
            <w:r>
              <w:rPr>
                <w:rFonts w:hint="eastAsia"/>
                <w:b/>
                <w:bCs/>
                <w:color w:val="000000"/>
                <w:kern w:val="0"/>
                <w:sz w:val="21"/>
                <w:szCs w:val="21"/>
              </w:rPr>
              <w:t>）</w:t>
            </w:r>
          </w:p>
        </w:tc>
        <w:tc>
          <w:tcPr>
            <w:tcW w:w="1893" w:type="dxa"/>
            <w:noWrap w:val="0"/>
            <w:vAlign w:val="center"/>
          </w:tcPr>
          <w:p>
            <w:pPr>
              <w:snapToGrid w:val="0"/>
              <w:spacing w:line="240" w:lineRule="auto"/>
              <w:ind w:firstLine="0" w:firstLineChars="0"/>
              <w:jc w:val="center"/>
              <w:rPr>
                <w:rFonts w:hint="eastAsia"/>
                <w:b/>
                <w:bCs/>
                <w:color w:val="000000"/>
                <w:kern w:val="0"/>
                <w:sz w:val="21"/>
                <w:szCs w:val="21"/>
              </w:rPr>
            </w:pPr>
            <w:r>
              <w:rPr>
                <w:rFonts w:hint="eastAsia"/>
                <w:b/>
                <w:bCs/>
                <w:color w:val="000000"/>
                <w:kern w:val="0"/>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水温</w:t>
            </w:r>
          </w:p>
        </w:tc>
        <w:tc>
          <w:tcPr>
            <w:tcW w:w="725"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w:t>
            </w:r>
          </w:p>
        </w:tc>
        <w:tc>
          <w:tcPr>
            <w:tcW w:w="3686"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人为造成的环境水温变化应限制在：周平均最大温升≤1；周平均最大温降≤2</w:t>
            </w:r>
          </w:p>
        </w:tc>
        <w:tc>
          <w:tcPr>
            <w:tcW w:w="1893" w:type="dxa"/>
            <w:vMerge w:val="restar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《地表水环境质量》（GB3838-2002）</w:t>
            </w:r>
            <w:r>
              <w:rPr>
                <w:rFonts w:hint="eastAsia" w:cs="宋体"/>
                <w:color w:val="000000"/>
                <w:kern w:val="0"/>
                <w:sz w:val="21"/>
                <w:szCs w:val="21"/>
              </w:rPr>
              <w:t>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pH</w:t>
            </w:r>
          </w:p>
        </w:tc>
        <w:tc>
          <w:tcPr>
            <w:tcW w:w="725"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无量纲</w:t>
            </w:r>
          </w:p>
        </w:tc>
        <w:tc>
          <w:tcPr>
            <w:tcW w:w="3686"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6-9</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溶解氧</w:t>
            </w:r>
          </w:p>
        </w:tc>
        <w:tc>
          <w:tcPr>
            <w:tcW w:w="725"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高锰酸盐指数</w:t>
            </w:r>
          </w:p>
        </w:tc>
        <w:tc>
          <w:tcPr>
            <w:tcW w:w="725"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≤6</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COD</w:t>
            </w:r>
          </w:p>
        </w:tc>
        <w:tc>
          <w:tcPr>
            <w:tcW w:w="725"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≤20</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BOD</w:t>
            </w:r>
            <w:r>
              <w:rPr>
                <w:rFonts w:hint="eastAsia"/>
                <w:color w:val="000000"/>
                <w:kern w:val="0"/>
                <w:sz w:val="21"/>
                <w:szCs w:val="21"/>
                <w:vertAlign w:val="subscript"/>
              </w:rPr>
              <w:t>5</w:t>
            </w:r>
          </w:p>
        </w:tc>
        <w:tc>
          <w:tcPr>
            <w:tcW w:w="725"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≤4</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NH</w:t>
            </w:r>
            <w:r>
              <w:rPr>
                <w:color w:val="000000"/>
                <w:kern w:val="0"/>
                <w:sz w:val="21"/>
                <w:szCs w:val="21"/>
                <w:vertAlign w:val="subscript"/>
              </w:rPr>
              <w:t>3</w:t>
            </w:r>
            <w:r>
              <w:rPr>
                <w:color w:val="000000"/>
                <w:kern w:val="0"/>
                <w:sz w:val="21"/>
                <w:szCs w:val="21"/>
              </w:rPr>
              <w:t>-N</w:t>
            </w:r>
          </w:p>
        </w:tc>
        <w:tc>
          <w:tcPr>
            <w:tcW w:w="725"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≤1.0</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T</w:t>
            </w:r>
            <w:r>
              <w:rPr>
                <w:color w:val="000000"/>
                <w:kern w:val="0"/>
                <w:sz w:val="21"/>
                <w:szCs w:val="21"/>
              </w:rPr>
              <w:t>P</w:t>
            </w:r>
          </w:p>
        </w:tc>
        <w:tc>
          <w:tcPr>
            <w:tcW w:w="725"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≤0.2</w:t>
            </w:r>
          </w:p>
          <w:p>
            <w:pPr>
              <w:snapToGrid w:val="0"/>
              <w:spacing w:line="240" w:lineRule="auto"/>
              <w:ind w:firstLine="0" w:firstLineChars="0"/>
              <w:jc w:val="center"/>
              <w:rPr>
                <w:color w:val="000000"/>
                <w:kern w:val="0"/>
                <w:sz w:val="21"/>
                <w:szCs w:val="21"/>
              </w:rPr>
            </w:pPr>
            <w:r>
              <w:rPr>
                <w:rFonts w:hint="eastAsia"/>
                <w:color w:val="000000"/>
                <w:kern w:val="0"/>
                <w:sz w:val="21"/>
                <w:szCs w:val="21"/>
              </w:rPr>
              <w:t>（湖、库 0.05）</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总氮（湖、库、以 N 计）</w:t>
            </w:r>
          </w:p>
        </w:tc>
        <w:tc>
          <w:tcPr>
            <w:tcW w:w="725"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≤1</w:t>
            </w:r>
            <w:r>
              <w:rPr>
                <w:color w:val="000000"/>
                <w:kern w:val="0"/>
                <w:sz w:val="21"/>
                <w:szCs w:val="21"/>
              </w:rPr>
              <w:t>.0</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铜</w:t>
            </w:r>
          </w:p>
        </w:tc>
        <w:tc>
          <w:tcPr>
            <w:tcW w:w="725"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≤1.0</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锌</w:t>
            </w:r>
          </w:p>
        </w:tc>
        <w:tc>
          <w:tcPr>
            <w:tcW w:w="725"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≤1.0</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石油类</w:t>
            </w:r>
          </w:p>
        </w:tc>
        <w:tc>
          <w:tcPr>
            <w:tcW w:w="725"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≤0.05</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硒</w:t>
            </w:r>
          </w:p>
        </w:tc>
        <w:tc>
          <w:tcPr>
            <w:tcW w:w="725"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≤0.01</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砷</w:t>
            </w:r>
          </w:p>
        </w:tc>
        <w:tc>
          <w:tcPr>
            <w:tcW w:w="725" w:type="dxa"/>
            <w:noWrap w:val="0"/>
            <w:vAlign w:val="top"/>
          </w:tcPr>
          <w:p>
            <w:pPr>
              <w:snapToGrid w:val="0"/>
              <w:spacing w:line="240" w:lineRule="auto"/>
              <w:ind w:firstLine="0" w:firstLineChars="0"/>
              <w:jc w:val="center"/>
              <w:rPr>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≤0.05</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汞</w:t>
            </w:r>
          </w:p>
        </w:tc>
        <w:tc>
          <w:tcPr>
            <w:tcW w:w="725" w:type="dxa"/>
            <w:noWrap w:val="0"/>
            <w:vAlign w:val="top"/>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≤0.0001</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铅</w:t>
            </w:r>
          </w:p>
        </w:tc>
        <w:tc>
          <w:tcPr>
            <w:tcW w:w="725" w:type="dxa"/>
            <w:noWrap w:val="0"/>
            <w:vAlign w:val="top"/>
          </w:tcPr>
          <w:p>
            <w:pPr>
              <w:snapToGrid w:val="0"/>
              <w:spacing w:line="240" w:lineRule="auto"/>
              <w:ind w:firstLine="0" w:firstLineChars="0"/>
              <w:jc w:val="center"/>
              <w:rPr>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≤0.05</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铬（六价）</w:t>
            </w:r>
          </w:p>
        </w:tc>
        <w:tc>
          <w:tcPr>
            <w:tcW w:w="725" w:type="dxa"/>
            <w:noWrap w:val="0"/>
            <w:vAlign w:val="top"/>
          </w:tcPr>
          <w:p>
            <w:pPr>
              <w:snapToGrid w:val="0"/>
              <w:spacing w:line="240" w:lineRule="auto"/>
              <w:ind w:firstLine="0" w:firstLineChars="0"/>
              <w:jc w:val="center"/>
              <w:rPr>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≤0.05</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镉</w:t>
            </w:r>
          </w:p>
        </w:tc>
        <w:tc>
          <w:tcPr>
            <w:tcW w:w="725" w:type="dxa"/>
            <w:noWrap w:val="0"/>
            <w:vAlign w:val="top"/>
          </w:tcPr>
          <w:p>
            <w:pPr>
              <w:snapToGrid w:val="0"/>
              <w:spacing w:line="240" w:lineRule="auto"/>
              <w:ind w:firstLine="0" w:firstLineChars="0"/>
              <w:jc w:val="center"/>
              <w:rPr>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≤0.005</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硫化物</w:t>
            </w:r>
          </w:p>
        </w:tc>
        <w:tc>
          <w:tcPr>
            <w:tcW w:w="725" w:type="dxa"/>
            <w:noWrap w:val="0"/>
            <w:vAlign w:val="top"/>
          </w:tcPr>
          <w:p>
            <w:pPr>
              <w:snapToGrid w:val="0"/>
              <w:spacing w:line="240" w:lineRule="auto"/>
              <w:ind w:firstLine="0" w:firstLineChars="0"/>
              <w:jc w:val="center"/>
              <w:rPr>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≤0.2</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氰化物</w:t>
            </w:r>
          </w:p>
        </w:tc>
        <w:tc>
          <w:tcPr>
            <w:tcW w:w="725" w:type="dxa"/>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w:t>
            </w:r>
            <w:r>
              <w:rPr>
                <w:rFonts w:hint="eastAsia"/>
                <w:color w:val="000000"/>
                <w:kern w:val="0"/>
                <w:sz w:val="21"/>
                <w:szCs w:val="21"/>
              </w:rPr>
              <w:t>0</w:t>
            </w:r>
            <w:r>
              <w:rPr>
                <w:color w:val="000000"/>
                <w:kern w:val="0"/>
                <w:sz w:val="21"/>
                <w:szCs w:val="21"/>
              </w:rPr>
              <w:t>.2</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挥发酚</w:t>
            </w:r>
          </w:p>
        </w:tc>
        <w:tc>
          <w:tcPr>
            <w:tcW w:w="725" w:type="dxa"/>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≤0.005</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阴离子表面活性剂</w:t>
            </w:r>
          </w:p>
        </w:tc>
        <w:tc>
          <w:tcPr>
            <w:tcW w:w="725" w:type="dxa"/>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≤0.2</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氟化物</w:t>
            </w:r>
          </w:p>
        </w:tc>
        <w:tc>
          <w:tcPr>
            <w:tcW w:w="725" w:type="dxa"/>
            <w:noWrap w:val="0"/>
            <w:vAlign w:val="top"/>
          </w:tcPr>
          <w:p>
            <w:pPr>
              <w:snapToGrid w:val="0"/>
              <w:spacing w:line="240" w:lineRule="auto"/>
              <w:ind w:firstLine="0" w:firstLineChars="0"/>
              <w:jc w:val="center"/>
              <w:rPr>
                <w:color w:val="000000"/>
                <w:kern w:val="0"/>
                <w:sz w:val="21"/>
                <w:szCs w:val="21"/>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≤1.0</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粪大肠菌群</w:t>
            </w:r>
          </w:p>
        </w:tc>
        <w:tc>
          <w:tcPr>
            <w:tcW w:w="725" w:type="dxa"/>
            <w:noWrap w:val="0"/>
            <w:vAlign w:val="top"/>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个/L</w:t>
            </w:r>
          </w:p>
        </w:tc>
        <w:tc>
          <w:tcPr>
            <w:tcW w:w="3686" w:type="dxa"/>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w:t>
            </w:r>
            <w:r>
              <w:rPr>
                <w:rFonts w:hint="eastAsia"/>
                <w:color w:val="000000"/>
                <w:kern w:val="0"/>
                <w:sz w:val="21"/>
                <w:szCs w:val="21"/>
              </w:rPr>
              <w:t>1</w:t>
            </w:r>
            <w:r>
              <w:rPr>
                <w:color w:val="000000"/>
                <w:kern w:val="0"/>
                <w:sz w:val="21"/>
                <w:szCs w:val="21"/>
              </w:rPr>
              <w:t>0000</w:t>
            </w:r>
          </w:p>
        </w:tc>
        <w:tc>
          <w:tcPr>
            <w:tcW w:w="1893" w:type="dxa"/>
            <w:vMerge w:val="continue"/>
            <w:noWrap w:val="0"/>
            <w:vAlign w:val="center"/>
          </w:tcPr>
          <w:p>
            <w:pPr>
              <w:snapToGrid w:val="0"/>
              <w:spacing w:line="240" w:lineRule="auto"/>
              <w:ind w:firstLine="0" w:firstLineChars="0"/>
              <w:jc w:val="center"/>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8" w:type="dxa"/>
            <w:noWrap w:val="0"/>
            <w:vAlign w:val="center"/>
          </w:tcPr>
          <w:p>
            <w:pPr>
              <w:snapToGrid w:val="0"/>
              <w:spacing w:line="240" w:lineRule="auto"/>
              <w:ind w:firstLine="0" w:firstLineChars="0"/>
              <w:jc w:val="center"/>
              <w:rPr>
                <w:rFonts w:hint="eastAsia" w:eastAsia="宋体"/>
                <w:color w:val="000000"/>
                <w:kern w:val="0"/>
                <w:sz w:val="21"/>
                <w:szCs w:val="21"/>
                <w:lang w:eastAsia="zh-CN"/>
              </w:rPr>
            </w:pPr>
            <w:r>
              <w:rPr>
                <w:rFonts w:hint="eastAsia"/>
                <w:color w:val="000000"/>
                <w:kern w:val="0"/>
                <w:sz w:val="21"/>
                <w:szCs w:val="21"/>
                <w:lang w:eastAsia="zh-CN"/>
              </w:rPr>
              <w:t>锰</w:t>
            </w:r>
          </w:p>
        </w:tc>
        <w:tc>
          <w:tcPr>
            <w:tcW w:w="725" w:type="dxa"/>
            <w:noWrap w:val="0"/>
            <w:vAlign w:val="top"/>
          </w:tcPr>
          <w:p>
            <w:pPr>
              <w:snapToGrid w:val="0"/>
              <w:spacing w:line="240" w:lineRule="auto"/>
              <w:ind w:firstLine="0" w:firstLineChars="0"/>
              <w:jc w:val="center"/>
              <w:rPr>
                <w:rFonts w:hint="eastAsia" w:eastAsia="宋体"/>
                <w:color w:val="000000"/>
                <w:kern w:val="0"/>
                <w:sz w:val="21"/>
                <w:szCs w:val="21"/>
                <w:lang w:val="en-US" w:eastAsia="zh-CN"/>
              </w:rPr>
            </w:pPr>
            <w:r>
              <w:rPr>
                <w:rFonts w:hint="eastAsia"/>
                <w:color w:val="000000"/>
                <w:kern w:val="0"/>
                <w:sz w:val="21"/>
                <w:szCs w:val="21"/>
              </w:rPr>
              <w:t>mg/L</w:t>
            </w:r>
          </w:p>
        </w:tc>
        <w:tc>
          <w:tcPr>
            <w:tcW w:w="3686" w:type="dxa"/>
            <w:noWrap w:val="0"/>
            <w:vAlign w:val="center"/>
          </w:tcPr>
          <w:p>
            <w:pPr>
              <w:snapToGrid w:val="0"/>
              <w:spacing w:line="240" w:lineRule="auto"/>
              <w:ind w:firstLine="0" w:firstLineChars="0"/>
              <w:jc w:val="center"/>
              <w:rPr>
                <w:rFonts w:hint="default" w:eastAsia="宋体"/>
                <w:color w:val="000000"/>
                <w:kern w:val="0"/>
                <w:sz w:val="21"/>
                <w:szCs w:val="21"/>
                <w:lang w:val="en-US" w:eastAsia="zh-CN"/>
              </w:rPr>
            </w:pPr>
            <w:r>
              <w:rPr>
                <w:rFonts w:hint="eastAsia"/>
                <w:color w:val="000000"/>
                <w:kern w:val="0"/>
                <w:sz w:val="21"/>
                <w:szCs w:val="21"/>
                <w:lang w:val="en-US" w:eastAsia="zh-CN"/>
              </w:rPr>
              <w:t>/</w:t>
            </w:r>
          </w:p>
        </w:tc>
        <w:tc>
          <w:tcPr>
            <w:tcW w:w="1893" w:type="dxa"/>
            <w:noWrap w:val="0"/>
            <w:vAlign w:val="center"/>
          </w:tcPr>
          <w:p>
            <w:pPr>
              <w:snapToGrid w:val="0"/>
              <w:spacing w:line="240" w:lineRule="auto"/>
              <w:ind w:firstLine="0" w:firstLineChars="0"/>
              <w:jc w:val="center"/>
              <w:rPr>
                <w:rFonts w:hint="eastAsia" w:eastAsia="宋体"/>
                <w:color w:val="000000"/>
                <w:kern w:val="0"/>
                <w:sz w:val="21"/>
                <w:szCs w:val="21"/>
                <w:lang w:val="en-US" w:eastAsia="zh-CN"/>
              </w:rPr>
            </w:pPr>
            <w:r>
              <w:rPr>
                <w:rFonts w:hint="eastAsia"/>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218" w:type="dxa"/>
            <w:noWrap w:val="0"/>
            <w:vAlign w:val="center"/>
          </w:tcPr>
          <w:p>
            <w:pPr>
              <w:snapToGrid w:val="0"/>
              <w:spacing w:line="240" w:lineRule="auto"/>
              <w:ind w:firstLine="0" w:firstLineChars="0"/>
              <w:jc w:val="center"/>
              <w:rPr>
                <w:rFonts w:hint="eastAsia" w:eastAsia="宋体"/>
                <w:color w:val="000000"/>
                <w:kern w:val="0"/>
                <w:sz w:val="21"/>
                <w:szCs w:val="21"/>
                <w:lang w:eastAsia="zh-CN"/>
              </w:rPr>
            </w:pPr>
            <w:r>
              <w:rPr>
                <w:rFonts w:hint="eastAsia"/>
                <w:color w:val="000000"/>
                <w:kern w:val="0"/>
                <w:sz w:val="21"/>
                <w:szCs w:val="21"/>
                <w:lang w:eastAsia="zh-CN"/>
              </w:rPr>
              <w:t>总钒</w:t>
            </w:r>
          </w:p>
        </w:tc>
        <w:tc>
          <w:tcPr>
            <w:tcW w:w="725" w:type="dxa"/>
            <w:noWrap w:val="0"/>
            <w:vAlign w:val="top"/>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lang w:val="en-US" w:eastAsia="zh-CN"/>
              </w:rPr>
              <w:t>/</w:t>
            </w:r>
          </w:p>
        </w:tc>
        <w:tc>
          <w:tcPr>
            <w:tcW w:w="3686" w:type="dxa"/>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lang w:val="en-US" w:eastAsia="zh-CN"/>
              </w:rPr>
              <w:t>/</w:t>
            </w:r>
          </w:p>
        </w:tc>
        <w:tc>
          <w:tcPr>
            <w:tcW w:w="1893" w:type="dxa"/>
            <w:noWrap w:val="0"/>
            <w:vAlign w:val="center"/>
          </w:tcPr>
          <w:p>
            <w:pPr>
              <w:snapToGrid w:val="0"/>
              <w:spacing w:line="240" w:lineRule="auto"/>
              <w:ind w:firstLine="0" w:firstLineChars="0"/>
              <w:jc w:val="center"/>
              <w:rPr>
                <w:rFonts w:hint="eastAsia" w:eastAsia="宋体"/>
                <w:color w:val="000000"/>
                <w:kern w:val="0"/>
                <w:sz w:val="21"/>
                <w:szCs w:val="21"/>
                <w:lang w:val="en-US" w:eastAsia="zh-CN"/>
              </w:rPr>
            </w:pPr>
            <w:r>
              <w:rPr>
                <w:rFonts w:hint="eastAsia"/>
                <w:color w:val="000000"/>
                <w:kern w:val="0"/>
                <w:sz w:val="21"/>
                <w:szCs w:val="21"/>
                <w:lang w:val="en-US" w:eastAsia="zh-CN"/>
              </w:rPr>
              <w:t>/</w:t>
            </w:r>
          </w:p>
        </w:tc>
      </w:tr>
    </w:tbl>
    <w:p>
      <w:pPr>
        <w:pStyle w:val="81"/>
        <w:rPr>
          <w:rFonts w:hint="eastAsia"/>
          <w:color w:val="000000"/>
        </w:rPr>
      </w:pPr>
      <w:bookmarkStart w:id="87" w:name="_Toc489349958"/>
      <w:bookmarkStart w:id="88" w:name="_Toc489350114"/>
      <w:bookmarkStart w:id="89" w:name="_Toc489350215"/>
      <w:r>
        <w:rPr>
          <w:rFonts w:hint="eastAsia"/>
          <w:color w:val="000000"/>
        </w:rPr>
        <w:t>1.6.1.3 土壤质量标准</w:t>
      </w:r>
      <w:bookmarkEnd w:id="87"/>
      <w:bookmarkEnd w:id="88"/>
      <w:bookmarkEnd w:id="89"/>
    </w:p>
    <w:p>
      <w:pPr>
        <w:ind w:firstLine="600" w:firstLineChars="250"/>
        <w:rPr>
          <w:rFonts w:hint="eastAsia"/>
          <w:color w:val="000000"/>
          <w:kern w:val="0"/>
        </w:rPr>
      </w:pPr>
      <w:r>
        <w:rPr>
          <w:rFonts w:hint="eastAsia"/>
          <w:color w:val="000000"/>
          <w:kern w:val="0"/>
        </w:rPr>
        <w:t>项目区域土壤环境质量执行《土壤环境质量 建设用地土壤污染风险管控标准（试行）》（GB36600-2018），</w:t>
      </w:r>
      <w:r>
        <w:rPr>
          <w:rFonts w:hint="eastAsia" w:cs="宋体"/>
          <w:color w:val="000000"/>
          <w:kern w:val="0"/>
        </w:rPr>
        <w:t>标准值详见下表</w:t>
      </w:r>
      <w:r>
        <w:rPr>
          <w:color w:val="000000"/>
          <w:kern w:val="0"/>
        </w:rPr>
        <w:t>1.</w:t>
      </w:r>
      <w:r>
        <w:rPr>
          <w:rFonts w:hint="eastAsia"/>
          <w:color w:val="000000"/>
          <w:kern w:val="0"/>
        </w:rPr>
        <w:t>6-3。</w:t>
      </w:r>
    </w:p>
    <w:p>
      <w:pPr>
        <w:ind w:firstLine="0" w:firstLineChars="0"/>
        <w:rPr>
          <w:b/>
          <w:color w:val="000000"/>
          <w:kern w:val="0"/>
          <w:sz w:val="21"/>
          <w:szCs w:val="21"/>
        </w:rPr>
      </w:pPr>
      <w:r>
        <w:rPr>
          <w:rFonts w:hint="eastAsia"/>
          <w:b/>
          <w:color w:val="000000"/>
          <w:kern w:val="0"/>
          <w:sz w:val="21"/>
          <w:szCs w:val="21"/>
        </w:rPr>
        <w:t>表1.6-3 《土壤环境质量 建设用地土壤污染风险管控标准（试行）》（GB36600-2018）</w:t>
      </w:r>
    </w:p>
    <w:p>
      <w:pPr>
        <w:ind w:firstLine="0" w:firstLineChars="0"/>
        <w:jc w:val="right"/>
        <w:rPr>
          <w:b/>
          <w:color w:val="000000"/>
          <w:kern w:val="0"/>
          <w:sz w:val="21"/>
          <w:szCs w:val="21"/>
        </w:rPr>
      </w:pPr>
      <w:r>
        <w:rPr>
          <w:rFonts w:hint="eastAsia"/>
          <w:b/>
          <w:color w:val="000000"/>
          <w:kern w:val="0"/>
          <w:sz w:val="21"/>
          <w:szCs w:val="21"/>
        </w:rPr>
        <w:t>单位：mg/kg</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2154"/>
        <w:gridCol w:w="1413"/>
        <w:gridCol w:w="1413"/>
        <w:gridCol w:w="141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vMerge w:val="restart"/>
            <w:noWrap w:val="0"/>
            <w:vAlign w:val="center"/>
          </w:tcPr>
          <w:p>
            <w:pPr>
              <w:snapToGrid w:val="0"/>
              <w:spacing w:line="240" w:lineRule="auto"/>
              <w:ind w:firstLine="0" w:firstLineChars="0"/>
              <w:jc w:val="center"/>
              <w:rPr>
                <w:b/>
                <w:bCs/>
                <w:color w:val="000000"/>
                <w:kern w:val="0"/>
                <w:sz w:val="21"/>
                <w:szCs w:val="21"/>
              </w:rPr>
            </w:pPr>
            <w:r>
              <w:rPr>
                <w:b/>
                <w:bCs/>
                <w:color w:val="000000"/>
                <w:kern w:val="0"/>
                <w:sz w:val="21"/>
                <w:szCs w:val="21"/>
              </w:rPr>
              <w:t>序号</w:t>
            </w:r>
          </w:p>
        </w:tc>
        <w:tc>
          <w:tcPr>
            <w:tcW w:w="1264" w:type="pct"/>
            <w:vMerge w:val="restart"/>
            <w:noWrap w:val="0"/>
            <w:vAlign w:val="center"/>
          </w:tcPr>
          <w:p>
            <w:pPr>
              <w:snapToGrid w:val="0"/>
              <w:spacing w:line="240" w:lineRule="auto"/>
              <w:ind w:firstLine="0" w:firstLineChars="0"/>
              <w:jc w:val="center"/>
              <w:rPr>
                <w:b/>
                <w:bCs/>
                <w:color w:val="000000"/>
                <w:kern w:val="0"/>
                <w:sz w:val="21"/>
                <w:szCs w:val="21"/>
              </w:rPr>
            </w:pPr>
            <w:r>
              <w:rPr>
                <w:b/>
                <w:bCs/>
                <w:color w:val="000000"/>
                <w:kern w:val="0"/>
                <w:sz w:val="21"/>
                <w:szCs w:val="21"/>
              </w:rPr>
              <w:t>污染物项目</w:t>
            </w:r>
          </w:p>
        </w:tc>
        <w:tc>
          <w:tcPr>
            <w:tcW w:w="1658" w:type="pct"/>
            <w:gridSpan w:val="2"/>
            <w:noWrap w:val="0"/>
            <w:vAlign w:val="center"/>
          </w:tcPr>
          <w:p>
            <w:pPr>
              <w:snapToGrid w:val="0"/>
              <w:spacing w:line="240" w:lineRule="auto"/>
              <w:ind w:firstLine="0" w:firstLineChars="0"/>
              <w:jc w:val="center"/>
              <w:rPr>
                <w:b/>
                <w:bCs/>
                <w:color w:val="000000"/>
                <w:kern w:val="0"/>
                <w:sz w:val="21"/>
                <w:szCs w:val="21"/>
              </w:rPr>
            </w:pPr>
            <w:r>
              <w:rPr>
                <w:b/>
                <w:bCs/>
                <w:color w:val="000000"/>
                <w:kern w:val="0"/>
                <w:sz w:val="21"/>
                <w:szCs w:val="21"/>
              </w:rPr>
              <w:t>筛选值</w:t>
            </w:r>
          </w:p>
        </w:tc>
        <w:tc>
          <w:tcPr>
            <w:tcW w:w="1659" w:type="pct"/>
            <w:gridSpan w:val="2"/>
            <w:noWrap w:val="0"/>
            <w:vAlign w:val="center"/>
          </w:tcPr>
          <w:p>
            <w:pPr>
              <w:snapToGrid w:val="0"/>
              <w:spacing w:line="240" w:lineRule="auto"/>
              <w:ind w:firstLine="0" w:firstLineChars="0"/>
              <w:jc w:val="center"/>
              <w:rPr>
                <w:b/>
                <w:bCs/>
                <w:color w:val="000000"/>
                <w:kern w:val="0"/>
                <w:sz w:val="21"/>
                <w:szCs w:val="21"/>
              </w:rPr>
            </w:pPr>
            <w:r>
              <w:rPr>
                <w:b/>
                <w:bCs/>
                <w:color w:val="000000"/>
                <w:kern w:val="0"/>
                <w:sz w:val="21"/>
                <w:szCs w:val="21"/>
              </w:rPr>
              <w:t>管制值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vMerge w:val="continue"/>
            <w:noWrap w:val="0"/>
            <w:vAlign w:val="center"/>
          </w:tcPr>
          <w:p>
            <w:pPr>
              <w:snapToGrid w:val="0"/>
              <w:spacing w:line="240" w:lineRule="auto"/>
              <w:ind w:firstLine="0" w:firstLineChars="0"/>
              <w:jc w:val="center"/>
              <w:rPr>
                <w:b/>
                <w:bCs/>
                <w:color w:val="000000"/>
                <w:kern w:val="0"/>
                <w:sz w:val="21"/>
                <w:szCs w:val="21"/>
              </w:rPr>
            </w:pPr>
          </w:p>
        </w:tc>
        <w:tc>
          <w:tcPr>
            <w:tcW w:w="1264" w:type="pct"/>
            <w:vMerge w:val="continue"/>
            <w:noWrap w:val="0"/>
            <w:vAlign w:val="center"/>
          </w:tcPr>
          <w:p>
            <w:pPr>
              <w:snapToGrid w:val="0"/>
              <w:spacing w:line="240" w:lineRule="auto"/>
              <w:ind w:firstLine="0" w:firstLineChars="0"/>
              <w:jc w:val="center"/>
              <w:rPr>
                <w:b/>
                <w:bCs/>
                <w:color w:val="000000"/>
                <w:kern w:val="0"/>
                <w:sz w:val="21"/>
                <w:szCs w:val="21"/>
              </w:rPr>
            </w:pPr>
          </w:p>
        </w:tc>
        <w:tc>
          <w:tcPr>
            <w:tcW w:w="829" w:type="pct"/>
            <w:noWrap w:val="0"/>
            <w:vAlign w:val="center"/>
          </w:tcPr>
          <w:p>
            <w:pPr>
              <w:snapToGrid w:val="0"/>
              <w:spacing w:line="240" w:lineRule="auto"/>
              <w:ind w:firstLine="0" w:firstLineChars="0"/>
              <w:jc w:val="center"/>
              <w:rPr>
                <w:b/>
                <w:bCs/>
                <w:color w:val="000000"/>
                <w:kern w:val="0"/>
                <w:sz w:val="21"/>
                <w:szCs w:val="21"/>
              </w:rPr>
            </w:pPr>
            <w:r>
              <w:rPr>
                <w:b/>
                <w:bCs/>
                <w:color w:val="000000"/>
                <w:kern w:val="0"/>
                <w:sz w:val="21"/>
                <w:szCs w:val="21"/>
              </w:rPr>
              <w:t>第</w:t>
            </w:r>
            <w:r>
              <w:rPr>
                <w:rFonts w:hint="eastAsia"/>
                <w:b/>
                <w:bCs/>
                <w:color w:val="000000"/>
                <w:kern w:val="0"/>
                <w:sz w:val="21"/>
                <w:szCs w:val="21"/>
              </w:rPr>
              <w:t>一</w:t>
            </w:r>
            <w:r>
              <w:rPr>
                <w:b/>
                <w:bCs/>
                <w:color w:val="000000"/>
                <w:kern w:val="0"/>
                <w:sz w:val="21"/>
                <w:szCs w:val="21"/>
              </w:rPr>
              <w:t>类用地</w:t>
            </w:r>
          </w:p>
        </w:tc>
        <w:tc>
          <w:tcPr>
            <w:tcW w:w="829" w:type="pct"/>
            <w:noWrap w:val="0"/>
            <w:vAlign w:val="center"/>
          </w:tcPr>
          <w:p>
            <w:pPr>
              <w:snapToGrid w:val="0"/>
              <w:spacing w:line="240" w:lineRule="auto"/>
              <w:ind w:firstLine="0" w:firstLineChars="0"/>
              <w:jc w:val="center"/>
              <w:rPr>
                <w:b/>
                <w:bCs/>
                <w:color w:val="000000"/>
                <w:kern w:val="0"/>
                <w:sz w:val="21"/>
                <w:szCs w:val="21"/>
              </w:rPr>
            </w:pPr>
            <w:r>
              <w:rPr>
                <w:b/>
                <w:bCs/>
                <w:color w:val="000000"/>
                <w:kern w:val="0"/>
                <w:sz w:val="21"/>
                <w:szCs w:val="21"/>
              </w:rPr>
              <w:t>第二类用地</w:t>
            </w:r>
          </w:p>
        </w:tc>
        <w:tc>
          <w:tcPr>
            <w:tcW w:w="829" w:type="pct"/>
            <w:noWrap w:val="0"/>
            <w:vAlign w:val="center"/>
          </w:tcPr>
          <w:p>
            <w:pPr>
              <w:snapToGrid w:val="0"/>
              <w:spacing w:line="240" w:lineRule="auto"/>
              <w:ind w:firstLine="0" w:firstLineChars="0"/>
              <w:jc w:val="center"/>
              <w:rPr>
                <w:b/>
                <w:bCs/>
                <w:color w:val="000000"/>
                <w:kern w:val="0"/>
                <w:sz w:val="21"/>
                <w:szCs w:val="21"/>
              </w:rPr>
            </w:pPr>
            <w:r>
              <w:rPr>
                <w:b/>
                <w:bCs/>
                <w:color w:val="000000"/>
                <w:kern w:val="0"/>
                <w:sz w:val="21"/>
                <w:szCs w:val="21"/>
              </w:rPr>
              <w:t>第</w:t>
            </w:r>
            <w:r>
              <w:rPr>
                <w:rFonts w:hint="eastAsia"/>
                <w:b/>
                <w:bCs/>
                <w:color w:val="000000"/>
                <w:kern w:val="0"/>
                <w:sz w:val="21"/>
                <w:szCs w:val="21"/>
              </w:rPr>
              <w:t>一</w:t>
            </w:r>
            <w:r>
              <w:rPr>
                <w:b/>
                <w:bCs/>
                <w:color w:val="000000"/>
                <w:kern w:val="0"/>
                <w:sz w:val="21"/>
                <w:szCs w:val="21"/>
              </w:rPr>
              <w:t>类用地</w:t>
            </w:r>
          </w:p>
        </w:tc>
        <w:tc>
          <w:tcPr>
            <w:tcW w:w="830" w:type="pct"/>
            <w:noWrap w:val="0"/>
            <w:vAlign w:val="center"/>
          </w:tcPr>
          <w:p>
            <w:pPr>
              <w:snapToGrid w:val="0"/>
              <w:spacing w:line="240" w:lineRule="auto"/>
              <w:ind w:firstLine="0" w:firstLineChars="0"/>
              <w:jc w:val="center"/>
              <w:rPr>
                <w:b/>
                <w:bCs/>
                <w:color w:val="000000"/>
                <w:kern w:val="0"/>
                <w:sz w:val="21"/>
                <w:szCs w:val="21"/>
              </w:rPr>
            </w:pPr>
            <w:r>
              <w:rPr>
                <w:b/>
                <w:bCs/>
                <w:color w:val="000000"/>
                <w:kern w:val="0"/>
                <w:sz w:val="21"/>
                <w:szCs w:val="21"/>
              </w:rPr>
              <w:t>第二类用地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5000" w:type="pct"/>
            <w:gridSpan w:val="6"/>
            <w:noWrap w:val="0"/>
            <w:vAlign w:val="center"/>
          </w:tcPr>
          <w:p>
            <w:pPr>
              <w:widowControl w:val="0"/>
              <w:snapToGrid w:val="0"/>
              <w:spacing w:line="240" w:lineRule="auto"/>
              <w:ind w:firstLine="0" w:firstLineChars="0"/>
              <w:jc w:val="center"/>
              <w:rPr>
                <w:color w:val="000000"/>
                <w:kern w:val="0"/>
                <w:sz w:val="21"/>
                <w:szCs w:val="21"/>
              </w:rPr>
            </w:pPr>
            <w:r>
              <w:rPr>
                <w:b/>
                <w:bCs/>
                <w:color w:val="000000"/>
                <w:kern w:val="0"/>
                <w:sz w:val="21"/>
                <w:szCs w:val="21"/>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砷</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2</w:t>
            </w:r>
            <w:r>
              <w:rPr>
                <w:color w:val="000000"/>
                <w:kern w:val="0"/>
                <w:sz w:val="21"/>
                <w:szCs w:val="21"/>
              </w:rPr>
              <w:t>0</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60</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1</w:t>
            </w:r>
            <w:r>
              <w:rPr>
                <w:color w:val="000000"/>
                <w:kern w:val="0"/>
                <w:sz w:val="21"/>
                <w:szCs w:val="21"/>
              </w:rPr>
              <w:t>20</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镉</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2</w:t>
            </w:r>
            <w:r>
              <w:rPr>
                <w:color w:val="000000"/>
                <w:kern w:val="0"/>
                <w:sz w:val="21"/>
                <w:szCs w:val="21"/>
              </w:rPr>
              <w:t>0</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65</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4</w:t>
            </w:r>
            <w:r>
              <w:rPr>
                <w:color w:val="000000"/>
                <w:kern w:val="0"/>
                <w:sz w:val="21"/>
                <w:szCs w:val="21"/>
              </w:rPr>
              <w:t>7</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3</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铬(六价)</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3</w:t>
            </w:r>
            <w:r>
              <w:rPr>
                <w:color w:val="000000"/>
                <w:kern w:val="0"/>
                <w:sz w:val="21"/>
                <w:szCs w:val="21"/>
              </w:rPr>
              <w:t>.0</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5.7</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3</w:t>
            </w:r>
            <w:r>
              <w:rPr>
                <w:color w:val="000000"/>
                <w:kern w:val="0"/>
                <w:sz w:val="21"/>
                <w:szCs w:val="21"/>
              </w:rPr>
              <w:t>0</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4</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铜</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2</w:t>
            </w:r>
            <w:r>
              <w:rPr>
                <w:color w:val="000000"/>
                <w:kern w:val="0"/>
                <w:sz w:val="21"/>
                <w:szCs w:val="21"/>
              </w:rPr>
              <w:t>000</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18000</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8</w:t>
            </w:r>
            <w:r>
              <w:rPr>
                <w:color w:val="000000"/>
                <w:kern w:val="0"/>
                <w:sz w:val="21"/>
                <w:szCs w:val="21"/>
              </w:rPr>
              <w:t>000</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5</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铅</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4</w:t>
            </w:r>
            <w:r>
              <w:rPr>
                <w:color w:val="000000"/>
                <w:kern w:val="0"/>
                <w:sz w:val="21"/>
                <w:szCs w:val="21"/>
              </w:rPr>
              <w:t>00</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800</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8</w:t>
            </w:r>
            <w:r>
              <w:rPr>
                <w:color w:val="000000"/>
                <w:kern w:val="0"/>
                <w:sz w:val="21"/>
                <w:szCs w:val="21"/>
              </w:rPr>
              <w:t>00</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6</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汞</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8</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38</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3</w:t>
            </w:r>
            <w:r>
              <w:rPr>
                <w:color w:val="000000"/>
                <w:kern w:val="0"/>
                <w:sz w:val="21"/>
                <w:szCs w:val="21"/>
              </w:rPr>
              <w:t>3</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7</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镍</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1</w:t>
            </w:r>
            <w:r>
              <w:rPr>
                <w:color w:val="000000"/>
                <w:kern w:val="0"/>
                <w:sz w:val="21"/>
                <w:szCs w:val="21"/>
              </w:rPr>
              <w:t>50</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900</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6</w:t>
            </w:r>
            <w:r>
              <w:rPr>
                <w:color w:val="000000"/>
                <w:kern w:val="0"/>
                <w:sz w:val="21"/>
                <w:szCs w:val="21"/>
              </w:rPr>
              <w:t>00</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5000" w:type="pct"/>
            <w:gridSpan w:val="6"/>
            <w:noWrap w:val="0"/>
            <w:vAlign w:val="center"/>
          </w:tcPr>
          <w:p>
            <w:pPr>
              <w:snapToGrid w:val="0"/>
              <w:spacing w:line="240" w:lineRule="auto"/>
              <w:ind w:firstLine="0" w:firstLineChars="0"/>
              <w:jc w:val="center"/>
              <w:rPr>
                <w:color w:val="000000"/>
                <w:kern w:val="0"/>
                <w:sz w:val="21"/>
                <w:szCs w:val="21"/>
              </w:rPr>
            </w:pPr>
            <w:r>
              <w:rPr>
                <w:b/>
                <w:bCs/>
                <w:color w:val="000000"/>
                <w:kern w:val="0"/>
                <w:sz w:val="21"/>
                <w:szCs w:val="21"/>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8</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四氯化碳</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0</w:t>
            </w:r>
            <w:r>
              <w:rPr>
                <w:color w:val="000000"/>
                <w:kern w:val="0"/>
                <w:sz w:val="21"/>
                <w:szCs w:val="21"/>
              </w:rPr>
              <w:t>.8</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2.8</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9</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9</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氯仿</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0</w:t>
            </w:r>
            <w:r>
              <w:rPr>
                <w:color w:val="000000"/>
                <w:kern w:val="0"/>
                <w:sz w:val="21"/>
                <w:szCs w:val="21"/>
              </w:rPr>
              <w:t>.3</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0.9</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5</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10</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氯甲烷</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1</w:t>
            </w:r>
            <w:r>
              <w:rPr>
                <w:color w:val="000000"/>
                <w:kern w:val="0"/>
                <w:sz w:val="21"/>
                <w:szCs w:val="21"/>
              </w:rPr>
              <w:t>2</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37</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2</w:t>
            </w:r>
            <w:r>
              <w:rPr>
                <w:color w:val="000000"/>
                <w:kern w:val="0"/>
                <w:sz w:val="21"/>
                <w:szCs w:val="21"/>
              </w:rPr>
              <w:t>1</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11</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1,1-二氯乙烷</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3</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9</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2</w:t>
            </w:r>
            <w:r>
              <w:rPr>
                <w:color w:val="000000"/>
                <w:kern w:val="0"/>
                <w:sz w:val="21"/>
                <w:szCs w:val="21"/>
              </w:rPr>
              <w:t>0</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12</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1,2-二氯乙烷</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0</w:t>
            </w:r>
            <w:r>
              <w:rPr>
                <w:color w:val="000000"/>
                <w:kern w:val="0"/>
                <w:sz w:val="21"/>
                <w:szCs w:val="21"/>
              </w:rPr>
              <w:t>.52</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5</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6</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13</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1,1-二氯乙烯</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1</w:t>
            </w:r>
            <w:r>
              <w:rPr>
                <w:color w:val="000000"/>
                <w:kern w:val="0"/>
                <w:sz w:val="21"/>
                <w:szCs w:val="21"/>
              </w:rPr>
              <w:t>2</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66</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4</w:t>
            </w:r>
            <w:r>
              <w:rPr>
                <w:color w:val="000000"/>
                <w:kern w:val="0"/>
                <w:sz w:val="21"/>
                <w:szCs w:val="21"/>
              </w:rPr>
              <w:t>0</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14</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顺-1,2-二氯乙烯</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6</w:t>
            </w:r>
            <w:r>
              <w:rPr>
                <w:color w:val="000000"/>
                <w:kern w:val="0"/>
                <w:sz w:val="21"/>
                <w:szCs w:val="21"/>
              </w:rPr>
              <w:t>6</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596</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2</w:t>
            </w:r>
            <w:r>
              <w:rPr>
                <w:color w:val="000000"/>
                <w:kern w:val="0"/>
                <w:sz w:val="21"/>
                <w:szCs w:val="21"/>
              </w:rPr>
              <w:t>00</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15</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反-1,2-二氯乙烯</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1</w:t>
            </w:r>
            <w:r>
              <w:rPr>
                <w:color w:val="000000"/>
                <w:kern w:val="0"/>
                <w:sz w:val="21"/>
                <w:szCs w:val="21"/>
              </w:rPr>
              <w:t>0</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54</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3</w:t>
            </w:r>
            <w:r>
              <w:rPr>
                <w:color w:val="000000"/>
                <w:kern w:val="0"/>
                <w:sz w:val="21"/>
                <w:szCs w:val="21"/>
              </w:rPr>
              <w:t>1</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16</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二氯甲烷</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9</w:t>
            </w:r>
            <w:r>
              <w:rPr>
                <w:color w:val="000000"/>
                <w:kern w:val="0"/>
                <w:sz w:val="21"/>
                <w:szCs w:val="21"/>
              </w:rPr>
              <w:t>4</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616</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3</w:t>
            </w:r>
            <w:r>
              <w:rPr>
                <w:color w:val="000000"/>
                <w:kern w:val="0"/>
                <w:sz w:val="21"/>
                <w:szCs w:val="21"/>
              </w:rPr>
              <w:t>00</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17</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1,2-二氯丙烷</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1</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5</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5</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18</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1,1,1,2-四氯乙烷</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2</w:t>
            </w:r>
            <w:r>
              <w:rPr>
                <w:color w:val="000000"/>
                <w:kern w:val="0"/>
                <w:sz w:val="21"/>
                <w:szCs w:val="21"/>
              </w:rPr>
              <w:t>.6</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10</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2</w:t>
            </w:r>
            <w:r>
              <w:rPr>
                <w:color w:val="000000"/>
                <w:kern w:val="0"/>
                <w:sz w:val="21"/>
                <w:szCs w:val="21"/>
              </w:rPr>
              <w:t>6</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19</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1,1,2,2-四氯乙烷</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1</w:t>
            </w:r>
            <w:r>
              <w:rPr>
                <w:color w:val="000000"/>
                <w:kern w:val="0"/>
                <w:sz w:val="21"/>
                <w:szCs w:val="21"/>
              </w:rPr>
              <w:t>.6</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6.8</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1</w:t>
            </w:r>
            <w:r>
              <w:rPr>
                <w:color w:val="000000"/>
                <w:kern w:val="0"/>
                <w:sz w:val="21"/>
                <w:szCs w:val="21"/>
              </w:rPr>
              <w:t>4</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20</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四氯乙烯</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1</w:t>
            </w:r>
            <w:r>
              <w:rPr>
                <w:color w:val="000000"/>
                <w:kern w:val="0"/>
                <w:sz w:val="21"/>
                <w:szCs w:val="21"/>
              </w:rPr>
              <w:t>1</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53</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3</w:t>
            </w:r>
            <w:r>
              <w:rPr>
                <w:color w:val="000000"/>
                <w:kern w:val="0"/>
                <w:sz w:val="21"/>
                <w:szCs w:val="21"/>
              </w:rPr>
              <w:t>4</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21</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1,1,1-三氯乙烷</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7</w:t>
            </w:r>
            <w:r>
              <w:rPr>
                <w:color w:val="000000"/>
                <w:kern w:val="0"/>
                <w:sz w:val="21"/>
                <w:szCs w:val="21"/>
              </w:rPr>
              <w:t>01</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840</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8</w:t>
            </w:r>
            <w:r>
              <w:rPr>
                <w:color w:val="000000"/>
                <w:kern w:val="0"/>
                <w:sz w:val="21"/>
                <w:szCs w:val="21"/>
              </w:rPr>
              <w:t>40</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22</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1,1,2-三氯乙烷</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0</w:t>
            </w:r>
            <w:r>
              <w:rPr>
                <w:color w:val="000000"/>
                <w:kern w:val="0"/>
                <w:sz w:val="21"/>
                <w:szCs w:val="21"/>
              </w:rPr>
              <w:t>.6</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2.8</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5</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23</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三氯乙烯</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0</w:t>
            </w:r>
            <w:r>
              <w:rPr>
                <w:color w:val="000000"/>
                <w:kern w:val="0"/>
                <w:sz w:val="21"/>
                <w:szCs w:val="21"/>
              </w:rPr>
              <w:t>.7</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2.8</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7</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24</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1,2,3-三氯丙烷</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0</w:t>
            </w:r>
            <w:r>
              <w:rPr>
                <w:color w:val="000000"/>
                <w:kern w:val="0"/>
                <w:sz w:val="21"/>
                <w:szCs w:val="21"/>
              </w:rPr>
              <w:t>.05</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0.5</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0</w:t>
            </w:r>
            <w:r>
              <w:rPr>
                <w:color w:val="000000"/>
                <w:kern w:val="0"/>
                <w:sz w:val="21"/>
                <w:szCs w:val="21"/>
              </w:rPr>
              <w:t>.5</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25</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氯乙烯</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0.12</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0.43</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1</w:t>
            </w:r>
            <w:r>
              <w:rPr>
                <w:color w:val="000000"/>
                <w:kern w:val="0"/>
                <w:sz w:val="21"/>
                <w:szCs w:val="21"/>
              </w:rPr>
              <w:t>.2</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26</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苯</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1</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4</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1</w:t>
            </w:r>
            <w:r>
              <w:rPr>
                <w:color w:val="000000"/>
                <w:kern w:val="0"/>
                <w:sz w:val="21"/>
                <w:szCs w:val="21"/>
              </w:rPr>
              <w:t>0</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27</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氯苯</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6</w:t>
            </w:r>
            <w:r>
              <w:rPr>
                <w:color w:val="000000"/>
                <w:kern w:val="0"/>
                <w:sz w:val="21"/>
                <w:szCs w:val="21"/>
              </w:rPr>
              <w:t>8</w:t>
            </w:r>
          </w:p>
        </w:tc>
        <w:tc>
          <w:tcPr>
            <w:tcW w:w="829"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270</w:t>
            </w:r>
          </w:p>
        </w:tc>
        <w:tc>
          <w:tcPr>
            <w:tcW w:w="829"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2</w:t>
            </w:r>
            <w:r>
              <w:rPr>
                <w:color w:val="000000"/>
                <w:kern w:val="0"/>
                <w:sz w:val="21"/>
                <w:szCs w:val="21"/>
              </w:rPr>
              <w:t>00</w:t>
            </w:r>
          </w:p>
        </w:tc>
        <w:tc>
          <w:tcPr>
            <w:tcW w:w="830"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rPr>
            </w:pPr>
            <w:r>
              <w:rPr>
                <w:color w:val="000000"/>
                <w:kern w:val="0"/>
                <w:sz w:val="21"/>
                <w:szCs w:val="21"/>
              </w:rPr>
              <w:t>28</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1,2-</w:t>
            </w:r>
            <w:r>
              <w:rPr>
                <w:rFonts w:hint="eastAsia"/>
                <w:color w:val="000000"/>
                <w:kern w:val="0"/>
                <w:sz w:val="21"/>
                <w:szCs w:val="21"/>
              </w:rPr>
              <w:t>二氯苯</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60</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60</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60</w:t>
            </w:r>
          </w:p>
        </w:tc>
        <w:tc>
          <w:tcPr>
            <w:tcW w:w="830"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29</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1,4-</w:t>
            </w:r>
            <w:r>
              <w:rPr>
                <w:rFonts w:hint="eastAsia"/>
                <w:color w:val="000000"/>
                <w:kern w:val="0"/>
                <w:sz w:val="21"/>
                <w:szCs w:val="21"/>
              </w:rPr>
              <w:t>二氯苯</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.6</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2</w:t>
            </w:r>
            <w:r>
              <w:rPr>
                <w:color w:val="000000"/>
                <w:kern w:val="0"/>
                <w:sz w:val="21"/>
                <w:szCs w:val="21"/>
              </w:rPr>
              <w:t>0</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6</w:t>
            </w:r>
          </w:p>
        </w:tc>
        <w:tc>
          <w:tcPr>
            <w:tcW w:w="830"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2</w:t>
            </w:r>
            <w:r>
              <w:rPr>
                <w:color w:val="000000"/>
                <w:kern w:val="0"/>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30</w:t>
            </w:r>
          </w:p>
        </w:tc>
        <w:tc>
          <w:tcPr>
            <w:tcW w:w="1264"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乙苯</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7</w:t>
            </w:r>
            <w:r>
              <w:rPr>
                <w:color w:val="000000"/>
                <w:kern w:val="0"/>
                <w:sz w:val="21"/>
                <w:szCs w:val="21"/>
              </w:rPr>
              <w:t>.1</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2</w:t>
            </w:r>
            <w:r>
              <w:rPr>
                <w:color w:val="000000"/>
                <w:kern w:val="0"/>
                <w:sz w:val="21"/>
                <w:szCs w:val="21"/>
              </w:rPr>
              <w:t>8</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7</w:t>
            </w:r>
            <w:r>
              <w:rPr>
                <w:color w:val="000000"/>
                <w:kern w:val="0"/>
                <w:sz w:val="21"/>
                <w:szCs w:val="21"/>
              </w:rPr>
              <w:t>2</w:t>
            </w:r>
          </w:p>
        </w:tc>
        <w:tc>
          <w:tcPr>
            <w:tcW w:w="830"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2</w:t>
            </w:r>
            <w:r>
              <w:rPr>
                <w:color w:val="000000"/>
                <w:kern w:val="0"/>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31</w:t>
            </w:r>
          </w:p>
        </w:tc>
        <w:tc>
          <w:tcPr>
            <w:tcW w:w="1264"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苯乙烯</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290</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290</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290</w:t>
            </w:r>
          </w:p>
        </w:tc>
        <w:tc>
          <w:tcPr>
            <w:tcW w:w="830"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32</w:t>
            </w:r>
          </w:p>
        </w:tc>
        <w:tc>
          <w:tcPr>
            <w:tcW w:w="1264"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甲苯</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200</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200</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200</w:t>
            </w:r>
          </w:p>
        </w:tc>
        <w:tc>
          <w:tcPr>
            <w:tcW w:w="830"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33</w:t>
            </w:r>
          </w:p>
        </w:tc>
        <w:tc>
          <w:tcPr>
            <w:tcW w:w="1264"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邻</w:t>
            </w:r>
            <w:r>
              <w:rPr>
                <w:color w:val="000000"/>
                <w:kern w:val="0"/>
                <w:sz w:val="21"/>
                <w:szCs w:val="21"/>
              </w:rPr>
              <w:t>-</w:t>
            </w:r>
            <w:r>
              <w:rPr>
                <w:rFonts w:hint="eastAsia"/>
                <w:color w:val="000000"/>
                <w:kern w:val="0"/>
                <w:sz w:val="21"/>
                <w:szCs w:val="21"/>
              </w:rPr>
              <w:t>二甲苯</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2</w:t>
            </w:r>
            <w:r>
              <w:rPr>
                <w:color w:val="000000"/>
                <w:kern w:val="0"/>
                <w:sz w:val="21"/>
                <w:szCs w:val="21"/>
              </w:rPr>
              <w:t>22</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6</w:t>
            </w:r>
            <w:r>
              <w:rPr>
                <w:color w:val="000000"/>
                <w:kern w:val="0"/>
                <w:sz w:val="21"/>
                <w:szCs w:val="21"/>
              </w:rPr>
              <w:t>40</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6</w:t>
            </w:r>
            <w:r>
              <w:rPr>
                <w:color w:val="000000"/>
                <w:kern w:val="0"/>
                <w:sz w:val="21"/>
                <w:szCs w:val="21"/>
              </w:rPr>
              <w:t>40</w:t>
            </w:r>
          </w:p>
        </w:tc>
        <w:tc>
          <w:tcPr>
            <w:tcW w:w="830"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6</w:t>
            </w:r>
            <w:r>
              <w:rPr>
                <w:color w:val="000000"/>
                <w:kern w:val="0"/>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34</w:t>
            </w:r>
          </w:p>
        </w:tc>
        <w:tc>
          <w:tcPr>
            <w:tcW w:w="1264"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间</w:t>
            </w:r>
            <w:r>
              <w:rPr>
                <w:color w:val="000000"/>
                <w:kern w:val="0"/>
                <w:sz w:val="21"/>
                <w:szCs w:val="21"/>
              </w:rPr>
              <w:t>-</w:t>
            </w:r>
            <w:r>
              <w:rPr>
                <w:rFonts w:hint="eastAsia"/>
                <w:color w:val="000000"/>
                <w:kern w:val="0"/>
                <w:sz w:val="21"/>
                <w:szCs w:val="21"/>
              </w:rPr>
              <w:t>二甲苯</w:t>
            </w:r>
            <w:r>
              <w:rPr>
                <w:color w:val="000000"/>
                <w:kern w:val="0"/>
                <w:sz w:val="21"/>
                <w:szCs w:val="21"/>
              </w:rPr>
              <w:t>+</w:t>
            </w:r>
            <w:r>
              <w:rPr>
                <w:rFonts w:hint="eastAsia"/>
                <w:color w:val="000000"/>
                <w:kern w:val="0"/>
                <w:sz w:val="21"/>
                <w:szCs w:val="21"/>
              </w:rPr>
              <w:t>对</w:t>
            </w:r>
            <w:r>
              <w:rPr>
                <w:color w:val="000000"/>
                <w:kern w:val="0"/>
                <w:sz w:val="21"/>
                <w:szCs w:val="21"/>
              </w:rPr>
              <w:t>-</w:t>
            </w:r>
            <w:r>
              <w:rPr>
                <w:rFonts w:hint="eastAsia"/>
                <w:color w:val="000000"/>
                <w:kern w:val="0"/>
                <w:sz w:val="21"/>
                <w:szCs w:val="21"/>
              </w:rPr>
              <w:t>二甲苯</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63</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70</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00</w:t>
            </w:r>
          </w:p>
        </w:tc>
        <w:tc>
          <w:tcPr>
            <w:tcW w:w="830"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5000" w:type="pct"/>
            <w:gridSpan w:val="6"/>
            <w:noWrap w:val="0"/>
            <w:vAlign w:val="center"/>
          </w:tcPr>
          <w:p>
            <w:pPr>
              <w:snapToGrid w:val="0"/>
              <w:spacing w:line="240" w:lineRule="auto"/>
              <w:ind w:firstLine="0" w:firstLineChars="0"/>
              <w:jc w:val="center"/>
              <w:rPr>
                <w:rFonts w:hint="eastAsia"/>
                <w:color w:val="000000"/>
                <w:kern w:val="0"/>
                <w:sz w:val="21"/>
                <w:szCs w:val="21"/>
              </w:rPr>
            </w:pPr>
            <w:r>
              <w:rPr>
                <w:rFonts w:hint="eastAsia"/>
                <w:b/>
                <w:bCs/>
                <w:color w:val="000000"/>
                <w:kern w:val="0"/>
                <w:sz w:val="21"/>
                <w:szCs w:val="21"/>
              </w:rPr>
              <w:t>半</w:t>
            </w:r>
            <w:r>
              <w:rPr>
                <w:b/>
                <w:bCs/>
                <w:color w:val="000000"/>
                <w:kern w:val="0"/>
                <w:sz w:val="21"/>
                <w:szCs w:val="21"/>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35</w:t>
            </w:r>
          </w:p>
        </w:tc>
        <w:tc>
          <w:tcPr>
            <w:tcW w:w="1264"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硝基苯</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3</w:t>
            </w:r>
            <w:r>
              <w:rPr>
                <w:color w:val="000000"/>
                <w:kern w:val="0"/>
                <w:sz w:val="21"/>
                <w:szCs w:val="21"/>
              </w:rPr>
              <w:t>4</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7</w:t>
            </w:r>
            <w:r>
              <w:rPr>
                <w:color w:val="000000"/>
                <w:kern w:val="0"/>
                <w:sz w:val="21"/>
                <w:szCs w:val="21"/>
              </w:rPr>
              <w:t>6</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90</w:t>
            </w:r>
          </w:p>
        </w:tc>
        <w:tc>
          <w:tcPr>
            <w:tcW w:w="830"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7</w:t>
            </w:r>
            <w:r>
              <w:rPr>
                <w:color w:val="000000"/>
                <w:kern w:val="0"/>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36</w:t>
            </w:r>
          </w:p>
        </w:tc>
        <w:tc>
          <w:tcPr>
            <w:tcW w:w="1264"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苯胺</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9</w:t>
            </w:r>
            <w:r>
              <w:rPr>
                <w:color w:val="000000"/>
                <w:kern w:val="0"/>
                <w:sz w:val="21"/>
                <w:szCs w:val="21"/>
              </w:rPr>
              <w:t>2</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2</w:t>
            </w:r>
            <w:r>
              <w:rPr>
                <w:color w:val="000000"/>
                <w:kern w:val="0"/>
                <w:sz w:val="21"/>
                <w:szCs w:val="21"/>
              </w:rPr>
              <w:t>60</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2</w:t>
            </w:r>
            <w:r>
              <w:rPr>
                <w:color w:val="000000"/>
                <w:kern w:val="0"/>
                <w:sz w:val="21"/>
                <w:szCs w:val="21"/>
              </w:rPr>
              <w:t>11</w:t>
            </w:r>
          </w:p>
        </w:tc>
        <w:tc>
          <w:tcPr>
            <w:tcW w:w="830"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6</w:t>
            </w:r>
            <w:r>
              <w:rPr>
                <w:color w:val="000000"/>
                <w:kern w:val="0"/>
                <w:sz w:val="21"/>
                <w:szCs w:val="21"/>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37</w:t>
            </w:r>
          </w:p>
        </w:tc>
        <w:tc>
          <w:tcPr>
            <w:tcW w:w="1264"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2-</w:t>
            </w:r>
            <w:r>
              <w:rPr>
                <w:rFonts w:hint="eastAsia"/>
                <w:color w:val="000000"/>
                <w:kern w:val="0"/>
                <w:sz w:val="21"/>
                <w:szCs w:val="21"/>
              </w:rPr>
              <w:t>氯酚</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2</w:t>
            </w:r>
            <w:r>
              <w:rPr>
                <w:color w:val="000000"/>
                <w:kern w:val="0"/>
                <w:sz w:val="21"/>
                <w:szCs w:val="21"/>
              </w:rPr>
              <w:t>50</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2</w:t>
            </w:r>
            <w:r>
              <w:rPr>
                <w:color w:val="000000"/>
                <w:kern w:val="0"/>
                <w:sz w:val="21"/>
                <w:szCs w:val="21"/>
              </w:rPr>
              <w:t>256</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00</w:t>
            </w:r>
          </w:p>
        </w:tc>
        <w:tc>
          <w:tcPr>
            <w:tcW w:w="830"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4</w:t>
            </w:r>
            <w:r>
              <w:rPr>
                <w:color w:val="000000"/>
                <w:kern w:val="0"/>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38</w:t>
            </w:r>
          </w:p>
        </w:tc>
        <w:tc>
          <w:tcPr>
            <w:tcW w:w="1264"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苯并</w:t>
            </w:r>
            <w:r>
              <w:rPr>
                <w:color w:val="000000"/>
                <w:kern w:val="0"/>
                <w:sz w:val="21"/>
                <w:szCs w:val="21"/>
              </w:rPr>
              <w:t>(a)</w:t>
            </w:r>
            <w:r>
              <w:rPr>
                <w:rFonts w:hint="eastAsia"/>
                <w:color w:val="000000"/>
                <w:kern w:val="0"/>
                <w:sz w:val="21"/>
                <w:szCs w:val="21"/>
              </w:rPr>
              <w:t>蒽</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.5</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5</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5</w:t>
            </w:r>
          </w:p>
        </w:tc>
        <w:tc>
          <w:tcPr>
            <w:tcW w:w="830"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39</w:t>
            </w:r>
          </w:p>
        </w:tc>
        <w:tc>
          <w:tcPr>
            <w:tcW w:w="1264"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苯并</w:t>
            </w:r>
            <w:r>
              <w:rPr>
                <w:color w:val="000000"/>
                <w:kern w:val="0"/>
                <w:sz w:val="21"/>
                <w:szCs w:val="21"/>
              </w:rPr>
              <w:t>(a)</w:t>
            </w:r>
            <w:r>
              <w:rPr>
                <w:rFonts w:hint="eastAsia"/>
                <w:color w:val="000000"/>
                <w:kern w:val="0"/>
                <w:sz w:val="21"/>
                <w:szCs w:val="21"/>
              </w:rPr>
              <w:t>芘</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0</w:t>
            </w:r>
            <w:r>
              <w:rPr>
                <w:color w:val="000000"/>
                <w:kern w:val="0"/>
                <w:sz w:val="21"/>
                <w:szCs w:val="21"/>
              </w:rPr>
              <w:t>.55</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.5</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.5</w:t>
            </w:r>
          </w:p>
        </w:tc>
        <w:tc>
          <w:tcPr>
            <w:tcW w:w="830"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40</w:t>
            </w:r>
          </w:p>
        </w:tc>
        <w:tc>
          <w:tcPr>
            <w:tcW w:w="1264"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苯并</w:t>
            </w:r>
            <w:r>
              <w:rPr>
                <w:color w:val="000000"/>
                <w:kern w:val="0"/>
                <w:sz w:val="21"/>
                <w:szCs w:val="21"/>
              </w:rPr>
              <w:t>(b)</w:t>
            </w:r>
            <w:r>
              <w:rPr>
                <w:rFonts w:hint="eastAsia"/>
                <w:color w:val="000000"/>
                <w:kern w:val="0"/>
                <w:sz w:val="21"/>
                <w:szCs w:val="21"/>
              </w:rPr>
              <w:t>荧蒽</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.5</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5</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5</w:t>
            </w:r>
          </w:p>
        </w:tc>
        <w:tc>
          <w:tcPr>
            <w:tcW w:w="830"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41</w:t>
            </w:r>
          </w:p>
        </w:tc>
        <w:tc>
          <w:tcPr>
            <w:tcW w:w="1264"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苯并</w:t>
            </w:r>
            <w:r>
              <w:rPr>
                <w:color w:val="000000"/>
                <w:kern w:val="0"/>
                <w:sz w:val="21"/>
                <w:szCs w:val="21"/>
              </w:rPr>
              <w:t>(k)</w:t>
            </w:r>
            <w:r>
              <w:rPr>
                <w:rFonts w:hint="eastAsia"/>
                <w:color w:val="000000"/>
                <w:kern w:val="0"/>
                <w:sz w:val="21"/>
                <w:szCs w:val="21"/>
              </w:rPr>
              <w:t>荧蒽</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5</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51</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50</w:t>
            </w:r>
          </w:p>
        </w:tc>
        <w:tc>
          <w:tcPr>
            <w:tcW w:w="830"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42</w:t>
            </w:r>
          </w:p>
        </w:tc>
        <w:tc>
          <w:tcPr>
            <w:tcW w:w="1264"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䓛</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4</w:t>
            </w:r>
            <w:r>
              <w:rPr>
                <w:color w:val="000000"/>
                <w:kern w:val="0"/>
                <w:sz w:val="21"/>
                <w:szCs w:val="21"/>
              </w:rPr>
              <w:t>90</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293</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4</w:t>
            </w:r>
            <w:r>
              <w:rPr>
                <w:color w:val="000000"/>
                <w:kern w:val="0"/>
                <w:sz w:val="21"/>
                <w:szCs w:val="21"/>
              </w:rPr>
              <w:t>900</w:t>
            </w:r>
          </w:p>
        </w:tc>
        <w:tc>
          <w:tcPr>
            <w:tcW w:w="830"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43</w:t>
            </w:r>
          </w:p>
        </w:tc>
        <w:tc>
          <w:tcPr>
            <w:tcW w:w="1264"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二苯并</w:t>
            </w:r>
            <w:r>
              <w:rPr>
                <w:color w:val="000000"/>
                <w:kern w:val="0"/>
                <w:sz w:val="21"/>
                <w:szCs w:val="21"/>
              </w:rPr>
              <w:t>(a, h)</w:t>
            </w:r>
            <w:r>
              <w:rPr>
                <w:rFonts w:hint="eastAsia"/>
                <w:color w:val="000000"/>
                <w:kern w:val="0"/>
                <w:sz w:val="21"/>
                <w:szCs w:val="21"/>
              </w:rPr>
              <w:t>蒽</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0</w:t>
            </w:r>
            <w:r>
              <w:rPr>
                <w:color w:val="000000"/>
                <w:kern w:val="0"/>
                <w:sz w:val="21"/>
                <w:szCs w:val="21"/>
              </w:rPr>
              <w:t>.55</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.5</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.5</w:t>
            </w:r>
          </w:p>
        </w:tc>
        <w:tc>
          <w:tcPr>
            <w:tcW w:w="830"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44</w:t>
            </w:r>
          </w:p>
        </w:tc>
        <w:tc>
          <w:tcPr>
            <w:tcW w:w="1264"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茚并</w:t>
            </w:r>
            <w:r>
              <w:rPr>
                <w:color w:val="000000"/>
                <w:kern w:val="0"/>
                <w:sz w:val="21"/>
                <w:szCs w:val="21"/>
              </w:rPr>
              <w:t>(1,2,3-c,d)</w:t>
            </w:r>
            <w:r>
              <w:rPr>
                <w:rFonts w:hint="eastAsia"/>
                <w:color w:val="000000"/>
                <w:kern w:val="0"/>
                <w:sz w:val="21"/>
                <w:szCs w:val="21"/>
              </w:rPr>
              <w:t>芘</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.5</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1</w:t>
            </w:r>
            <w:r>
              <w:rPr>
                <w:color w:val="000000"/>
                <w:kern w:val="0"/>
                <w:sz w:val="21"/>
                <w:szCs w:val="21"/>
              </w:rPr>
              <w:t>5</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5</w:t>
            </w:r>
            <w:r>
              <w:rPr>
                <w:color w:val="000000"/>
                <w:kern w:val="0"/>
                <w:sz w:val="21"/>
                <w:szCs w:val="21"/>
              </w:rPr>
              <w:t>5</w:t>
            </w:r>
          </w:p>
        </w:tc>
        <w:tc>
          <w:tcPr>
            <w:tcW w:w="830" w:type="pct"/>
            <w:noWrap w:val="0"/>
            <w:vAlign w:val="center"/>
          </w:tcPr>
          <w:p>
            <w:pPr>
              <w:snapToGrid w:val="0"/>
              <w:spacing w:line="240" w:lineRule="auto"/>
              <w:ind w:firstLine="0" w:firstLineChars="0"/>
              <w:jc w:val="center"/>
              <w:rPr>
                <w:rFonts w:hint="eastAsia"/>
                <w:color w:val="000000"/>
                <w:kern w:val="0"/>
                <w:sz w:val="21"/>
                <w:szCs w:val="21"/>
              </w:rPr>
            </w:pPr>
            <w:r>
              <w:rPr>
                <w:color w:val="000000"/>
                <w:kern w:val="0"/>
                <w:sz w:val="21"/>
                <w:szCs w:val="21"/>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7" w:type="pct"/>
            <w:noWrap w:val="0"/>
            <w:vAlign w:val="center"/>
          </w:tcPr>
          <w:p>
            <w:pPr>
              <w:snapToGrid w:val="0"/>
              <w:spacing w:line="240" w:lineRule="auto"/>
              <w:ind w:firstLine="0" w:firstLineChars="0"/>
              <w:jc w:val="center"/>
              <w:rPr>
                <w:color w:val="000000"/>
                <w:kern w:val="0"/>
                <w:sz w:val="21"/>
                <w:szCs w:val="21"/>
              </w:rPr>
            </w:pPr>
            <w:r>
              <w:rPr>
                <w:color w:val="000000"/>
                <w:kern w:val="0"/>
                <w:sz w:val="21"/>
                <w:szCs w:val="21"/>
              </w:rPr>
              <w:t>45</w:t>
            </w:r>
          </w:p>
        </w:tc>
        <w:tc>
          <w:tcPr>
            <w:tcW w:w="1264" w:type="pct"/>
            <w:noWrap w:val="0"/>
            <w:vAlign w:val="center"/>
          </w:tcPr>
          <w:p>
            <w:pPr>
              <w:snapToGrid w:val="0"/>
              <w:spacing w:line="240" w:lineRule="auto"/>
              <w:ind w:firstLine="0" w:firstLineChars="0"/>
              <w:jc w:val="center"/>
              <w:rPr>
                <w:color w:val="000000"/>
                <w:kern w:val="0"/>
                <w:sz w:val="21"/>
                <w:szCs w:val="21"/>
              </w:rPr>
            </w:pPr>
            <w:r>
              <w:rPr>
                <w:rFonts w:hint="eastAsia"/>
                <w:color w:val="000000"/>
                <w:kern w:val="0"/>
                <w:sz w:val="21"/>
                <w:szCs w:val="21"/>
              </w:rPr>
              <w:t>萘</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2</w:t>
            </w:r>
            <w:r>
              <w:rPr>
                <w:color w:val="000000"/>
                <w:kern w:val="0"/>
                <w:sz w:val="21"/>
                <w:szCs w:val="21"/>
              </w:rPr>
              <w:t>5</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7</w:t>
            </w:r>
            <w:r>
              <w:rPr>
                <w:color w:val="000000"/>
                <w:kern w:val="0"/>
                <w:sz w:val="21"/>
                <w:szCs w:val="21"/>
              </w:rPr>
              <w:t>0</w:t>
            </w:r>
          </w:p>
        </w:tc>
        <w:tc>
          <w:tcPr>
            <w:tcW w:w="829"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2</w:t>
            </w:r>
            <w:r>
              <w:rPr>
                <w:color w:val="000000"/>
                <w:kern w:val="0"/>
                <w:sz w:val="21"/>
                <w:szCs w:val="21"/>
              </w:rPr>
              <w:t>55</w:t>
            </w:r>
          </w:p>
        </w:tc>
        <w:tc>
          <w:tcPr>
            <w:tcW w:w="830" w:type="pct"/>
            <w:noWrap w:val="0"/>
            <w:vAlign w:val="center"/>
          </w:tcPr>
          <w:p>
            <w:pPr>
              <w:snapToGrid w:val="0"/>
              <w:spacing w:line="240" w:lineRule="auto"/>
              <w:ind w:firstLine="0" w:firstLineChars="0"/>
              <w:jc w:val="center"/>
              <w:rPr>
                <w:rFonts w:hint="eastAsia"/>
                <w:color w:val="000000"/>
                <w:kern w:val="0"/>
                <w:sz w:val="21"/>
                <w:szCs w:val="21"/>
              </w:rPr>
            </w:pPr>
            <w:r>
              <w:rPr>
                <w:rFonts w:hint="eastAsia"/>
                <w:color w:val="000000"/>
                <w:kern w:val="0"/>
                <w:sz w:val="21"/>
                <w:szCs w:val="21"/>
              </w:rPr>
              <w:t>7</w:t>
            </w:r>
            <w:r>
              <w:rPr>
                <w:color w:val="000000"/>
                <w:kern w:val="0"/>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417" w:type="pct"/>
            <w:noWrap w:val="0"/>
            <w:vAlign w:val="center"/>
          </w:tcPr>
          <w:p>
            <w:pPr>
              <w:snapToGrid w:val="0"/>
              <w:spacing w:line="240" w:lineRule="auto"/>
              <w:ind w:firstLine="0" w:firstLineChars="0"/>
              <w:jc w:val="center"/>
              <w:rPr>
                <w:rFonts w:hint="default" w:eastAsia="宋体"/>
                <w:color w:val="000000"/>
                <w:kern w:val="0"/>
                <w:sz w:val="21"/>
                <w:szCs w:val="21"/>
                <w:lang w:val="en-US" w:eastAsia="zh-CN"/>
              </w:rPr>
            </w:pPr>
            <w:r>
              <w:rPr>
                <w:rFonts w:hint="eastAsia"/>
                <w:color w:val="000000"/>
                <w:kern w:val="0"/>
                <w:sz w:val="21"/>
                <w:szCs w:val="21"/>
                <w:lang w:val="en-US" w:eastAsia="zh-CN"/>
              </w:rPr>
              <w:t>46</w:t>
            </w:r>
          </w:p>
        </w:tc>
        <w:tc>
          <w:tcPr>
            <w:tcW w:w="1264" w:type="pct"/>
            <w:noWrap w:val="0"/>
            <w:vAlign w:val="center"/>
          </w:tcPr>
          <w:p>
            <w:pPr>
              <w:snapToGrid w:val="0"/>
              <w:spacing w:line="240" w:lineRule="auto"/>
              <w:ind w:firstLine="0" w:firstLineChars="0"/>
              <w:jc w:val="center"/>
              <w:rPr>
                <w:rFonts w:hint="eastAsia" w:eastAsia="宋体"/>
                <w:color w:val="000000"/>
                <w:kern w:val="0"/>
                <w:sz w:val="21"/>
                <w:szCs w:val="21"/>
                <w:lang w:val="en-US" w:eastAsia="zh-CN"/>
              </w:rPr>
            </w:pPr>
            <w:r>
              <w:rPr>
                <w:rFonts w:hint="eastAsia"/>
                <w:color w:val="000000"/>
                <w:kern w:val="0"/>
                <w:sz w:val="21"/>
                <w:szCs w:val="21"/>
                <w:lang w:val="en-US" w:eastAsia="zh-CN"/>
              </w:rPr>
              <w:t>钒</w:t>
            </w:r>
          </w:p>
        </w:tc>
        <w:tc>
          <w:tcPr>
            <w:tcW w:w="829" w:type="pct"/>
            <w:noWrap w:val="0"/>
            <w:vAlign w:val="center"/>
          </w:tcPr>
          <w:p>
            <w:pPr>
              <w:snapToGrid w:val="0"/>
              <w:spacing w:line="240" w:lineRule="auto"/>
              <w:ind w:firstLine="0" w:firstLineChars="0"/>
              <w:jc w:val="center"/>
              <w:rPr>
                <w:rFonts w:hint="default" w:eastAsia="宋体"/>
                <w:color w:val="000000"/>
                <w:kern w:val="0"/>
                <w:sz w:val="21"/>
                <w:szCs w:val="21"/>
                <w:lang w:val="en-US" w:eastAsia="zh-CN"/>
              </w:rPr>
            </w:pPr>
            <w:r>
              <w:rPr>
                <w:rFonts w:hint="eastAsia"/>
                <w:color w:val="000000"/>
                <w:kern w:val="0"/>
                <w:sz w:val="21"/>
                <w:szCs w:val="21"/>
                <w:lang w:val="en-US" w:eastAsia="zh-CN"/>
              </w:rPr>
              <w:t>165</w:t>
            </w:r>
          </w:p>
        </w:tc>
        <w:tc>
          <w:tcPr>
            <w:tcW w:w="829" w:type="pct"/>
            <w:noWrap w:val="0"/>
            <w:vAlign w:val="center"/>
          </w:tcPr>
          <w:p>
            <w:pPr>
              <w:snapToGrid w:val="0"/>
              <w:spacing w:line="240" w:lineRule="auto"/>
              <w:ind w:firstLine="0" w:firstLineChars="0"/>
              <w:jc w:val="center"/>
              <w:rPr>
                <w:rFonts w:hint="default" w:eastAsia="宋体"/>
                <w:color w:val="000000"/>
                <w:kern w:val="0"/>
                <w:sz w:val="21"/>
                <w:szCs w:val="21"/>
                <w:lang w:val="en-US" w:eastAsia="zh-CN"/>
              </w:rPr>
            </w:pPr>
            <w:r>
              <w:rPr>
                <w:rFonts w:hint="eastAsia"/>
                <w:color w:val="000000"/>
                <w:kern w:val="0"/>
                <w:sz w:val="21"/>
                <w:szCs w:val="21"/>
                <w:lang w:val="en-US" w:eastAsia="zh-CN"/>
              </w:rPr>
              <w:t>752</w:t>
            </w:r>
          </w:p>
        </w:tc>
        <w:tc>
          <w:tcPr>
            <w:tcW w:w="829" w:type="pct"/>
            <w:noWrap w:val="0"/>
            <w:vAlign w:val="center"/>
          </w:tcPr>
          <w:p>
            <w:pPr>
              <w:snapToGrid w:val="0"/>
              <w:spacing w:line="240" w:lineRule="auto"/>
              <w:ind w:firstLine="0" w:firstLineChars="0"/>
              <w:jc w:val="center"/>
              <w:rPr>
                <w:rFonts w:hint="default" w:eastAsia="宋体"/>
                <w:color w:val="000000"/>
                <w:kern w:val="0"/>
                <w:sz w:val="21"/>
                <w:szCs w:val="21"/>
                <w:lang w:val="en-US" w:eastAsia="zh-CN"/>
              </w:rPr>
            </w:pPr>
            <w:r>
              <w:rPr>
                <w:rFonts w:hint="eastAsia"/>
                <w:color w:val="000000"/>
                <w:kern w:val="0"/>
                <w:sz w:val="21"/>
                <w:szCs w:val="21"/>
                <w:lang w:val="en-US" w:eastAsia="zh-CN"/>
              </w:rPr>
              <w:t>330</w:t>
            </w:r>
          </w:p>
        </w:tc>
        <w:tc>
          <w:tcPr>
            <w:tcW w:w="830" w:type="pct"/>
            <w:noWrap w:val="0"/>
            <w:vAlign w:val="center"/>
          </w:tcPr>
          <w:p>
            <w:pPr>
              <w:snapToGrid w:val="0"/>
              <w:spacing w:line="240" w:lineRule="auto"/>
              <w:ind w:firstLine="0" w:firstLineChars="0"/>
              <w:jc w:val="center"/>
              <w:rPr>
                <w:rFonts w:hint="default" w:eastAsia="宋体"/>
                <w:color w:val="000000"/>
                <w:kern w:val="0"/>
                <w:sz w:val="21"/>
                <w:szCs w:val="21"/>
                <w:lang w:val="en-US" w:eastAsia="zh-CN"/>
              </w:rPr>
            </w:pPr>
            <w:r>
              <w:rPr>
                <w:rFonts w:hint="eastAsia"/>
                <w:color w:val="000000"/>
                <w:kern w:val="0"/>
                <w:sz w:val="21"/>
                <w:szCs w:val="21"/>
                <w:lang w:val="en-US" w:eastAsia="zh-CN"/>
              </w:rPr>
              <w:t>1500</w:t>
            </w:r>
          </w:p>
        </w:tc>
      </w:tr>
    </w:tbl>
    <w:p>
      <w:pPr>
        <w:pStyle w:val="81"/>
        <w:rPr>
          <w:rFonts w:hint="eastAsia"/>
          <w:color w:val="000000"/>
        </w:rPr>
      </w:pPr>
      <w:bookmarkStart w:id="90" w:name="_Toc489350115"/>
      <w:bookmarkStart w:id="91" w:name="_Toc489349959"/>
      <w:bookmarkStart w:id="92" w:name="_Toc489350216"/>
      <w:r>
        <w:rPr>
          <w:rFonts w:hint="eastAsia"/>
          <w:color w:val="000000"/>
        </w:rPr>
        <w:t>1.6.1.4 声环境质量标准</w:t>
      </w:r>
      <w:bookmarkEnd w:id="90"/>
      <w:bookmarkEnd w:id="91"/>
      <w:bookmarkEnd w:id="92"/>
    </w:p>
    <w:p>
      <w:pPr>
        <w:ind w:firstLine="480"/>
        <w:rPr>
          <w:rFonts w:hint="eastAsia"/>
          <w:color w:val="000000"/>
          <w:kern w:val="0"/>
        </w:rPr>
      </w:pPr>
      <w:r>
        <w:rPr>
          <w:rFonts w:hint="eastAsia"/>
          <w:color w:val="000000"/>
          <w:kern w:val="0"/>
        </w:rPr>
        <w:t>项目位于</w:t>
      </w:r>
      <w:r>
        <w:rPr>
          <w:rFonts w:hint="eastAsia"/>
          <w:color w:val="000000"/>
          <w:kern w:val="0"/>
          <w:szCs w:val="21"/>
          <w:lang w:eastAsia="zh-CN"/>
        </w:rPr>
        <w:t>花垣县产业集中区</w:t>
      </w:r>
      <w:r>
        <w:rPr>
          <w:rFonts w:hint="eastAsia"/>
          <w:color w:val="000000"/>
          <w:kern w:val="0"/>
        </w:rPr>
        <w:t>。故区域内声环境质量执行《声环境质量标准》（GB3096-2008）中的</w:t>
      </w:r>
      <w:r>
        <w:rPr>
          <w:rFonts w:hint="eastAsia"/>
          <w:color w:val="000000"/>
          <w:kern w:val="0"/>
          <w:lang w:val="en-US" w:eastAsia="zh-CN"/>
        </w:rPr>
        <w:t>3</w:t>
      </w:r>
      <w:r>
        <w:rPr>
          <w:rFonts w:hint="eastAsia"/>
          <w:color w:val="000000"/>
          <w:kern w:val="0"/>
        </w:rPr>
        <w:t>类区标准，</w:t>
      </w:r>
      <w:r>
        <w:rPr>
          <w:rFonts w:hint="eastAsia" w:cs="宋体"/>
          <w:color w:val="000000"/>
          <w:kern w:val="0"/>
        </w:rPr>
        <w:t>标准值详见下表</w:t>
      </w:r>
      <w:r>
        <w:rPr>
          <w:color w:val="000000"/>
          <w:kern w:val="0"/>
        </w:rPr>
        <w:t>1.</w:t>
      </w:r>
      <w:r>
        <w:rPr>
          <w:rFonts w:hint="eastAsia"/>
          <w:color w:val="000000"/>
          <w:kern w:val="0"/>
        </w:rPr>
        <w:t>6-</w:t>
      </w:r>
      <w:r>
        <w:rPr>
          <w:color w:val="000000"/>
          <w:kern w:val="0"/>
        </w:rPr>
        <w:t>4</w:t>
      </w:r>
      <w:r>
        <w:rPr>
          <w:rFonts w:hint="eastAsia"/>
          <w:color w:val="000000"/>
          <w:kern w:val="0"/>
        </w:rPr>
        <w:t>。</w:t>
      </w:r>
    </w:p>
    <w:p>
      <w:pPr>
        <w:ind w:firstLine="422"/>
        <w:jc w:val="center"/>
        <w:rPr>
          <w:rFonts w:hint="eastAsia"/>
          <w:b/>
          <w:color w:val="000000"/>
          <w:kern w:val="0"/>
          <w:sz w:val="21"/>
          <w:szCs w:val="21"/>
        </w:rPr>
      </w:pPr>
      <w:r>
        <w:rPr>
          <w:rFonts w:hint="eastAsia"/>
          <w:b/>
          <w:color w:val="000000"/>
          <w:kern w:val="0"/>
          <w:sz w:val="21"/>
          <w:szCs w:val="21"/>
        </w:rPr>
        <w:t>表1.6-</w:t>
      </w:r>
      <w:r>
        <w:rPr>
          <w:b/>
          <w:color w:val="000000"/>
          <w:kern w:val="0"/>
          <w:sz w:val="21"/>
          <w:szCs w:val="21"/>
        </w:rPr>
        <w:t xml:space="preserve">4 </w:t>
      </w:r>
      <w:r>
        <w:rPr>
          <w:rFonts w:hint="eastAsia"/>
          <w:b/>
          <w:color w:val="000000"/>
          <w:kern w:val="0"/>
          <w:sz w:val="21"/>
          <w:szCs w:val="21"/>
        </w:rPr>
        <w:t xml:space="preserve"> 声环境质量标准 单位：dB（A）</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spacing w:line="240" w:lineRule="auto"/>
              <w:ind w:firstLine="422"/>
              <w:jc w:val="center"/>
              <w:rPr>
                <w:rFonts w:hint="eastAsia"/>
                <w:b/>
                <w:color w:val="000000"/>
                <w:kern w:val="0"/>
                <w:sz w:val="21"/>
                <w:szCs w:val="21"/>
              </w:rPr>
            </w:pPr>
            <w:r>
              <w:rPr>
                <w:rFonts w:hint="eastAsia"/>
                <w:b/>
                <w:color w:val="000000"/>
                <w:kern w:val="0"/>
                <w:sz w:val="21"/>
                <w:szCs w:val="21"/>
              </w:rPr>
              <w:t>执行标准</w:t>
            </w:r>
          </w:p>
        </w:tc>
        <w:tc>
          <w:tcPr>
            <w:tcW w:w="2841" w:type="dxa"/>
            <w:noWrap w:val="0"/>
            <w:vAlign w:val="center"/>
          </w:tcPr>
          <w:p>
            <w:pPr>
              <w:spacing w:line="240" w:lineRule="auto"/>
              <w:ind w:firstLine="422"/>
              <w:jc w:val="center"/>
              <w:rPr>
                <w:rFonts w:hint="eastAsia"/>
                <w:b/>
                <w:color w:val="000000"/>
                <w:kern w:val="0"/>
                <w:sz w:val="21"/>
                <w:szCs w:val="21"/>
              </w:rPr>
            </w:pPr>
            <w:r>
              <w:rPr>
                <w:rFonts w:hint="eastAsia"/>
                <w:b/>
                <w:color w:val="000000"/>
                <w:kern w:val="0"/>
                <w:sz w:val="21"/>
                <w:szCs w:val="21"/>
              </w:rPr>
              <w:t>昼间</w:t>
            </w:r>
          </w:p>
        </w:tc>
        <w:tc>
          <w:tcPr>
            <w:tcW w:w="2841" w:type="dxa"/>
            <w:noWrap w:val="0"/>
            <w:vAlign w:val="center"/>
          </w:tcPr>
          <w:p>
            <w:pPr>
              <w:spacing w:line="240" w:lineRule="auto"/>
              <w:ind w:firstLine="422"/>
              <w:jc w:val="center"/>
              <w:rPr>
                <w:rFonts w:hint="eastAsia"/>
                <w:b/>
                <w:color w:val="000000"/>
                <w:kern w:val="0"/>
                <w:sz w:val="21"/>
                <w:szCs w:val="21"/>
              </w:rPr>
            </w:pPr>
            <w:r>
              <w:rPr>
                <w:rFonts w:hint="eastAsia"/>
                <w:b/>
                <w:color w:val="000000"/>
                <w:kern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spacing w:line="240" w:lineRule="auto"/>
              <w:ind w:firstLine="420"/>
              <w:jc w:val="center"/>
              <w:rPr>
                <w:rFonts w:hint="eastAsia"/>
                <w:color w:val="000000"/>
                <w:kern w:val="0"/>
                <w:sz w:val="21"/>
                <w:szCs w:val="21"/>
              </w:rPr>
            </w:pPr>
            <w:r>
              <w:rPr>
                <w:rFonts w:hint="eastAsia"/>
                <w:color w:val="000000"/>
                <w:kern w:val="0"/>
                <w:sz w:val="21"/>
                <w:szCs w:val="21"/>
                <w:lang w:val="en-US" w:eastAsia="zh-CN"/>
              </w:rPr>
              <w:t>3</w:t>
            </w:r>
            <w:r>
              <w:rPr>
                <w:rFonts w:hint="eastAsia"/>
                <w:color w:val="000000"/>
                <w:kern w:val="0"/>
                <w:sz w:val="21"/>
                <w:szCs w:val="21"/>
              </w:rPr>
              <w:t>类</w:t>
            </w:r>
          </w:p>
        </w:tc>
        <w:tc>
          <w:tcPr>
            <w:tcW w:w="2841" w:type="dxa"/>
            <w:noWrap w:val="0"/>
            <w:vAlign w:val="center"/>
          </w:tcPr>
          <w:p>
            <w:pPr>
              <w:spacing w:line="240" w:lineRule="auto"/>
              <w:ind w:firstLine="420"/>
              <w:jc w:val="center"/>
              <w:rPr>
                <w:rFonts w:hint="eastAsia" w:eastAsia="宋体"/>
                <w:color w:val="000000"/>
                <w:kern w:val="0"/>
                <w:sz w:val="21"/>
                <w:szCs w:val="21"/>
                <w:lang w:eastAsia="zh-CN"/>
              </w:rPr>
            </w:pPr>
            <w:r>
              <w:rPr>
                <w:color w:val="000000"/>
                <w:kern w:val="0"/>
                <w:sz w:val="21"/>
                <w:szCs w:val="21"/>
              </w:rPr>
              <w:t>6</w:t>
            </w:r>
            <w:r>
              <w:rPr>
                <w:rFonts w:hint="eastAsia"/>
                <w:color w:val="000000"/>
                <w:kern w:val="0"/>
                <w:sz w:val="21"/>
                <w:szCs w:val="21"/>
                <w:lang w:val="en-US" w:eastAsia="zh-CN"/>
              </w:rPr>
              <w:t>5</w:t>
            </w:r>
          </w:p>
        </w:tc>
        <w:tc>
          <w:tcPr>
            <w:tcW w:w="2841" w:type="dxa"/>
            <w:noWrap w:val="0"/>
            <w:vAlign w:val="center"/>
          </w:tcPr>
          <w:p>
            <w:pPr>
              <w:spacing w:line="240" w:lineRule="auto"/>
              <w:ind w:firstLine="420"/>
              <w:jc w:val="center"/>
              <w:rPr>
                <w:rFonts w:hint="eastAsia" w:eastAsia="宋体"/>
                <w:color w:val="000000"/>
                <w:kern w:val="0"/>
                <w:sz w:val="21"/>
                <w:szCs w:val="21"/>
                <w:lang w:eastAsia="zh-CN"/>
              </w:rPr>
            </w:pPr>
            <w:r>
              <w:rPr>
                <w:color w:val="000000"/>
                <w:kern w:val="0"/>
                <w:sz w:val="21"/>
                <w:szCs w:val="21"/>
              </w:rPr>
              <w:t>5</w:t>
            </w:r>
            <w:r>
              <w:rPr>
                <w:rFonts w:hint="eastAsia"/>
                <w:color w:val="000000"/>
                <w:kern w:val="0"/>
                <w:sz w:val="21"/>
                <w:szCs w:val="21"/>
                <w:lang w:val="en-US" w:eastAsia="zh-CN"/>
              </w:rPr>
              <w:t>5</w:t>
            </w:r>
          </w:p>
        </w:tc>
      </w:tr>
    </w:tbl>
    <w:p>
      <w:pPr>
        <w:pStyle w:val="81"/>
        <w:rPr>
          <w:rFonts w:hint="eastAsia"/>
          <w:color w:val="000000"/>
        </w:rPr>
      </w:pPr>
      <w:bookmarkStart w:id="93" w:name="_Toc489350217"/>
      <w:bookmarkStart w:id="94" w:name="_Toc489349960"/>
      <w:bookmarkStart w:id="95" w:name="_Toc489350116"/>
      <w:r>
        <w:rPr>
          <w:rFonts w:hint="eastAsia"/>
          <w:color w:val="000000"/>
        </w:rPr>
        <w:t>1.6.1.</w:t>
      </w:r>
      <w:r>
        <w:rPr>
          <w:color w:val="000000"/>
        </w:rPr>
        <w:t>5</w:t>
      </w:r>
      <w:r>
        <w:rPr>
          <w:rFonts w:hint="eastAsia"/>
          <w:color w:val="000000"/>
        </w:rPr>
        <w:t xml:space="preserve"> 地下水环境质量标准</w:t>
      </w:r>
    </w:p>
    <w:p>
      <w:pPr>
        <w:ind w:firstLine="480"/>
        <w:rPr>
          <w:color w:val="000000"/>
        </w:rPr>
      </w:pPr>
      <w:r>
        <w:rPr>
          <w:color w:val="000000"/>
        </w:rPr>
        <w:t>执行《地下水质量标准》（GB/T14848-2017）</w:t>
      </w:r>
      <w:r>
        <w:rPr>
          <w:rFonts w:hint="eastAsia" w:cs="宋体"/>
          <w:color w:val="000000"/>
        </w:rPr>
        <w:t>Ⅲ</w:t>
      </w:r>
      <w:r>
        <w:rPr>
          <w:color w:val="000000"/>
        </w:rPr>
        <w:t>类标准。见表1.6-5。</w:t>
      </w:r>
    </w:p>
    <w:p>
      <w:pPr>
        <w:pStyle w:val="98"/>
        <w:rPr>
          <w:color w:val="000000"/>
          <w:szCs w:val="21"/>
        </w:rPr>
      </w:pPr>
      <w:r>
        <w:rPr>
          <w:color w:val="000000"/>
        </w:rPr>
        <w:t>表1.6-5 《地下水质量标准》（GB/T14848-2017）</w:t>
      </w:r>
      <w:r>
        <w:rPr>
          <w:rFonts w:hint="eastAsia" w:cs="宋体"/>
          <w:color w:val="000000"/>
        </w:rPr>
        <w:t>Ⅲ</w:t>
      </w:r>
      <w:r>
        <w:rPr>
          <w:color w:val="000000"/>
        </w:rPr>
        <w:t>类</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21"/>
        <w:gridCol w:w="4897"/>
        <w:gridCol w:w="2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3419" w:type="pct"/>
            <w:gridSpan w:val="2"/>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cs="Times New Roman"/>
              </w:rPr>
              <w:t>污染物名称</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cs="Times New Roma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1</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pH</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2</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cs="Times New Roman"/>
              </w:rPr>
              <w:t>氨氮(NH</w:t>
            </w:r>
            <w:r>
              <w:rPr>
                <w:rFonts w:hint="default" w:ascii="Times New Roman" w:hAnsi="Times New Roman" w:eastAsia="Times New Roman" w:cs="Times New Roman"/>
                <w:vertAlign w:val="subscript"/>
              </w:rPr>
              <w:t>4</w:t>
            </w:r>
            <w:r>
              <w:rPr>
                <w:rFonts w:hint="default" w:ascii="Times New Roman" w:hAnsi="Times New Roman" w:eastAsia="Times New Roman" w:cs="Times New Roman"/>
              </w:rPr>
              <w:t>)(mg/L)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cs="Times New Roman"/>
              </w:rPr>
            </w:pPr>
            <w:r>
              <w:rPr>
                <w:rFonts w:hint="default" w:ascii="Times New Roman" w:hAnsi="Times New Roman" w:eastAsia="Times New Roman" w:cs="Times New Roman"/>
              </w:rPr>
              <w:t>≤0.</w:t>
            </w:r>
            <w:r>
              <w:rPr>
                <w:rFonts w:hint="default"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3</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cs="Times New Roman"/>
              </w:rPr>
              <w:t>耗氧量(mg/L)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4</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cs="Times New Roman"/>
              </w:rPr>
              <w:t>硫酸盐(mg/L)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5</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cs="Times New Roman"/>
              </w:rPr>
              <w:t>氯化物(mg/L)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6</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cs="Times New Roman"/>
              </w:rPr>
              <w:t>硝酸盐(以N计)(mg/L)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cs="Times New Roman"/>
              </w:rPr>
            </w:pPr>
            <w:r>
              <w:rPr>
                <w:rFonts w:hint="default" w:ascii="Times New Roman" w:hAnsi="Times New Roman" w:eastAsia="Times New Roman" w:cs="Times New Roman"/>
              </w:rPr>
              <w:t>≤20</w:t>
            </w:r>
            <w:r>
              <w:rPr>
                <w:rFonts w:hint="default" w:ascii="Times New Roman" w:hAnsi="Times New Roman" w:cs="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7</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cs="Times New Roman"/>
              </w:rPr>
              <w:t>镉(Cd)(mg/L)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cs="Times New Roman"/>
              </w:rPr>
            </w:pPr>
            <w:r>
              <w:rPr>
                <w:rFonts w:hint="default" w:ascii="Times New Roman" w:hAnsi="Times New Roman" w:eastAsia="Times New Roman" w:cs="Times New Roman"/>
              </w:rPr>
              <w:t>≤0.0</w:t>
            </w:r>
            <w:r>
              <w:rPr>
                <w:rFonts w:hint="default" w:ascii="Times New Roman" w:hAnsi="Times New Roman" w:cs="Times New Roma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8</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cs="Times New Roman"/>
              </w:rPr>
              <w:t>铬(六价)(Cr</w:t>
            </w:r>
            <w:r>
              <w:rPr>
                <w:rFonts w:hint="default" w:ascii="Times New Roman" w:hAnsi="Times New Roman" w:eastAsia="Times New Roman" w:cs="Times New Roman"/>
                <w:vertAlign w:val="superscript"/>
              </w:rPr>
              <w:t>6+</w:t>
            </w:r>
            <w:r>
              <w:rPr>
                <w:rFonts w:hint="default" w:ascii="Times New Roman" w:hAnsi="Times New Roman" w:eastAsia="Times New Roman" w:cs="Times New Roman"/>
              </w:rPr>
              <w:t>)(mg/L)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9</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cs="Times New Roman"/>
              </w:rPr>
              <w:t>砷(As)(mg/L)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cs="Times New Roman"/>
              </w:rPr>
            </w:pPr>
            <w:r>
              <w:rPr>
                <w:rFonts w:hint="default" w:ascii="Times New Roman" w:hAnsi="Times New Roman" w:eastAsia="Times New Roman" w:cs="Times New Roman"/>
              </w:rPr>
              <w:t>≤0.0</w:t>
            </w:r>
            <w:r>
              <w:rPr>
                <w:rFonts w:hint="default"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cs="Times New Roman"/>
              </w:rPr>
            </w:pPr>
            <w:r>
              <w:rPr>
                <w:rFonts w:hint="default" w:ascii="Times New Roman" w:hAnsi="Times New Roman" w:cs="Times New Roman"/>
              </w:rPr>
              <w:t>10</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cs="Times New Roman"/>
              </w:rPr>
            </w:pPr>
            <w:r>
              <w:rPr>
                <w:rFonts w:hint="default" w:ascii="Times New Roman" w:hAnsi="Times New Roman" w:cs="Times New Roman"/>
              </w:rPr>
              <w:t>铅(mg/L)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≤0.0</w:t>
            </w:r>
            <w:r>
              <w:rPr>
                <w:rFonts w:hint="default"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cs="Times New Roman"/>
              </w:rPr>
            </w:pPr>
            <w:r>
              <w:rPr>
                <w:rFonts w:hint="default" w:ascii="Times New Roman" w:hAnsi="Times New Roman" w:cs="Times New Roman"/>
              </w:rPr>
              <w:t>11</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cs="Times New Roman"/>
              </w:rPr>
            </w:pPr>
            <w:r>
              <w:rPr>
                <w:rFonts w:hint="default" w:ascii="Times New Roman" w:hAnsi="Times New Roman" w:cs="Times New Roman"/>
              </w:rPr>
              <w:t>镍(mg/L)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≤0.0</w:t>
            </w:r>
            <w:r>
              <w:rPr>
                <w:rFonts w:hint="default"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cs="Times New Roman"/>
              </w:rPr>
            </w:pPr>
            <w:r>
              <w:rPr>
                <w:rFonts w:hint="default" w:ascii="Times New Roman" w:hAnsi="Times New Roman" w:cs="Times New Roman"/>
              </w:rPr>
              <w:t>12</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cs="Times New Roman"/>
              </w:rPr>
            </w:pPr>
            <w:r>
              <w:rPr>
                <w:rFonts w:hint="default" w:ascii="Times New Roman" w:hAnsi="Times New Roman" w:cs="Times New Roman"/>
              </w:rPr>
              <w:t>铜(mg/L)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w:t>
            </w: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cs="Times New Roman"/>
              </w:rPr>
            </w:pPr>
            <w:r>
              <w:rPr>
                <w:rFonts w:hint="default" w:ascii="Times New Roman" w:hAnsi="Times New Roman" w:cs="Times New Roman"/>
              </w:rPr>
              <w:t>13</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cs="Times New Roman"/>
              </w:rPr>
            </w:pPr>
            <w:r>
              <w:rPr>
                <w:rFonts w:hint="default" w:ascii="Times New Roman" w:hAnsi="Times New Roman" w:cs="Times New Roman"/>
              </w:rPr>
              <w:t>锌(mg/L)</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cs="Times New Roman"/>
              </w:rPr>
            </w:pPr>
            <w:r>
              <w:rPr>
                <w:rFonts w:hint="default" w:ascii="Times New Roman" w:hAnsi="Times New Roman" w:eastAsia="Times New Roman" w:cs="Times New Roman"/>
              </w:rPr>
              <w:t>≤</w:t>
            </w:r>
            <w:r>
              <w:rPr>
                <w:rFonts w:hint="default"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blHeader/>
          <w:jc w:val="center"/>
        </w:trPr>
        <w:tc>
          <w:tcPr>
            <w:tcW w:w="49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宋体" w:cs="Times New Roman"/>
                <w:lang w:val="en-US" w:eastAsia="zh-CN"/>
              </w:rPr>
            </w:pPr>
            <w:r>
              <w:rPr>
                <w:rFonts w:hint="eastAsia" w:ascii="Times New Roman" w:hAnsi="Times New Roman" w:cs="Times New Roman"/>
                <w:lang w:val="en-US" w:eastAsia="zh-CN"/>
              </w:rPr>
              <w:t>14</w:t>
            </w:r>
          </w:p>
        </w:tc>
        <w:tc>
          <w:tcPr>
            <w:tcW w:w="2928" w:type="pct"/>
            <w:tcBorders>
              <w:top w:val="single" w:color="auto" w:sz="4" w:space="0"/>
              <w:left w:val="single" w:color="auto" w:sz="4" w:space="0"/>
              <w:bottom w:val="single" w:color="auto" w:sz="4" w:space="0"/>
              <w:right w:val="single" w:color="auto" w:sz="4" w:space="0"/>
            </w:tcBorders>
            <w:noWrap w:val="0"/>
            <w:vAlign w:val="center"/>
          </w:tcPr>
          <w:p>
            <w:pPr>
              <w:pStyle w:val="79"/>
              <w:rPr>
                <w:rFonts w:hint="eastAsia" w:ascii="Times New Roman" w:hAnsi="Times New Roman" w:eastAsia="宋体" w:cs="Times New Roman"/>
                <w:lang w:val="en-US" w:eastAsia="zh-CN"/>
              </w:rPr>
            </w:pPr>
            <w:r>
              <w:rPr>
                <w:rFonts w:hint="eastAsia" w:ascii="Times New Roman" w:hAnsi="Times New Roman" w:cs="Times New Roman"/>
                <w:lang w:val="en-US" w:eastAsia="zh-CN"/>
              </w:rPr>
              <w:t>锰</w:t>
            </w:r>
          </w:p>
        </w:tc>
        <w:tc>
          <w:tcPr>
            <w:tcW w:w="1581" w:type="pct"/>
            <w:tcBorders>
              <w:top w:val="single" w:color="auto" w:sz="4" w:space="0"/>
              <w:left w:val="single" w:color="auto" w:sz="4" w:space="0"/>
              <w:bottom w:val="single" w:color="auto" w:sz="4" w:space="0"/>
              <w:right w:val="single" w:color="auto" w:sz="4" w:space="0"/>
            </w:tcBorders>
            <w:noWrap w:val="0"/>
            <w:vAlign w:val="center"/>
          </w:tcPr>
          <w:p>
            <w:pPr>
              <w:pStyle w:val="79"/>
              <w:rPr>
                <w:rFonts w:hint="default" w:ascii="Times New Roman" w:hAnsi="Times New Roman" w:eastAsia="Times New Roman" w:cs="Times New Roman"/>
              </w:rPr>
            </w:pPr>
            <w:r>
              <w:rPr>
                <w:rFonts w:hint="default" w:ascii="Times New Roman" w:hAnsi="Times New Roman" w:eastAsia="Times New Roman" w:cs="Times New Roman"/>
              </w:rPr>
              <w:t>≤0.10</w:t>
            </w:r>
          </w:p>
        </w:tc>
      </w:tr>
    </w:tbl>
    <w:p>
      <w:pPr>
        <w:pStyle w:val="8"/>
        <w:spacing w:before="163"/>
        <w:rPr>
          <w:rFonts w:hint="eastAsia"/>
          <w:color w:val="000000"/>
        </w:rPr>
      </w:pPr>
      <w:r>
        <w:rPr>
          <w:rFonts w:hint="eastAsia"/>
          <w:color w:val="000000"/>
        </w:rPr>
        <w:t>1.6.2 污染物排放标准</w:t>
      </w:r>
      <w:bookmarkEnd w:id="93"/>
      <w:bookmarkEnd w:id="94"/>
      <w:bookmarkEnd w:id="95"/>
    </w:p>
    <w:p>
      <w:pPr>
        <w:pStyle w:val="81"/>
        <w:rPr>
          <w:rFonts w:hint="eastAsia"/>
          <w:color w:val="000000"/>
        </w:rPr>
      </w:pPr>
      <w:bookmarkStart w:id="96" w:name="_Toc489350218"/>
      <w:bookmarkStart w:id="97" w:name="_Toc489350117"/>
      <w:bookmarkStart w:id="98" w:name="_Toc489349961"/>
      <w:r>
        <w:rPr>
          <w:rFonts w:hint="eastAsia"/>
          <w:color w:val="000000"/>
        </w:rPr>
        <w:t>1.6.2.1施工期</w:t>
      </w:r>
      <w:bookmarkEnd w:id="96"/>
      <w:bookmarkEnd w:id="97"/>
      <w:bookmarkEnd w:id="98"/>
      <w:r>
        <w:rPr>
          <w:rFonts w:hint="eastAsia"/>
          <w:color w:val="000000"/>
        </w:rPr>
        <w:t>污染物排放标准</w:t>
      </w:r>
    </w:p>
    <w:p>
      <w:pPr>
        <w:ind w:firstLine="480"/>
        <w:rPr>
          <w:rFonts w:hint="eastAsia"/>
          <w:color w:val="000000"/>
          <w:kern w:val="0"/>
        </w:rPr>
      </w:pPr>
      <w:r>
        <w:rPr>
          <w:rFonts w:hint="eastAsia"/>
          <w:color w:val="000000"/>
          <w:kern w:val="0"/>
        </w:rPr>
        <w:t>（1）</w:t>
      </w:r>
      <w:r>
        <w:rPr>
          <w:rFonts w:hint="eastAsia"/>
          <w:color w:val="000000"/>
          <w:kern w:val="0"/>
          <w:lang w:eastAsia="zh-CN"/>
        </w:rPr>
        <w:t>项目施工期已完毕，根据建设提供提供，项目施工期间废水不外排</w:t>
      </w:r>
      <w:r>
        <w:rPr>
          <w:rFonts w:hint="eastAsia"/>
          <w:color w:val="000000"/>
          <w:kern w:val="0"/>
        </w:rPr>
        <w:t>。</w:t>
      </w:r>
    </w:p>
    <w:p>
      <w:pPr>
        <w:ind w:firstLine="480"/>
        <w:rPr>
          <w:rFonts w:hint="eastAsia"/>
          <w:color w:val="000000"/>
          <w:kern w:val="0"/>
        </w:rPr>
      </w:pPr>
      <w:r>
        <w:rPr>
          <w:rFonts w:hint="eastAsia"/>
          <w:color w:val="000000"/>
          <w:kern w:val="0"/>
        </w:rPr>
        <w:t>（2）废气执行《大气污染物综合排放标准》（GB16297-1996）表2二级标准要求，标准值见下表1.6-</w:t>
      </w:r>
      <w:r>
        <w:rPr>
          <w:rFonts w:hint="eastAsia"/>
          <w:color w:val="000000"/>
          <w:kern w:val="0"/>
          <w:lang w:val="en-US" w:eastAsia="zh-CN"/>
        </w:rPr>
        <w:t>6</w:t>
      </w:r>
      <w:r>
        <w:rPr>
          <w:rFonts w:hint="eastAsia"/>
          <w:color w:val="000000"/>
          <w:kern w:val="0"/>
        </w:rPr>
        <w:t>。</w:t>
      </w:r>
    </w:p>
    <w:p>
      <w:pPr>
        <w:ind w:firstLine="422"/>
        <w:jc w:val="center"/>
        <w:rPr>
          <w:rFonts w:hint="eastAsia"/>
          <w:b/>
          <w:color w:val="000000"/>
          <w:kern w:val="0"/>
          <w:sz w:val="21"/>
          <w:szCs w:val="21"/>
        </w:rPr>
      </w:pPr>
      <w:r>
        <w:rPr>
          <w:rFonts w:hint="eastAsia"/>
          <w:b/>
          <w:color w:val="000000"/>
          <w:kern w:val="0"/>
          <w:sz w:val="21"/>
          <w:szCs w:val="21"/>
        </w:rPr>
        <w:t>表1.6-</w:t>
      </w:r>
      <w:r>
        <w:rPr>
          <w:rFonts w:hint="eastAsia"/>
          <w:b/>
          <w:color w:val="000000"/>
          <w:kern w:val="0"/>
          <w:sz w:val="21"/>
          <w:szCs w:val="21"/>
          <w:lang w:val="en-US" w:eastAsia="zh-CN"/>
        </w:rPr>
        <w:t>6</w:t>
      </w:r>
      <w:r>
        <w:rPr>
          <w:rFonts w:hint="eastAsia"/>
          <w:b/>
          <w:color w:val="000000"/>
          <w:kern w:val="0"/>
          <w:sz w:val="21"/>
          <w:szCs w:val="21"/>
        </w:rPr>
        <w:t xml:space="preserve"> 大气污染物综合排放标准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0" w:type="dxa"/>
            <w:noWrap w:val="0"/>
            <w:vAlign w:val="center"/>
          </w:tcPr>
          <w:p>
            <w:pPr>
              <w:pStyle w:val="132"/>
              <w:keepNext w:val="0"/>
              <w:keepLines w:val="0"/>
              <w:widowControl w:val="0"/>
              <w:rPr>
                <w:rFonts w:hint="eastAsia"/>
                <w:b/>
                <w:bCs/>
              </w:rPr>
            </w:pPr>
            <w:r>
              <w:rPr>
                <w:rFonts w:hint="eastAsia"/>
                <w:b/>
                <w:bCs/>
              </w:rPr>
              <w:t>污染物</w:t>
            </w:r>
          </w:p>
        </w:tc>
        <w:tc>
          <w:tcPr>
            <w:tcW w:w="2841" w:type="dxa"/>
            <w:noWrap w:val="0"/>
            <w:vAlign w:val="center"/>
          </w:tcPr>
          <w:p>
            <w:pPr>
              <w:pStyle w:val="132"/>
              <w:keepNext w:val="0"/>
              <w:keepLines w:val="0"/>
              <w:widowControl w:val="0"/>
              <w:rPr>
                <w:rFonts w:hint="eastAsia"/>
                <w:b/>
                <w:bCs/>
              </w:rPr>
            </w:pPr>
            <w:r>
              <w:rPr>
                <w:rFonts w:hint="eastAsia"/>
                <w:b/>
                <w:bCs/>
              </w:rPr>
              <w:t>无组织排放监控浓度（mg/m）</w:t>
            </w:r>
          </w:p>
        </w:tc>
        <w:tc>
          <w:tcPr>
            <w:tcW w:w="2841" w:type="dxa"/>
            <w:noWrap w:val="0"/>
            <w:vAlign w:val="center"/>
          </w:tcPr>
          <w:p>
            <w:pPr>
              <w:pStyle w:val="132"/>
              <w:keepNext w:val="0"/>
              <w:keepLines w:val="0"/>
              <w:widowControl w:val="0"/>
              <w:rPr>
                <w:rFonts w:hint="eastAsia"/>
                <w:b/>
                <w:bCs/>
              </w:rPr>
            </w:pPr>
            <w:r>
              <w:rPr>
                <w:rFonts w:hint="eastAsia"/>
                <w:b/>
                <w:bCs/>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0" w:type="dxa"/>
            <w:noWrap w:val="0"/>
            <w:vAlign w:val="center"/>
          </w:tcPr>
          <w:p>
            <w:pPr>
              <w:pStyle w:val="132"/>
              <w:keepNext w:val="0"/>
              <w:keepLines w:val="0"/>
              <w:widowControl w:val="0"/>
              <w:rPr>
                <w:rFonts w:hint="eastAsia"/>
              </w:rPr>
            </w:pPr>
            <w:r>
              <w:rPr>
                <w:rFonts w:hint="eastAsia"/>
              </w:rPr>
              <w:t>SO</w:t>
            </w:r>
            <w:r>
              <w:rPr>
                <w:rFonts w:hint="eastAsia"/>
                <w:vertAlign w:val="subscript"/>
              </w:rPr>
              <w:t>2</w:t>
            </w:r>
          </w:p>
        </w:tc>
        <w:tc>
          <w:tcPr>
            <w:tcW w:w="2841" w:type="dxa"/>
            <w:noWrap w:val="0"/>
            <w:vAlign w:val="center"/>
          </w:tcPr>
          <w:p>
            <w:pPr>
              <w:pStyle w:val="132"/>
              <w:keepNext w:val="0"/>
              <w:keepLines w:val="0"/>
              <w:widowControl w:val="0"/>
              <w:rPr>
                <w:rFonts w:hint="eastAsia"/>
              </w:rPr>
            </w:pPr>
            <w:r>
              <w:rPr>
                <w:rFonts w:hint="eastAsia"/>
              </w:rPr>
              <w:t>0.40</w:t>
            </w:r>
          </w:p>
        </w:tc>
        <w:tc>
          <w:tcPr>
            <w:tcW w:w="2841" w:type="dxa"/>
            <w:vMerge w:val="restart"/>
            <w:noWrap w:val="0"/>
            <w:vAlign w:val="center"/>
          </w:tcPr>
          <w:p>
            <w:pPr>
              <w:pStyle w:val="132"/>
              <w:keepNext w:val="0"/>
              <w:keepLines w:val="0"/>
              <w:widowControl w:val="0"/>
            </w:pPr>
            <w:r>
              <w:t>《大气污染物综合排放标准》（GB16297-1996）表2二级标准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840" w:type="dxa"/>
            <w:noWrap w:val="0"/>
            <w:vAlign w:val="center"/>
          </w:tcPr>
          <w:p>
            <w:pPr>
              <w:pStyle w:val="132"/>
              <w:keepNext w:val="0"/>
              <w:keepLines w:val="0"/>
              <w:widowControl w:val="0"/>
              <w:rPr>
                <w:rFonts w:hint="eastAsia"/>
              </w:rPr>
            </w:pPr>
            <w:r>
              <w:rPr>
                <w:rFonts w:hint="eastAsia"/>
              </w:rPr>
              <w:t>颗粒物</w:t>
            </w:r>
          </w:p>
        </w:tc>
        <w:tc>
          <w:tcPr>
            <w:tcW w:w="2841" w:type="dxa"/>
            <w:noWrap w:val="0"/>
            <w:vAlign w:val="center"/>
          </w:tcPr>
          <w:p>
            <w:pPr>
              <w:pStyle w:val="132"/>
              <w:keepNext w:val="0"/>
              <w:keepLines w:val="0"/>
              <w:widowControl w:val="0"/>
              <w:rPr>
                <w:rFonts w:hint="eastAsia"/>
              </w:rPr>
            </w:pPr>
            <w:r>
              <w:rPr>
                <w:rFonts w:hint="eastAsia"/>
              </w:rPr>
              <w:t>1.0</w:t>
            </w:r>
          </w:p>
        </w:tc>
        <w:tc>
          <w:tcPr>
            <w:tcW w:w="2841" w:type="dxa"/>
            <w:vMerge w:val="continue"/>
            <w:noWrap w:val="0"/>
            <w:vAlign w:val="center"/>
          </w:tcPr>
          <w:p>
            <w:pPr>
              <w:pStyle w:val="132"/>
              <w:keepNext w:val="0"/>
              <w:keepLines w:val="0"/>
              <w:widowControl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840" w:type="dxa"/>
            <w:noWrap w:val="0"/>
            <w:vAlign w:val="center"/>
          </w:tcPr>
          <w:p>
            <w:pPr>
              <w:pStyle w:val="132"/>
              <w:keepNext w:val="0"/>
              <w:keepLines w:val="0"/>
              <w:widowControl w:val="0"/>
              <w:rPr>
                <w:rFonts w:hint="eastAsia"/>
                <w:vertAlign w:val="subscript"/>
              </w:rPr>
            </w:pPr>
            <w:r>
              <w:rPr>
                <w:rFonts w:hint="eastAsia"/>
              </w:rPr>
              <w:t>NO</w:t>
            </w:r>
            <w:r>
              <w:rPr>
                <w:rFonts w:hint="eastAsia"/>
                <w:vertAlign w:val="subscript"/>
              </w:rPr>
              <w:t>x</w:t>
            </w:r>
          </w:p>
        </w:tc>
        <w:tc>
          <w:tcPr>
            <w:tcW w:w="2841" w:type="dxa"/>
            <w:noWrap w:val="0"/>
            <w:vAlign w:val="center"/>
          </w:tcPr>
          <w:p>
            <w:pPr>
              <w:pStyle w:val="132"/>
              <w:keepNext w:val="0"/>
              <w:keepLines w:val="0"/>
              <w:widowControl w:val="0"/>
              <w:rPr>
                <w:rFonts w:hint="eastAsia"/>
              </w:rPr>
            </w:pPr>
            <w:r>
              <w:rPr>
                <w:rFonts w:hint="eastAsia"/>
              </w:rPr>
              <w:t>0.1</w:t>
            </w:r>
          </w:p>
        </w:tc>
        <w:tc>
          <w:tcPr>
            <w:tcW w:w="2841" w:type="dxa"/>
            <w:vMerge w:val="continue"/>
            <w:noWrap w:val="0"/>
            <w:vAlign w:val="center"/>
          </w:tcPr>
          <w:p>
            <w:pPr>
              <w:pStyle w:val="132"/>
              <w:keepNext w:val="0"/>
              <w:keepLines w:val="0"/>
              <w:widowControl w:val="0"/>
              <w:rPr>
                <w:rFonts w:hint="eastAsia"/>
              </w:rPr>
            </w:pPr>
          </w:p>
        </w:tc>
      </w:tr>
    </w:tbl>
    <w:p>
      <w:pPr>
        <w:ind w:firstLine="480"/>
        <w:rPr>
          <w:rFonts w:hint="eastAsia"/>
          <w:color w:val="000000"/>
          <w:kern w:val="0"/>
        </w:rPr>
      </w:pPr>
      <w:r>
        <w:rPr>
          <w:rFonts w:hint="eastAsia"/>
          <w:color w:val="000000"/>
          <w:kern w:val="0"/>
        </w:rPr>
        <w:t>（3）噪声排放执行《建筑施工场界环境噪声排放标准》（GB12523-2011）中标准，具体见下表1.6-</w:t>
      </w:r>
      <w:r>
        <w:rPr>
          <w:rFonts w:hint="eastAsia"/>
          <w:color w:val="000000"/>
          <w:kern w:val="0"/>
          <w:lang w:val="en-US" w:eastAsia="zh-CN"/>
        </w:rPr>
        <w:t>7</w:t>
      </w:r>
      <w:r>
        <w:rPr>
          <w:rFonts w:hint="eastAsia"/>
          <w:color w:val="000000"/>
          <w:kern w:val="0"/>
        </w:rPr>
        <w:t>所示。</w:t>
      </w:r>
    </w:p>
    <w:p>
      <w:pPr>
        <w:ind w:firstLine="422"/>
        <w:jc w:val="center"/>
        <w:rPr>
          <w:rFonts w:hint="eastAsia"/>
          <w:b/>
          <w:color w:val="000000"/>
          <w:kern w:val="0"/>
          <w:sz w:val="21"/>
          <w:szCs w:val="21"/>
        </w:rPr>
      </w:pPr>
      <w:r>
        <w:rPr>
          <w:rFonts w:hint="eastAsia"/>
          <w:b/>
          <w:color w:val="000000"/>
          <w:kern w:val="0"/>
          <w:sz w:val="21"/>
          <w:szCs w:val="21"/>
        </w:rPr>
        <w:t>表1.6-</w:t>
      </w:r>
      <w:r>
        <w:rPr>
          <w:rFonts w:hint="eastAsia"/>
          <w:b/>
          <w:color w:val="000000"/>
          <w:kern w:val="0"/>
          <w:sz w:val="21"/>
          <w:szCs w:val="21"/>
          <w:lang w:val="en-US" w:eastAsia="zh-CN"/>
        </w:rPr>
        <w:t>7</w:t>
      </w:r>
      <w:r>
        <w:rPr>
          <w:b/>
          <w:color w:val="000000"/>
          <w:kern w:val="0"/>
          <w:sz w:val="21"/>
          <w:szCs w:val="21"/>
        </w:rPr>
        <w:t xml:space="preserve">  </w:t>
      </w:r>
      <w:r>
        <w:rPr>
          <w:rFonts w:hint="eastAsia"/>
          <w:b/>
          <w:color w:val="000000"/>
          <w:kern w:val="0"/>
          <w:sz w:val="21"/>
          <w:szCs w:val="21"/>
        </w:rPr>
        <w:t>施工期噪声排放限值</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681" w:type="dxa"/>
            <w:gridSpan w:val="2"/>
            <w:noWrap w:val="0"/>
            <w:vAlign w:val="center"/>
          </w:tcPr>
          <w:p>
            <w:pPr>
              <w:pStyle w:val="62"/>
              <w:rPr>
                <w:rFonts w:hint="eastAsia"/>
                <w:b/>
                <w:bCs/>
                <w:color w:val="000000"/>
                <w:sz w:val="21"/>
                <w:szCs w:val="21"/>
              </w:rPr>
            </w:pPr>
            <w:r>
              <w:rPr>
                <w:rFonts w:hint="eastAsia"/>
                <w:b/>
                <w:bCs/>
                <w:color w:val="000000"/>
                <w:sz w:val="21"/>
                <w:szCs w:val="21"/>
              </w:rPr>
              <w:t>噪声限值</w:t>
            </w:r>
          </w:p>
        </w:tc>
        <w:tc>
          <w:tcPr>
            <w:tcW w:w="2841" w:type="dxa"/>
            <w:noWrap w:val="0"/>
            <w:vAlign w:val="center"/>
          </w:tcPr>
          <w:p>
            <w:pPr>
              <w:pStyle w:val="62"/>
              <w:rPr>
                <w:rFonts w:hint="eastAsia"/>
                <w:b/>
                <w:bCs/>
                <w:color w:val="000000"/>
                <w:sz w:val="21"/>
                <w:szCs w:val="21"/>
              </w:rPr>
            </w:pPr>
            <w:r>
              <w:rPr>
                <w:rFonts w:hint="eastAsia"/>
                <w:b/>
                <w:bCs/>
                <w:color w:val="000000"/>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pStyle w:val="62"/>
              <w:rPr>
                <w:rFonts w:hint="eastAsia"/>
                <w:color w:val="000000"/>
                <w:sz w:val="21"/>
                <w:szCs w:val="21"/>
              </w:rPr>
            </w:pPr>
            <w:r>
              <w:rPr>
                <w:rFonts w:hint="eastAsia"/>
                <w:color w:val="000000"/>
                <w:sz w:val="21"/>
                <w:szCs w:val="21"/>
              </w:rPr>
              <w:t>昼间</w:t>
            </w:r>
          </w:p>
        </w:tc>
        <w:tc>
          <w:tcPr>
            <w:tcW w:w="2841" w:type="dxa"/>
            <w:noWrap w:val="0"/>
            <w:vAlign w:val="center"/>
          </w:tcPr>
          <w:p>
            <w:pPr>
              <w:pStyle w:val="62"/>
              <w:rPr>
                <w:rFonts w:hint="eastAsia"/>
                <w:color w:val="000000"/>
                <w:sz w:val="21"/>
                <w:szCs w:val="21"/>
              </w:rPr>
            </w:pPr>
            <w:r>
              <w:rPr>
                <w:rFonts w:hint="eastAsia"/>
                <w:color w:val="000000"/>
                <w:sz w:val="21"/>
                <w:szCs w:val="21"/>
              </w:rPr>
              <w:t>夜间</w:t>
            </w:r>
          </w:p>
        </w:tc>
        <w:tc>
          <w:tcPr>
            <w:tcW w:w="2841" w:type="dxa"/>
            <w:vMerge w:val="restart"/>
            <w:noWrap w:val="0"/>
            <w:vAlign w:val="center"/>
          </w:tcPr>
          <w:p>
            <w:pPr>
              <w:pStyle w:val="62"/>
              <w:rPr>
                <w:rFonts w:hint="eastAsia"/>
                <w:color w:val="000000"/>
                <w:sz w:val="21"/>
                <w:szCs w:val="21"/>
              </w:rPr>
            </w:pPr>
            <w:r>
              <w:rPr>
                <w:rFonts w:hint="eastAsia"/>
                <w:color w:val="000000"/>
                <w:sz w:val="21"/>
                <w:szCs w:val="21"/>
              </w:rPr>
              <w:t>《建筑施工场界环境噪声排放标准》（GB12523-2011）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pStyle w:val="62"/>
              <w:rPr>
                <w:rFonts w:hint="eastAsia"/>
                <w:color w:val="000000"/>
                <w:sz w:val="21"/>
                <w:szCs w:val="21"/>
              </w:rPr>
            </w:pPr>
            <w:r>
              <w:rPr>
                <w:rFonts w:hint="eastAsia"/>
                <w:color w:val="000000"/>
                <w:sz w:val="21"/>
                <w:szCs w:val="21"/>
              </w:rPr>
              <w:t>70</w:t>
            </w:r>
          </w:p>
        </w:tc>
        <w:tc>
          <w:tcPr>
            <w:tcW w:w="2841" w:type="dxa"/>
            <w:noWrap w:val="0"/>
            <w:vAlign w:val="center"/>
          </w:tcPr>
          <w:p>
            <w:pPr>
              <w:pStyle w:val="62"/>
              <w:rPr>
                <w:rFonts w:hint="eastAsia"/>
                <w:color w:val="000000"/>
                <w:sz w:val="21"/>
                <w:szCs w:val="21"/>
              </w:rPr>
            </w:pPr>
            <w:r>
              <w:rPr>
                <w:rFonts w:hint="eastAsia"/>
                <w:color w:val="000000"/>
                <w:sz w:val="21"/>
                <w:szCs w:val="21"/>
              </w:rPr>
              <w:t>55</w:t>
            </w:r>
          </w:p>
        </w:tc>
        <w:tc>
          <w:tcPr>
            <w:tcW w:w="2841" w:type="dxa"/>
            <w:vMerge w:val="continue"/>
            <w:noWrap w:val="0"/>
            <w:vAlign w:val="center"/>
          </w:tcPr>
          <w:p>
            <w:pPr>
              <w:pStyle w:val="62"/>
              <w:rPr>
                <w:rFonts w:hint="eastAsia"/>
                <w:color w:val="000000"/>
              </w:rPr>
            </w:pPr>
          </w:p>
        </w:tc>
      </w:tr>
    </w:tbl>
    <w:p>
      <w:pPr>
        <w:ind w:firstLine="480"/>
        <w:rPr>
          <w:rFonts w:hint="eastAsia"/>
          <w:color w:val="000000"/>
          <w:kern w:val="0"/>
        </w:rPr>
      </w:pPr>
      <w:r>
        <w:rPr>
          <w:rFonts w:hint="eastAsia"/>
          <w:color w:val="000000"/>
          <w:kern w:val="0"/>
        </w:rPr>
        <w:t>（4）施工期生活垃圾储存及处置执行《生活垃圾填埋场污染控制标准》（GB16889-2008），其他固体废弃物执行</w:t>
      </w:r>
      <w:r>
        <w:rPr>
          <w:rFonts w:hint="eastAsia"/>
          <w:color w:val="000000"/>
        </w:rPr>
        <w:t>《一般工业固体废物贮存和填埋污染控制标准（</w:t>
      </w:r>
      <w:r>
        <w:rPr>
          <w:color w:val="000000"/>
        </w:rPr>
        <w:t>GB18599-2020</w:t>
      </w:r>
      <w:r>
        <w:rPr>
          <w:rFonts w:hint="eastAsia"/>
          <w:color w:val="000000"/>
        </w:rPr>
        <w:t>）》</w:t>
      </w:r>
      <w:r>
        <w:rPr>
          <w:rFonts w:hint="eastAsia"/>
          <w:color w:val="000000"/>
          <w:kern w:val="0"/>
        </w:rPr>
        <w:t>的相关规定。</w:t>
      </w:r>
    </w:p>
    <w:p>
      <w:pPr>
        <w:pStyle w:val="81"/>
        <w:rPr>
          <w:rFonts w:hint="eastAsia"/>
          <w:color w:val="000000"/>
        </w:rPr>
      </w:pPr>
      <w:bookmarkStart w:id="99" w:name="_Toc489350219"/>
      <w:bookmarkStart w:id="100" w:name="_Toc489350118"/>
      <w:bookmarkStart w:id="101" w:name="_Toc489349962"/>
      <w:r>
        <w:rPr>
          <w:rFonts w:hint="eastAsia"/>
          <w:color w:val="000000"/>
        </w:rPr>
        <w:t>1.6.2.2 运营期</w:t>
      </w:r>
      <w:bookmarkEnd w:id="99"/>
      <w:bookmarkEnd w:id="100"/>
      <w:bookmarkEnd w:id="101"/>
      <w:r>
        <w:rPr>
          <w:rFonts w:hint="eastAsia"/>
          <w:color w:val="000000"/>
        </w:rPr>
        <w:t>污染物排放标准</w:t>
      </w:r>
    </w:p>
    <w:p>
      <w:pPr>
        <w:ind w:firstLine="480"/>
        <w:rPr>
          <w:rFonts w:hint="eastAsia"/>
          <w:i w:val="0"/>
          <w:iCs w:val="0"/>
          <w:color w:val="000000"/>
          <w:kern w:val="0"/>
          <w:u w:val="none"/>
        </w:rPr>
      </w:pPr>
      <w:r>
        <w:rPr>
          <w:rFonts w:hint="eastAsia"/>
          <w:i w:val="0"/>
          <w:iCs w:val="0"/>
          <w:color w:val="000000"/>
          <w:kern w:val="0"/>
          <w:u w:val="none"/>
        </w:rPr>
        <w:t>（1）废水</w:t>
      </w:r>
    </w:p>
    <w:p>
      <w:pPr>
        <w:widowControl w:val="0"/>
        <w:wordWrap w:val="0"/>
        <w:ind w:firstLine="480"/>
        <w:rPr>
          <w:rFonts w:hint="eastAsia"/>
          <w:i w:val="0"/>
          <w:iCs w:val="0"/>
          <w:color w:val="000000"/>
          <w:u w:val="none"/>
          <w:lang w:val="en-US" w:eastAsia="zh-CN"/>
        </w:rPr>
      </w:pPr>
      <w:bookmarkStart w:id="102" w:name="_Hlk23778012"/>
      <w:r>
        <w:rPr>
          <w:rFonts w:hint="eastAsia"/>
          <w:i w:val="0"/>
          <w:iCs w:val="0"/>
          <w:color w:val="000000"/>
          <w:u w:val="none"/>
          <w:lang w:eastAsia="zh-CN"/>
        </w:rPr>
        <w:t>根据项目设计方案以及项目工程验收资料，项目上游企业均配套了污水处理设施，生产车间产生的废水经过企业的污水处理站处理后达到本项目污水处理站接管标准，含一类污染物（铬、铅）的废水经处理在车间排口达到《污水综合排放标准》( GB8978-1996)表1最高允许排放浓度要求后方可接管，项目进水水质要求见表</w:t>
      </w:r>
      <w:r>
        <w:rPr>
          <w:rFonts w:hint="eastAsia"/>
          <w:i w:val="0"/>
          <w:iCs w:val="0"/>
          <w:color w:val="000000"/>
          <w:u w:val="none"/>
          <w:lang w:val="en-US" w:eastAsia="zh-CN"/>
        </w:rPr>
        <w:t>1.6-8。</w:t>
      </w:r>
    </w:p>
    <w:p>
      <w:pPr>
        <w:widowControl w:val="0"/>
        <w:wordWrap w:val="0"/>
        <w:ind w:firstLine="480"/>
        <w:rPr>
          <w:rFonts w:hint="eastAsia"/>
          <w:i w:val="0"/>
          <w:iCs w:val="0"/>
          <w:color w:val="000000"/>
          <w:kern w:val="0"/>
          <w:u w:val="none"/>
        </w:rPr>
      </w:pPr>
      <w:r>
        <w:rPr>
          <w:rFonts w:hint="eastAsia"/>
          <w:i w:val="0"/>
          <w:iCs w:val="0"/>
          <w:color w:val="auto"/>
          <w:u w:val="none"/>
        </w:rPr>
        <w:t>本项目</w:t>
      </w:r>
      <w:r>
        <w:rPr>
          <w:rFonts w:hint="eastAsia"/>
          <w:i w:val="0"/>
          <w:iCs w:val="0"/>
          <w:color w:val="auto"/>
          <w:u w:val="none"/>
          <w:lang w:eastAsia="zh-CN"/>
        </w:rPr>
        <w:t>废水经处理后出水水质</w:t>
      </w:r>
      <w:r>
        <w:rPr>
          <w:rFonts w:hint="eastAsia"/>
          <w:i w:val="0"/>
          <w:iCs w:val="0"/>
          <w:color w:val="auto"/>
          <w:u w:val="none"/>
        </w:rPr>
        <w:t>总钒指标执行《钒工业污染物排放标准》（GB26452-2001</w:t>
      </w:r>
      <w:r>
        <w:rPr>
          <w:rFonts w:hint="eastAsia"/>
          <w:i w:val="0"/>
          <w:iCs w:val="0"/>
          <w:color w:val="auto"/>
          <w:u w:val="none"/>
          <w:lang w:eastAsia="zh-CN"/>
        </w:rPr>
        <w:t>）表</w:t>
      </w:r>
      <w:r>
        <w:rPr>
          <w:rFonts w:hint="eastAsia"/>
          <w:i w:val="0"/>
          <w:iCs w:val="0"/>
          <w:color w:val="auto"/>
          <w:u w:val="none"/>
          <w:lang w:val="en-US" w:eastAsia="zh-CN"/>
        </w:rPr>
        <w:t>2标准限值</w:t>
      </w:r>
      <w:r>
        <w:rPr>
          <w:rFonts w:hint="eastAsia"/>
          <w:i w:val="0"/>
          <w:iCs w:val="0"/>
          <w:color w:val="auto"/>
          <w:u w:val="none"/>
          <w:lang w:eastAsia="zh-CN"/>
        </w:rPr>
        <w:t>，其他污染</w:t>
      </w:r>
      <w:r>
        <w:rPr>
          <w:rFonts w:hint="eastAsia"/>
          <w:i w:val="0"/>
          <w:iCs w:val="0"/>
          <w:color w:val="000000"/>
          <w:u w:val="none"/>
          <w:lang w:eastAsia="zh-CN"/>
        </w:rPr>
        <w:t>物指标达到《</w:t>
      </w:r>
      <w:r>
        <w:rPr>
          <w:rFonts w:hint="eastAsia"/>
          <w:i w:val="0"/>
          <w:iCs w:val="0"/>
          <w:color w:val="000000"/>
          <w:u w:val="none"/>
        </w:rPr>
        <w:t>城镇污水处理厂污染物排放标准》（GB18918-2002）表2、表3中标准限值</w:t>
      </w:r>
      <w:r>
        <w:rPr>
          <w:rFonts w:hint="eastAsia"/>
          <w:i w:val="0"/>
          <w:iCs w:val="0"/>
          <w:color w:val="000000"/>
          <w:kern w:val="0"/>
          <w:u w:val="none"/>
        </w:rPr>
        <w:t>，具体标准限值见下表1.6-</w:t>
      </w:r>
      <w:r>
        <w:rPr>
          <w:rFonts w:hint="eastAsia"/>
          <w:i w:val="0"/>
          <w:iCs w:val="0"/>
          <w:color w:val="000000"/>
          <w:kern w:val="0"/>
          <w:u w:val="none"/>
          <w:lang w:val="en-US" w:eastAsia="zh-CN"/>
        </w:rPr>
        <w:t>9</w:t>
      </w:r>
      <w:r>
        <w:rPr>
          <w:rFonts w:hint="eastAsia"/>
          <w:i w:val="0"/>
          <w:iCs w:val="0"/>
          <w:color w:val="000000"/>
          <w:kern w:val="0"/>
          <w:u w:val="none"/>
        </w:rPr>
        <w:t>。</w:t>
      </w:r>
    </w:p>
    <w:p>
      <w:pPr>
        <w:pStyle w:val="12"/>
        <w:rPr>
          <w:rFonts w:hint="default" w:eastAsia="宋体"/>
          <w:u w:val="single"/>
          <w:lang w:val="en-US" w:eastAsia="zh-CN"/>
        </w:rPr>
      </w:pPr>
      <w:r>
        <w:rPr>
          <w:rFonts w:hint="eastAsia"/>
          <w:u w:val="single"/>
          <w:lang w:eastAsia="zh-CN"/>
        </w:rPr>
        <w:t>本项目不新增设置排污口，污水经处理后达标进入花垣县工业集中区污水处理厂进水口，依托花垣县工业集中区污水处理厂设置排污口排放，根据花垣县工业集中区污水处理厂入河排污口论证报告可知：</w:t>
      </w:r>
      <w:r>
        <w:rPr>
          <w:rFonts w:hint="eastAsia"/>
          <w:u w:val="single"/>
          <w:lang w:val="en-US" w:eastAsia="zh-CN"/>
        </w:rPr>
        <w:t>本项目最终排放标准见表1.6-10</w:t>
      </w:r>
    </w:p>
    <w:p>
      <w:pPr>
        <w:ind w:firstLine="422"/>
        <w:jc w:val="center"/>
        <w:rPr>
          <w:i w:val="0"/>
          <w:iCs w:val="0"/>
          <w:color w:val="000000"/>
          <w:u w:val="none"/>
        </w:rPr>
      </w:pPr>
      <w:r>
        <w:rPr>
          <w:rFonts w:hint="eastAsia"/>
          <w:b/>
          <w:i w:val="0"/>
          <w:iCs w:val="0"/>
          <w:color w:val="000000"/>
          <w:kern w:val="0"/>
          <w:sz w:val="21"/>
          <w:szCs w:val="21"/>
          <w:u w:val="none"/>
        </w:rPr>
        <w:t>表</w:t>
      </w:r>
      <w:r>
        <w:rPr>
          <w:b/>
          <w:i w:val="0"/>
          <w:iCs w:val="0"/>
          <w:color w:val="000000"/>
          <w:kern w:val="0"/>
          <w:sz w:val="21"/>
          <w:szCs w:val="21"/>
          <w:u w:val="none"/>
        </w:rPr>
        <w:t>1.6-</w:t>
      </w:r>
      <w:r>
        <w:rPr>
          <w:rFonts w:hint="eastAsia"/>
          <w:b/>
          <w:i w:val="0"/>
          <w:iCs w:val="0"/>
          <w:color w:val="000000"/>
          <w:kern w:val="0"/>
          <w:sz w:val="21"/>
          <w:szCs w:val="21"/>
          <w:u w:val="none"/>
          <w:lang w:val="en-US" w:eastAsia="zh-CN"/>
        </w:rPr>
        <w:t>8</w:t>
      </w:r>
      <w:r>
        <w:rPr>
          <w:b/>
          <w:i w:val="0"/>
          <w:iCs w:val="0"/>
          <w:color w:val="000000"/>
          <w:kern w:val="0"/>
          <w:sz w:val="21"/>
          <w:szCs w:val="21"/>
          <w:u w:val="none"/>
        </w:rPr>
        <w:t xml:space="preserve">  </w:t>
      </w:r>
      <w:r>
        <w:rPr>
          <w:rFonts w:hint="eastAsia"/>
          <w:b/>
          <w:i w:val="0"/>
          <w:iCs w:val="0"/>
          <w:color w:val="000000"/>
          <w:kern w:val="0"/>
          <w:sz w:val="21"/>
          <w:szCs w:val="21"/>
          <w:u w:val="none"/>
          <w:lang w:eastAsia="zh-CN"/>
        </w:rPr>
        <w:t>项目进水水质</w:t>
      </w:r>
      <w:r>
        <w:rPr>
          <w:rFonts w:hint="eastAsia"/>
          <w:b/>
          <w:i w:val="0"/>
          <w:iCs w:val="0"/>
          <w:color w:val="000000"/>
          <w:kern w:val="0"/>
          <w:sz w:val="21"/>
          <w:szCs w:val="21"/>
          <w:u w:val="none"/>
        </w:rPr>
        <w:t>控制标准</w:t>
      </w:r>
      <w:r>
        <w:rPr>
          <w:rFonts w:hint="eastAsia" w:eastAsia="Batang"/>
          <w:b/>
          <w:i w:val="0"/>
          <w:iCs w:val="0"/>
          <w:color w:val="000000"/>
          <w:kern w:val="0"/>
          <w:sz w:val="21"/>
          <w:szCs w:val="21"/>
          <w:u w:val="none"/>
          <w:lang w:eastAsia="ko-KR"/>
        </w:rPr>
        <w:t xml:space="preserve">  </w:t>
      </w:r>
      <w:r>
        <w:rPr>
          <w:rFonts w:hint="eastAsia"/>
          <w:b/>
          <w:color w:val="000000"/>
          <w:kern w:val="0"/>
          <w:sz w:val="21"/>
          <w:szCs w:val="21"/>
          <w:u w:val="none"/>
        </w:rPr>
        <w:t>单位：mg/L</w:t>
      </w:r>
    </w:p>
    <w:tbl>
      <w:tblPr>
        <w:tblStyle w:val="37"/>
        <w:tblW w:w="7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1"/>
        <w:gridCol w:w="2806"/>
        <w:gridCol w:w="3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atLeast"/>
          <w:jc w:val="center"/>
        </w:trPr>
        <w:tc>
          <w:tcPr>
            <w:tcW w:w="1871" w:type="dxa"/>
            <w:tcBorders>
              <w:tl2br w:val="nil"/>
              <w:tr2bl w:val="nil"/>
            </w:tcBorders>
            <w:noWrap w:val="0"/>
            <w:vAlign w:val="center"/>
          </w:tcPr>
          <w:p>
            <w:pPr>
              <w:pStyle w:val="62"/>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序号</w:t>
            </w:r>
          </w:p>
        </w:tc>
        <w:tc>
          <w:tcPr>
            <w:tcW w:w="2806" w:type="dxa"/>
            <w:tcBorders>
              <w:tl2br w:val="nil"/>
              <w:tr2bl w:val="nil"/>
            </w:tcBorders>
            <w:noWrap w:val="0"/>
            <w:vAlign w:val="center"/>
          </w:tcPr>
          <w:p>
            <w:pPr>
              <w:pStyle w:val="62"/>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项目</w:t>
            </w:r>
          </w:p>
        </w:tc>
        <w:tc>
          <w:tcPr>
            <w:tcW w:w="3001" w:type="dxa"/>
            <w:tcBorders>
              <w:tl2br w:val="nil"/>
              <w:tr2bl w:val="nil"/>
            </w:tcBorders>
            <w:noWrap w:val="0"/>
            <w:vAlign w:val="center"/>
          </w:tcPr>
          <w:p>
            <w:pPr>
              <w:pStyle w:val="62"/>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jc w:val="center"/>
        </w:trPr>
        <w:tc>
          <w:tcPr>
            <w:tcW w:w="1871" w:type="dxa"/>
            <w:tcBorders>
              <w:tl2br w:val="nil"/>
              <w:tr2bl w:val="nil"/>
            </w:tcBorders>
            <w:noWrap w:val="0"/>
            <w:vAlign w:val="center"/>
          </w:tcPr>
          <w:p>
            <w:pPr>
              <w:pStyle w:val="62"/>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1</w:t>
            </w:r>
          </w:p>
        </w:tc>
        <w:tc>
          <w:tcPr>
            <w:tcW w:w="2806"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pH</w:t>
            </w:r>
          </w:p>
        </w:tc>
        <w:tc>
          <w:tcPr>
            <w:tcW w:w="3001"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jc w:val="center"/>
        </w:trPr>
        <w:tc>
          <w:tcPr>
            <w:tcW w:w="1871" w:type="dxa"/>
            <w:tcBorders>
              <w:tl2br w:val="nil"/>
              <w:tr2bl w:val="nil"/>
            </w:tcBorders>
            <w:noWrap w:val="0"/>
            <w:vAlign w:val="center"/>
          </w:tcPr>
          <w:p>
            <w:pPr>
              <w:pStyle w:val="62"/>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val="en-US" w:eastAsia="zh-CN"/>
              </w:rPr>
              <w:t>2</w:t>
            </w:r>
          </w:p>
        </w:tc>
        <w:tc>
          <w:tcPr>
            <w:tcW w:w="2806"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总锰</w:t>
            </w:r>
          </w:p>
        </w:tc>
        <w:tc>
          <w:tcPr>
            <w:tcW w:w="3001"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25.0mg/L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6" w:hRule="atLeast"/>
          <w:jc w:val="center"/>
        </w:trPr>
        <w:tc>
          <w:tcPr>
            <w:tcW w:w="1871"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3</w:t>
            </w:r>
          </w:p>
        </w:tc>
        <w:tc>
          <w:tcPr>
            <w:tcW w:w="2806"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总铬</w:t>
            </w:r>
          </w:p>
        </w:tc>
        <w:tc>
          <w:tcPr>
            <w:tcW w:w="3001"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 w:hRule="atLeast"/>
          <w:jc w:val="center"/>
        </w:trPr>
        <w:tc>
          <w:tcPr>
            <w:tcW w:w="1871"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4</w:t>
            </w:r>
          </w:p>
        </w:tc>
        <w:tc>
          <w:tcPr>
            <w:tcW w:w="2806"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六价铬</w:t>
            </w:r>
          </w:p>
        </w:tc>
        <w:tc>
          <w:tcPr>
            <w:tcW w:w="3001"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871"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w:t>
            </w:r>
          </w:p>
        </w:tc>
        <w:tc>
          <w:tcPr>
            <w:tcW w:w="2806"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总钒</w:t>
            </w:r>
          </w:p>
        </w:tc>
        <w:tc>
          <w:tcPr>
            <w:tcW w:w="3001"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auto"/>
                <w:sz w:val="21"/>
                <w:szCs w:val="21"/>
                <w:lang w:val="en-US" w:eastAsia="zh-CN"/>
              </w:rPr>
              <w:t>4.0mg/L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 w:hRule="atLeast"/>
          <w:jc w:val="center"/>
        </w:trPr>
        <w:tc>
          <w:tcPr>
            <w:tcW w:w="1871"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6</w:t>
            </w:r>
          </w:p>
        </w:tc>
        <w:tc>
          <w:tcPr>
            <w:tcW w:w="2806"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总锌</w:t>
            </w:r>
          </w:p>
        </w:tc>
        <w:tc>
          <w:tcPr>
            <w:tcW w:w="3001"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 w:hRule="atLeast"/>
          <w:jc w:val="center"/>
        </w:trPr>
        <w:tc>
          <w:tcPr>
            <w:tcW w:w="1871"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7</w:t>
            </w:r>
          </w:p>
        </w:tc>
        <w:tc>
          <w:tcPr>
            <w:tcW w:w="2806"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总铅</w:t>
            </w:r>
          </w:p>
        </w:tc>
        <w:tc>
          <w:tcPr>
            <w:tcW w:w="3001" w:type="dxa"/>
            <w:tcBorders>
              <w:tl2br w:val="nil"/>
              <w:tr2bl w:val="nil"/>
            </w:tcBorders>
            <w:noWrap w:val="0"/>
            <w:vAlign w:val="center"/>
          </w:tcPr>
          <w:p>
            <w:pPr>
              <w:pStyle w:val="62"/>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1.0mg/L</w:t>
            </w:r>
          </w:p>
        </w:tc>
      </w:tr>
    </w:tbl>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color w:val="000000"/>
          <w:kern w:val="0"/>
          <w:sz w:val="21"/>
          <w:szCs w:val="21"/>
          <w:u w:val="single"/>
          <w:lang w:val="en-US" w:eastAsia="zh-CN"/>
        </w:rPr>
      </w:pPr>
      <w:r>
        <w:rPr>
          <w:rFonts w:hint="default" w:ascii="Times New Roman" w:hAnsi="Times New Roman" w:eastAsia="宋体" w:cs="Times New Roman"/>
          <w:b/>
          <w:color w:val="000000"/>
          <w:kern w:val="0"/>
          <w:sz w:val="21"/>
          <w:szCs w:val="21"/>
          <w:u w:val="single"/>
        </w:rPr>
        <w:t>表</w:t>
      </w:r>
      <w:r>
        <w:rPr>
          <w:rFonts w:hint="eastAsia" w:ascii="Times New Roman" w:hAnsi="Times New Roman" w:eastAsia="宋体" w:cs="Times New Roman"/>
          <w:b/>
          <w:color w:val="000000"/>
          <w:kern w:val="0"/>
          <w:sz w:val="21"/>
          <w:szCs w:val="21"/>
          <w:u w:val="single"/>
          <w:lang w:val="en-US" w:eastAsia="zh-CN"/>
        </w:rPr>
        <w:t>1.6</w:t>
      </w:r>
      <w:r>
        <w:rPr>
          <w:rFonts w:hint="default" w:ascii="Times New Roman" w:hAnsi="Times New Roman" w:eastAsia="宋体" w:cs="Times New Roman"/>
          <w:b/>
          <w:color w:val="000000"/>
          <w:kern w:val="0"/>
          <w:sz w:val="21"/>
          <w:szCs w:val="21"/>
          <w:u w:val="single"/>
        </w:rPr>
        <w:t>-</w:t>
      </w:r>
      <w:r>
        <w:rPr>
          <w:rFonts w:hint="eastAsia" w:eastAsia="宋体" w:cs="Times New Roman"/>
          <w:b/>
          <w:color w:val="000000"/>
          <w:kern w:val="0"/>
          <w:sz w:val="21"/>
          <w:szCs w:val="21"/>
          <w:u w:val="single"/>
          <w:lang w:val="en-US" w:eastAsia="zh-CN"/>
        </w:rPr>
        <w:t>9</w:t>
      </w:r>
      <w:r>
        <w:rPr>
          <w:rFonts w:hint="eastAsia" w:ascii="Times New Roman" w:hAnsi="Times New Roman" w:eastAsia="宋体" w:cs="Times New Roman"/>
          <w:b/>
          <w:color w:val="000000"/>
          <w:kern w:val="0"/>
          <w:sz w:val="21"/>
          <w:szCs w:val="21"/>
          <w:u w:val="single"/>
          <w:lang w:val="en-US" w:eastAsia="zh-CN"/>
        </w:rPr>
        <w:t xml:space="preserve"> 出水水质</w:t>
      </w:r>
      <w:r>
        <w:rPr>
          <w:rFonts w:hint="default" w:ascii="Times New Roman" w:hAnsi="Times New Roman" w:eastAsia="宋体" w:cs="Times New Roman"/>
          <w:b/>
          <w:color w:val="000000"/>
          <w:kern w:val="0"/>
          <w:sz w:val="21"/>
          <w:szCs w:val="21"/>
          <w:u w:val="single"/>
        </w:rPr>
        <w:t>一览表</w:t>
      </w:r>
      <w:r>
        <w:rPr>
          <w:rFonts w:hint="eastAsia" w:ascii="Times New Roman" w:hAnsi="Times New Roman" w:eastAsia="宋体" w:cs="Times New Roman"/>
          <w:b/>
          <w:color w:val="000000"/>
          <w:kern w:val="0"/>
          <w:sz w:val="21"/>
          <w:szCs w:val="21"/>
          <w:u w:val="single"/>
          <w:lang w:eastAsia="zh-CN"/>
        </w:rPr>
        <w:t>（本项目污水处理</w:t>
      </w:r>
      <w:r>
        <w:rPr>
          <w:rFonts w:hint="eastAsia" w:eastAsia="宋体" w:cs="Times New Roman"/>
          <w:b/>
          <w:color w:val="000000"/>
          <w:kern w:val="0"/>
          <w:sz w:val="21"/>
          <w:szCs w:val="21"/>
          <w:u w:val="single"/>
          <w:lang w:eastAsia="zh-CN"/>
        </w:rPr>
        <w:t>站</w:t>
      </w:r>
      <w:r>
        <w:rPr>
          <w:rFonts w:hint="eastAsia" w:ascii="Times New Roman" w:hAnsi="Times New Roman" w:eastAsia="宋体" w:cs="Times New Roman"/>
          <w:b/>
          <w:color w:val="000000"/>
          <w:kern w:val="0"/>
          <w:sz w:val="21"/>
          <w:szCs w:val="21"/>
          <w:u w:val="single"/>
          <w:lang w:eastAsia="zh-CN"/>
        </w:rPr>
        <w:t>处理后）</w:t>
      </w:r>
      <w:r>
        <w:rPr>
          <w:rFonts w:hint="eastAsia" w:ascii="Times New Roman" w:hAnsi="Times New Roman" w:eastAsia="宋体" w:cs="Times New Roman"/>
          <w:b/>
          <w:color w:val="000000"/>
          <w:kern w:val="0"/>
          <w:sz w:val="21"/>
          <w:szCs w:val="21"/>
          <w:u w:val="single"/>
          <w:lang w:val="en-US" w:eastAsia="zh-CN"/>
        </w:rPr>
        <w:t xml:space="preserve">  </w:t>
      </w:r>
      <w:r>
        <w:rPr>
          <w:rFonts w:hint="eastAsia"/>
          <w:b/>
          <w:color w:val="000000"/>
          <w:kern w:val="0"/>
          <w:sz w:val="21"/>
          <w:szCs w:val="21"/>
          <w:u w:val="single"/>
        </w:rPr>
        <w:t>单位：mg/L</w:t>
      </w:r>
    </w:p>
    <w:tbl>
      <w:tblPr>
        <w:tblStyle w:val="37"/>
        <w:tblW w:w="7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6"/>
        <w:gridCol w:w="2809"/>
        <w:gridCol w:w="3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6" w:hRule="atLeast"/>
          <w:jc w:val="center"/>
        </w:trPr>
        <w:tc>
          <w:tcPr>
            <w:tcW w:w="1866" w:type="dxa"/>
            <w:tcBorders>
              <w:tl2br w:val="nil"/>
              <w:tr2bl w:val="nil"/>
            </w:tcBorders>
            <w:noWrap w:val="0"/>
            <w:vAlign w:val="center"/>
          </w:tcPr>
          <w:p>
            <w:pPr>
              <w:pStyle w:val="79"/>
              <w:rPr>
                <w:rFonts w:hint="default" w:ascii="Times New Roman" w:hAnsi="Times New Roman" w:eastAsia="宋体" w:cs="Times New Roman"/>
                <w:u w:val="single"/>
                <w:lang w:eastAsia="zh-CN"/>
              </w:rPr>
            </w:pPr>
            <w:r>
              <w:rPr>
                <w:rFonts w:hint="default" w:ascii="Times New Roman" w:hAnsi="Times New Roman" w:eastAsia="宋体" w:cs="Times New Roman"/>
                <w:u w:val="single"/>
                <w:lang w:eastAsia="zh-CN"/>
              </w:rPr>
              <w:t>序号</w:t>
            </w:r>
          </w:p>
        </w:tc>
        <w:tc>
          <w:tcPr>
            <w:tcW w:w="2809" w:type="dxa"/>
            <w:tcBorders>
              <w:tl2br w:val="nil"/>
              <w:tr2bl w:val="nil"/>
            </w:tcBorders>
            <w:noWrap w:val="0"/>
            <w:vAlign w:val="center"/>
          </w:tcPr>
          <w:p>
            <w:pPr>
              <w:pStyle w:val="79"/>
              <w:rPr>
                <w:rFonts w:hint="default" w:ascii="Times New Roman" w:hAnsi="Times New Roman" w:eastAsia="宋体" w:cs="Times New Roman"/>
                <w:u w:val="single"/>
                <w:lang w:eastAsia="zh-CN"/>
              </w:rPr>
            </w:pPr>
            <w:r>
              <w:rPr>
                <w:rFonts w:hint="default" w:ascii="Times New Roman" w:hAnsi="Times New Roman" w:eastAsia="宋体" w:cs="Times New Roman"/>
                <w:u w:val="single"/>
                <w:lang w:eastAsia="zh-CN"/>
              </w:rPr>
              <w:t>项目</w:t>
            </w:r>
          </w:p>
        </w:tc>
        <w:tc>
          <w:tcPr>
            <w:tcW w:w="3034" w:type="dxa"/>
            <w:tcBorders>
              <w:tl2br w:val="nil"/>
              <w:tr2bl w:val="nil"/>
            </w:tcBorders>
            <w:noWrap w:val="0"/>
            <w:vAlign w:val="center"/>
          </w:tcPr>
          <w:p>
            <w:pPr>
              <w:pStyle w:val="79"/>
              <w:rPr>
                <w:rFonts w:hint="default" w:ascii="Times New Roman" w:hAnsi="Times New Roman" w:eastAsia="宋体" w:cs="Times New Roman"/>
                <w:u w:val="single"/>
                <w:lang w:eastAsia="zh-CN"/>
              </w:rPr>
            </w:pPr>
            <w:r>
              <w:rPr>
                <w:rFonts w:hint="default" w:ascii="Times New Roman" w:hAnsi="Times New Roman" w:eastAsia="宋体" w:cs="Times New Roman"/>
                <w:u w:val="single"/>
                <w:lang w:eastAsia="zh-CN"/>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8" w:hRule="atLeast"/>
          <w:jc w:val="center"/>
        </w:trPr>
        <w:tc>
          <w:tcPr>
            <w:tcW w:w="1866" w:type="dxa"/>
            <w:tcBorders>
              <w:tl2br w:val="nil"/>
              <w:tr2bl w:val="nil"/>
            </w:tcBorders>
            <w:noWrap w:val="0"/>
            <w:vAlign w:val="center"/>
          </w:tcPr>
          <w:p>
            <w:pPr>
              <w:pStyle w:val="79"/>
              <w:rPr>
                <w:rFonts w:hint="default" w:ascii="Times New Roman" w:hAnsi="Times New Roman" w:eastAsia="宋体" w:cs="Times New Roman"/>
                <w:u w:val="single"/>
                <w:lang w:eastAsia="zh-CN"/>
              </w:rPr>
            </w:pPr>
            <w:r>
              <w:rPr>
                <w:rFonts w:hint="default" w:ascii="Times New Roman" w:hAnsi="Times New Roman" w:eastAsia="宋体" w:cs="Times New Roman"/>
                <w:u w:val="single"/>
                <w:lang w:val="en-US" w:eastAsia="zh-CN"/>
              </w:rPr>
              <w:t>1</w:t>
            </w:r>
          </w:p>
        </w:tc>
        <w:tc>
          <w:tcPr>
            <w:tcW w:w="2809"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pH</w:t>
            </w:r>
          </w:p>
        </w:tc>
        <w:tc>
          <w:tcPr>
            <w:tcW w:w="3034"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8" w:hRule="atLeast"/>
          <w:jc w:val="center"/>
        </w:trPr>
        <w:tc>
          <w:tcPr>
            <w:tcW w:w="1866" w:type="dxa"/>
            <w:tcBorders>
              <w:tl2br w:val="nil"/>
              <w:tr2bl w:val="nil"/>
            </w:tcBorders>
            <w:noWrap w:val="0"/>
            <w:vAlign w:val="center"/>
          </w:tcPr>
          <w:p>
            <w:pPr>
              <w:pStyle w:val="79"/>
              <w:rPr>
                <w:rFonts w:hint="default" w:ascii="Times New Roman" w:hAnsi="Times New Roman" w:eastAsia="宋体" w:cs="Times New Roman"/>
                <w:u w:val="single"/>
                <w:lang w:eastAsia="zh-CN"/>
              </w:rPr>
            </w:pPr>
            <w:r>
              <w:rPr>
                <w:rFonts w:hint="default" w:ascii="Times New Roman" w:hAnsi="Times New Roman" w:eastAsia="宋体" w:cs="Times New Roman"/>
                <w:u w:val="single"/>
                <w:lang w:val="en-US" w:eastAsia="zh-CN"/>
              </w:rPr>
              <w:t>2</w:t>
            </w:r>
          </w:p>
        </w:tc>
        <w:tc>
          <w:tcPr>
            <w:tcW w:w="2809"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总锰</w:t>
            </w:r>
          </w:p>
        </w:tc>
        <w:tc>
          <w:tcPr>
            <w:tcW w:w="3034"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2.0mg/L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 w:hRule="atLeast"/>
          <w:jc w:val="center"/>
        </w:trPr>
        <w:tc>
          <w:tcPr>
            <w:tcW w:w="1866"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3</w:t>
            </w:r>
          </w:p>
        </w:tc>
        <w:tc>
          <w:tcPr>
            <w:tcW w:w="2809"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总铬</w:t>
            </w:r>
          </w:p>
        </w:tc>
        <w:tc>
          <w:tcPr>
            <w:tcW w:w="3034"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 w:hRule="atLeast"/>
          <w:jc w:val="center"/>
        </w:trPr>
        <w:tc>
          <w:tcPr>
            <w:tcW w:w="1866"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4</w:t>
            </w:r>
          </w:p>
        </w:tc>
        <w:tc>
          <w:tcPr>
            <w:tcW w:w="2809"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六价铬</w:t>
            </w:r>
          </w:p>
        </w:tc>
        <w:tc>
          <w:tcPr>
            <w:tcW w:w="3034"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 w:hRule="atLeast"/>
          <w:jc w:val="center"/>
        </w:trPr>
        <w:tc>
          <w:tcPr>
            <w:tcW w:w="1866"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5</w:t>
            </w:r>
          </w:p>
        </w:tc>
        <w:tc>
          <w:tcPr>
            <w:tcW w:w="2809"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总钒</w:t>
            </w:r>
          </w:p>
        </w:tc>
        <w:tc>
          <w:tcPr>
            <w:tcW w:w="3034"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1</w:t>
            </w:r>
            <w:r>
              <w:rPr>
                <w:rFonts w:hint="default" w:ascii="Times New Roman" w:hAnsi="Times New Roman" w:eastAsia="宋体" w:cs="Times New Roman"/>
                <w:u w:val="single"/>
                <w:lang w:val="en-US" w:eastAsia="zh-CN"/>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 w:hRule="atLeast"/>
          <w:jc w:val="center"/>
        </w:trPr>
        <w:tc>
          <w:tcPr>
            <w:tcW w:w="1866"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6</w:t>
            </w:r>
          </w:p>
        </w:tc>
        <w:tc>
          <w:tcPr>
            <w:tcW w:w="2809"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总锌</w:t>
            </w:r>
          </w:p>
        </w:tc>
        <w:tc>
          <w:tcPr>
            <w:tcW w:w="3034"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 w:hRule="atLeast"/>
          <w:jc w:val="center"/>
        </w:trPr>
        <w:tc>
          <w:tcPr>
            <w:tcW w:w="1866"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7</w:t>
            </w:r>
          </w:p>
        </w:tc>
        <w:tc>
          <w:tcPr>
            <w:tcW w:w="2809"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总铅</w:t>
            </w:r>
          </w:p>
        </w:tc>
        <w:tc>
          <w:tcPr>
            <w:tcW w:w="3034"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0.1mg/L</w:t>
            </w:r>
          </w:p>
        </w:tc>
      </w:tr>
    </w:tbl>
    <w:p>
      <w:pPr>
        <w:ind w:firstLine="422"/>
        <w:jc w:val="center"/>
        <w:rPr>
          <w:rFonts w:hint="eastAsia"/>
          <w:b/>
          <w:color w:val="000000"/>
          <w:kern w:val="0"/>
          <w:sz w:val="21"/>
          <w:szCs w:val="21"/>
          <w:u w:val="single"/>
        </w:rPr>
      </w:pPr>
      <w:r>
        <w:rPr>
          <w:rFonts w:hint="eastAsia"/>
          <w:b/>
          <w:color w:val="000000"/>
          <w:kern w:val="0"/>
          <w:sz w:val="21"/>
          <w:szCs w:val="21"/>
          <w:u w:val="single"/>
        </w:rPr>
        <w:t>表1.6-</w:t>
      </w:r>
      <w:r>
        <w:rPr>
          <w:b/>
          <w:color w:val="000000"/>
          <w:kern w:val="0"/>
          <w:sz w:val="21"/>
          <w:szCs w:val="21"/>
          <w:u w:val="single"/>
        </w:rPr>
        <w:t>1</w:t>
      </w:r>
      <w:r>
        <w:rPr>
          <w:rFonts w:hint="eastAsia"/>
          <w:b/>
          <w:color w:val="000000"/>
          <w:kern w:val="0"/>
          <w:sz w:val="21"/>
          <w:szCs w:val="21"/>
          <w:u w:val="single"/>
          <w:lang w:val="en-US" w:eastAsia="zh-CN"/>
        </w:rPr>
        <w:t>0</w:t>
      </w:r>
      <w:r>
        <w:rPr>
          <w:rFonts w:hint="eastAsia"/>
          <w:b/>
          <w:color w:val="000000"/>
          <w:kern w:val="0"/>
          <w:sz w:val="21"/>
          <w:szCs w:val="21"/>
          <w:u w:val="single"/>
        </w:rPr>
        <w:t xml:space="preserve"> 废水</w:t>
      </w:r>
      <w:r>
        <w:rPr>
          <w:rFonts w:hint="eastAsia"/>
          <w:b/>
          <w:color w:val="000000"/>
          <w:kern w:val="0"/>
          <w:sz w:val="21"/>
          <w:szCs w:val="21"/>
          <w:u w:val="single"/>
          <w:lang w:eastAsia="zh-CN"/>
        </w:rPr>
        <w:t>最终</w:t>
      </w:r>
      <w:r>
        <w:rPr>
          <w:rFonts w:hint="eastAsia"/>
          <w:b/>
          <w:color w:val="000000"/>
          <w:kern w:val="0"/>
          <w:sz w:val="21"/>
          <w:szCs w:val="21"/>
          <w:u w:val="single"/>
        </w:rPr>
        <w:t>排放标准</w:t>
      </w:r>
      <w:r>
        <w:rPr>
          <w:rFonts w:hint="eastAsia"/>
          <w:b/>
          <w:color w:val="000000"/>
          <w:kern w:val="0"/>
          <w:sz w:val="21"/>
          <w:szCs w:val="21"/>
          <w:u w:val="single"/>
          <w:lang w:eastAsia="zh-CN"/>
        </w:rPr>
        <w:t>（经花垣工业集中区污水处理厂处理后）</w:t>
      </w:r>
      <w:r>
        <w:rPr>
          <w:rFonts w:hint="eastAsia"/>
          <w:b/>
          <w:color w:val="000000"/>
          <w:kern w:val="0"/>
          <w:sz w:val="21"/>
          <w:szCs w:val="21"/>
          <w:u w:val="single"/>
        </w:rPr>
        <w:t xml:space="preserve"> 单位：mg/L</w:t>
      </w:r>
    </w:p>
    <w:tbl>
      <w:tblPr>
        <w:tblStyle w:val="37"/>
        <w:tblW w:w="7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4"/>
        <w:gridCol w:w="2775"/>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084" w:type="dxa"/>
            <w:tcBorders>
              <w:tl2br w:val="nil"/>
              <w:tr2bl w:val="nil"/>
            </w:tcBorders>
            <w:noWrap w:val="0"/>
            <w:vAlign w:val="center"/>
          </w:tcPr>
          <w:p>
            <w:pPr>
              <w:pStyle w:val="79"/>
              <w:rPr>
                <w:rFonts w:hint="default" w:ascii="Times New Roman" w:hAnsi="Times New Roman" w:eastAsia="宋体" w:cs="Times New Roman"/>
                <w:u w:val="single"/>
                <w:lang w:eastAsia="zh-CN"/>
              </w:rPr>
            </w:pPr>
            <w:r>
              <w:rPr>
                <w:rFonts w:hint="default" w:ascii="Times New Roman" w:hAnsi="Times New Roman" w:eastAsia="宋体" w:cs="Times New Roman"/>
                <w:u w:val="single"/>
                <w:lang w:eastAsia="zh-CN"/>
              </w:rPr>
              <w:t>序号</w:t>
            </w:r>
          </w:p>
        </w:tc>
        <w:tc>
          <w:tcPr>
            <w:tcW w:w="2775" w:type="dxa"/>
            <w:tcBorders>
              <w:tl2br w:val="nil"/>
              <w:tr2bl w:val="nil"/>
            </w:tcBorders>
            <w:noWrap w:val="0"/>
            <w:vAlign w:val="center"/>
          </w:tcPr>
          <w:p>
            <w:pPr>
              <w:pStyle w:val="79"/>
              <w:rPr>
                <w:rFonts w:hint="default" w:ascii="Times New Roman" w:hAnsi="Times New Roman" w:eastAsia="宋体" w:cs="Times New Roman"/>
                <w:u w:val="single"/>
                <w:lang w:eastAsia="zh-CN"/>
              </w:rPr>
            </w:pPr>
            <w:r>
              <w:rPr>
                <w:rFonts w:hint="default" w:ascii="Times New Roman" w:hAnsi="Times New Roman" w:eastAsia="宋体" w:cs="Times New Roman"/>
                <w:u w:val="single"/>
                <w:lang w:eastAsia="zh-CN"/>
              </w:rPr>
              <w:t>项目</w:t>
            </w:r>
          </w:p>
        </w:tc>
        <w:tc>
          <w:tcPr>
            <w:tcW w:w="2850" w:type="dxa"/>
            <w:tcBorders>
              <w:tl2br w:val="nil"/>
              <w:tr2bl w:val="nil"/>
            </w:tcBorders>
            <w:noWrap w:val="0"/>
            <w:vAlign w:val="center"/>
          </w:tcPr>
          <w:p>
            <w:pPr>
              <w:pStyle w:val="79"/>
              <w:rPr>
                <w:rFonts w:hint="default" w:ascii="Times New Roman" w:hAnsi="Times New Roman" w:eastAsia="宋体" w:cs="Times New Roman"/>
                <w:u w:val="single"/>
                <w:lang w:eastAsia="zh-CN"/>
              </w:rPr>
            </w:pPr>
            <w:r>
              <w:rPr>
                <w:rFonts w:hint="default" w:ascii="Times New Roman" w:hAnsi="Times New Roman" w:eastAsia="宋体" w:cs="Times New Roman"/>
                <w:u w:val="single"/>
                <w:lang w:eastAsia="zh-CN"/>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084" w:type="dxa"/>
            <w:tcBorders>
              <w:tl2br w:val="nil"/>
              <w:tr2bl w:val="nil"/>
            </w:tcBorders>
            <w:noWrap w:val="0"/>
            <w:vAlign w:val="center"/>
          </w:tcPr>
          <w:p>
            <w:pPr>
              <w:pStyle w:val="79"/>
              <w:rPr>
                <w:rFonts w:hint="default" w:ascii="Times New Roman" w:hAnsi="Times New Roman" w:eastAsia="宋体" w:cs="Times New Roman"/>
                <w:u w:val="single"/>
                <w:lang w:eastAsia="zh-CN"/>
              </w:rPr>
            </w:pPr>
            <w:r>
              <w:rPr>
                <w:rFonts w:hint="default" w:ascii="Times New Roman" w:hAnsi="Times New Roman" w:eastAsia="宋体" w:cs="Times New Roman"/>
                <w:u w:val="single"/>
                <w:lang w:val="en-US" w:eastAsia="zh-CN"/>
              </w:rPr>
              <w:t>1</w:t>
            </w:r>
          </w:p>
        </w:tc>
        <w:tc>
          <w:tcPr>
            <w:tcW w:w="2775"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pH</w:t>
            </w:r>
          </w:p>
        </w:tc>
        <w:tc>
          <w:tcPr>
            <w:tcW w:w="2850"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2084" w:type="dxa"/>
            <w:tcBorders>
              <w:tl2br w:val="nil"/>
              <w:tr2bl w:val="nil"/>
            </w:tcBorders>
            <w:noWrap w:val="0"/>
            <w:vAlign w:val="center"/>
          </w:tcPr>
          <w:p>
            <w:pPr>
              <w:pStyle w:val="79"/>
              <w:rPr>
                <w:rFonts w:hint="default" w:ascii="Times New Roman" w:hAnsi="Times New Roman" w:eastAsia="宋体" w:cs="Times New Roman"/>
                <w:b/>
                <w:bCs/>
                <w:u w:val="single"/>
                <w:lang w:eastAsia="zh-CN"/>
              </w:rPr>
            </w:pPr>
            <w:r>
              <w:rPr>
                <w:rFonts w:hint="default" w:ascii="Times New Roman" w:hAnsi="Times New Roman" w:eastAsia="宋体" w:cs="Times New Roman"/>
                <w:b/>
                <w:bCs/>
                <w:u w:val="single"/>
                <w:lang w:val="en-US" w:eastAsia="zh-CN"/>
              </w:rPr>
              <w:t>2</w:t>
            </w:r>
          </w:p>
        </w:tc>
        <w:tc>
          <w:tcPr>
            <w:tcW w:w="2775" w:type="dxa"/>
            <w:tcBorders>
              <w:tl2br w:val="nil"/>
              <w:tr2bl w:val="nil"/>
            </w:tcBorders>
            <w:noWrap w:val="0"/>
            <w:vAlign w:val="center"/>
          </w:tcPr>
          <w:p>
            <w:pPr>
              <w:pStyle w:val="79"/>
              <w:rPr>
                <w:rFonts w:hint="default" w:ascii="Times New Roman" w:hAnsi="Times New Roman" w:eastAsia="宋体" w:cs="Times New Roman"/>
                <w:b/>
                <w:bCs/>
                <w:u w:val="single"/>
                <w:lang w:val="en-US" w:eastAsia="zh-CN"/>
              </w:rPr>
            </w:pPr>
            <w:r>
              <w:rPr>
                <w:rFonts w:hint="default" w:ascii="Times New Roman" w:hAnsi="Times New Roman" w:eastAsia="宋体" w:cs="Times New Roman"/>
                <w:b/>
                <w:bCs/>
                <w:u w:val="single"/>
                <w:lang w:val="en-US" w:eastAsia="zh-CN"/>
              </w:rPr>
              <w:t>总锰</w:t>
            </w:r>
          </w:p>
        </w:tc>
        <w:tc>
          <w:tcPr>
            <w:tcW w:w="2850" w:type="dxa"/>
            <w:tcBorders>
              <w:tl2br w:val="nil"/>
              <w:tr2bl w:val="nil"/>
            </w:tcBorders>
            <w:noWrap w:val="0"/>
            <w:vAlign w:val="center"/>
          </w:tcPr>
          <w:p>
            <w:pPr>
              <w:pStyle w:val="79"/>
              <w:rPr>
                <w:rFonts w:hint="default" w:ascii="Times New Roman" w:hAnsi="Times New Roman" w:eastAsia="宋体" w:cs="Times New Roman"/>
                <w:b/>
                <w:bCs/>
                <w:u w:val="single"/>
                <w:lang w:val="en-US" w:eastAsia="zh-CN"/>
              </w:rPr>
            </w:pPr>
            <w:r>
              <w:rPr>
                <w:rFonts w:hint="eastAsia" w:ascii="Times New Roman" w:hAnsi="Times New Roman" w:eastAsia="宋体" w:cs="Times New Roman"/>
                <w:b/>
                <w:bCs/>
                <w:u w:val="single"/>
                <w:lang w:val="en-US" w:eastAsia="zh-CN"/>
              </w:rPr>
              <w:t>1</w:t>
            </w:r>
            <w:r>
              <w:rPr>
                <w:rFonts w:hint="default" w:ascii="Times New Roman" w:hAnsi="Times New Roman" w:eastAsia="宋体" w:cs="Times New Roman"/>
                <w:b/>
                <w:bCs/>
                <w:u w:val="single"/>
                <w:lang w:val="en-US" w:eastAsia="zh-CN"/>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 w:hRule="atLeast"/>
          <w:jc w:val="center"/>
        </w:trPr>
        <w:tc>
          <w:tcPr>
            <w:tcW w:w="2084"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3</w:t>
            </w:r>
          </w:p>
        </w:tc>
        <w:tc>
          <w:tcPr>
            <w:tcW w:w="2775"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总铬</w:t>
            </w:r>
          </w:p>
        </w:tc>
        <w:tc>
          <w:tcPr>
            <w:tcW w:w="2850"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084"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4</w:t>
            </w:r>
          </w:p>
        </w:tc>
        <w:tc>
          <w:tcPr>
            <w:tcW w:w="2775"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六价铬</w:t>
            </w:r>
          </w:p>
        </w:tc>
        <w:tc>
          <w:tcPr>
            <w:tcW w:w="2850"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2084"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5</w:t>
            </w:r>
          </w:p>
        </w:tc>
        <w:tc>
          <w:tcPr>
            <w:tcW w:w="2775"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总钒</w:t>
            </w:r>
          </w:p>
        </w:tc>
        <w:tc>
          <w:tcPr>
            <w:tcW w:w="2850"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1</w:t>
            </w:r>
            <w:r>
              <w:rPr>
                <w:rFonts w:hint="default" w:ascii="Times New Roman" w:hAnsi="Times New Roman" w:eastAsia="宋体" w:cs="Times New Roman"/>
                <w:u w:val="single"/>
                <w:lang w:val="en-US" w:eastAsia="zh-CN"/>
              </w:rPr>
              <w:t>.0mg/L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084"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6</w:t>
            </w:r>
          </w:p>
        </w:tc>
        <w:tc>
          <w:tcPr>
            <w:tcW w:w="2775"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总锌</w:t>
            </w:r>
          </w:p>
        </w:tc>
        <w:tc>
          <w:tcPr>
            <w:tcW w:w="2850"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 w:hRule="atLeast"/>
          <w:jc w:val="center"/>
        </w:trPr>
        <w:tc>
          <w:tcPr>
            <w:tcW w:w="2084"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7</w:t>
            </w:r>
          </w:p>
        </w:tc>
        <w:tc>
          <w:tcPr>
            <w:tcW w:w="2775"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总铅</w:t>
            </w:r>
          </w:p>
        </w:tc>
        <w:tc>
          <w:tcPr>
            <w:tcW w:w="2850" w:type="dxa"/>
            <w:tcBorders>
              <w:tl2br w:val="nil"/>
              <w:tr2bl w:val="nil"/>
            </w:tcBorders>
            <w:noWrap w:val="0"/>
            <w:vAlign w:val="center"/>
          </w:tcPr>
          <w:p>
            <w:pPr>
              <w:pStyle w:val="79"/>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0.1mg/L</w:t>
            </w:r>
          </w:p>
        </w:tc>
      </w:tr>
      <w:bookmarkEnd w:id="102"/>
    </w:tbl>
    <w:p>
      <w:pPr>
        <w:ind w:firstLine="480"/>
        <w:rPr>
          <w:rFonts w:hint="eastAsia"/>
          <w:color w:val="000000"/>
          <w:kern w:val="0"/>
          <w:u w:val="single"/>
        </w:rPr>
      </w:pPr>
      <w:r>
        <w:rPr>
          <w:rFonts w:hint="eastAsia"/>
          <w:color w:val="000000"/>
          <w:kern w:val="0"/>
          <w:u w:val="single"/>
        </w:rPr>
        <w:t>（2）废气</w:t>
      </w:r>
    </w:p>
    <w:p>
      <w:pPr>
        <w:wordWrap w:val="0"/>
        <w:ind w:firstLine="480"/>
        <w:rPr>
          <w:rFonts w:hint="eastAsia"/>
          <w:color w:val="000000"/>
          <w:kern w:val="0"/>
          <w:highlight w:val="none"/>
          <w:u w:val="single"/>
          <w:lang w:eastAsia="zh-CN"/>
        </w:rPr>
      </w:pPr>
      <w:r>
        <w:rPr>
          <w:rFonts w:hint="eastAsia"/>
          <w:color w:val="000000"/>
          <w:kern w:val="0"/>
          <w:highlight w:val="none"/>
          <w:u w:val="single"/>
          <w:lang w:eastAsia="zh-CN"/>
        </w:rPr>
        <w:t>本项目在处理废水过程中会投加盐酸，会产生少量的酸雾，项目废气量极少，无组织废气硫化氢执行《大气污染物综合排放标准》（GB16297-1996）表2 中的相应标准限值0.20mg/Nm</w:t>
      </w:r>
      <w:r>
        <w:rPr>
          <w:rFonts w:hint="eastAsia"/>
          <w:color w:val="000000"/>
          <w:kern w:val="0"/>
          <w:highlight w:val="none"/>
          <w:u w:val="single"/>
          <w:vertAlign w:val="superscript"/>
          <w:lang w:eastAsia="zh-CN"/>
        </w:rPr>
        <w:t>3</w:t>
      </w:r>
      <w:r>
        <w:rPr>
          <w:rFonts w:hint="eastAsia"/>
          <w:color w:val="000000"/>
          <w:kern w:val="0"/>
          <w:highlight w:val="none"/>
          <w:u w:val="single"/>
          <w:lang w:eastAsia="zh-CN"/>
        </w:rPr>
        <w:t>。</w:t>
      </w:r>
    </w:p>
    <w:p>
      <w:pPr>
        <w:ind w:firstLine="480"/>
        <w:rPr>
          <w:rFonts w:hint="eastAsia"/>
          <w:color w:val="000000"/>
          <w:kern w:val="0"/>
        </w:rPr>
      </w:pPr>
      <w:r>
        <w:rPr>
          <w:rFonts w:hint="eastAsia"/>
          <w:color w:val="000000"/>
          <w:kern w:val="0"/>
        </w:rPr>
        <w:t>（3）噪声</w:t>
      </w:r>
    </w:p>
    <w:p>
      <w:pPr>
        <w:keepNext w:val="0"/>
        <w:keepLines w:val="0"/>
        <w:pageBreakBefore w:val="0"/>
        <w:widowControl/>
        <w:kinsoku/>
        <w:wordWrap w:val="0"/>
        <w:overflowPunct/>
        <w:topLinePunct w:val="0"/>
        <w:autoSpaceDE/>
        <w:autoSpaceDN/>
        <w:bidi w:val="0"/>
        <w:adjustRightInd/>
        <w:snapToGrid/>
        <w:ind w:firstLine="480"/>
        <w:textAlignment w:val="auto"/>
        <w:rPr>
          <w:rFonts w:hint="eastAsia"/>
          <w:color w:val="000000"/>
          <w:kern w:val="0"/>
        </w:rPr>
      </w:pPr>
      <w:r>
        <w:rPr>
          <w:rFonts w:hint="eastAsia"/>
          <w:color w:val="000000"/>
          <w:kern w:val="0"/>
        </w:rPr>
        <w:t>本项目运营后，厂界噪声执行《工业企业厂界环境噪声排放标准》（GB12348-2008）表1中</w:t>
      </w:r>
      <w:r>
        <w:rPr>
          <w:rFonts w:hint="eastAsia"/>
          <w:color w:val="000000"/>
          <w:kern w:val="0"/>
          <w:lang w:val="en-US" w:eastAsia="zh-CN"/>
        </w:rPr>
        <w:t>3</w:t>
      </w:r>
      <w:r>
        <w:rPr>
          <w:rFonts w:hint="eastAsia"/>
          <w:color w:val="000000"/>
          <w:kern w:val="0"/>
        </w:rPr>
        <w:t>类标准，具体限值见下表1.6-1</w:t>
      </w:r>
      <w:r>
        <w:rPr>
          <w:rFonts w:hint="eastAsia"/>
          <w:color w:val="000000"/>
          <w:kern w:val="0"/>
          <w:lang w:val="en-US" w:eastAsia="zh-CN"/>
        </w:rPr>
        <w:t>2</w:t>
      </w:r>
      <w:r>
        <w:rPr>
          <w:rFonts w:hint="eastAsia"/>
          <w:color w:val="000000"/>
          <w:kern w:val="0"/>
        </w:rPr>
        <w:t>。</w:t>
      </w:r>
    </w:p>
    <w:p>
      <w:pPr>
        <w:ind w:firstLine="422"/>
        <w:jc w:val="center"/>
        <w:rPr>
          <w:b/>
          <w:color w:val="000000"/>
          <w:kern w:val="0"/>
          <w:sz w:val="21"/>
          <w:szCs w:val="21"/>
        </w:rPr>
      </w:pPr>
      <w:r>
        <w:rPr>
          <w:b/>
          <w:color w:val="000000"/>
          <w:kern w:val="0"/>
          <w:sz w:val="21"/>
          <w:szCs w:val="21"/>
        </w:rPr>
        <w:t>1.6-1</w:t>
      </w:r>
      <w:r>
        <w:rPr>
          <w:rFonts w:hint="eastAsia"/>
          <w:b/>
          <w:color w:val="000000"/>
          <w:kern w:val="0"/>
          <w:sz w:val="21"/>
          <w:szCs w:val="21"/>
          <w:lang w:val="en-US" w:eastAsia="zh-CN"/>
        </w:rPr>
        <w:t>2</w:t>
      </w:r>
      <w:r>
        <w:rPr>
          <w:b/>
          <w:color w:val="000000"/>
          <w:kern w:val="0"/>
          <w:sz w:val="21"/>
          <w:szCs w:val="21"/>
        </w:rPr>
        <w:t xml:space="preserve"> 工业企业厂界噪声排放标准</w:t>
      </w:r>
      <w:r>
        <w:rPr>
          <w:rFonts w:hint="eastAsia"/>
          <w:b/>
          <w:color w:val="000000"/>
          <w:kern w:val="0"/>
          <w:sz w:val="21"/>
          <w:szCs w:val="21"/>
          <w:lang w:val="en-US" w:eastAsia="zh-CN"/>
        </w:rPr>
        <w:t>3</w:t>
      </w:r>
      <w:r>
        <w:rPr>
          <w:b/>
          <w:color w:val="000000"/>
          <w:kern w:val="0"/>
          <w:sz w:val="21"/>
          <w:szCs w:val="21"/>
        </w:rPr>
        <w:t>类标准限值一览表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spacing w:line="240" w:lineRule="auto"/>
              <w:ind w:firstLine="422"/>
              <w:jc w:val="center"/>
              <w:rPr>
                <w:rFonts w:hint="eastAsia"/>
                <w:b/>
                <w:color w:val="000000"/>
                <w:kern w:val="0"/>
                <w:sz w:val="21"/>
                <w:szCs w:val="21"/>
              </w:rPr>
            </w:pPr>
            <w:r>
              <w:rPr>
                <w:rFonts w:hint="eastAsia"/>
                <w:b/>
                <w:color w:val="000000"/>
                <w:kern w:val="0"/>
                <w:sz w:val="21"/>
                <w:szCs w:val="21"/>
              </w:rPr>
              <w:t>执行标准</w:t>
            </w:r>
          </w:p>
        </w:tc>
        <w:tc>
          <w:tcPr>
            <w:tcW w:w="2841" w:type="dxa"/>
            <w:noWrap w:val="0"/>
            <w:vAlign w:val="center"/>
          </w:tcPr>
          <w:p>
            <w:pPr>
              <w:spacing w:line="240" w:lineRule="auto"/>
              <w:ind w:firstLine="422"/>
              <w:jc w:val="center"/>
              <w:rPr>
                <w:rFonts w:hint="eastAsia"/>
                <w:b/>
                <w:color w:val="000000"/>
                <w:kern w:val="0"/>
                <w:sz w:val="21"/>
                <w:szCs w:val="21"/>
              </w:rPr>
            </w:pPr>
            <w:r>
              <w:rPr>
                <w:rFonts w:hint="eastAsia"/>
                <w:b/>
                <w:color w:val="000000"/>
                <w:kern w:val="0"/>
                <w:sz w:val="21"/>
                <w:szCs w:val="21"/>
              </w:rPr>
              <w:t>昼间</w:t>
            </w:r>
          </w:p>
        </w:tc>
        <w:tc>
          <w:tcPr>
            <w:tcW w:w="2841" w:type="dxa"/>
            <w:noWrap w:val="0"/>
            <w:vAlign w:val="center"/>
          </w:tcPr>
          <w:p>
            <w:pPr>
              <w:spacing w:line="240" w:lineRule="auto"/>
              <w:ind w:firstLine="422"/>
              <w:jc w:val="center"/>
              <w:rPr>
                <w:rFonts w:hint="eastAsia"/>
                <w:b/>
                <w:color w:val="000000"/>
                <w:kern w:val="0"/>
                <w:sz w:val="21"/>
                <w:szCs w:val="21"/>
              </w:rPr>
            </w:pPr>
            <w:r>
              <w:rPr>
                <w:rFonts w:hint="eastAsia"/>
                <w:b/>
                <w:color w:val="000000"/>
                <w:kern w:val="0"/>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noWrap w:val="0"/>
            <w:vAlign w:val="center"/>
          </w:tcPr>
          <w:p>
            <w:pPr>
              <w:spacing w:line="240" w:lineRule="auto"/>
              <w:ind w:firstLine="420"/>
              <w:jc w:val="center"/>
              <w:rPr>
                <w:rFonts w:hint="eastAsia"/>
                <w:color w:val="000000"/>
                <w:kern w:val="0"/>
                <w:sz w:val="21"/>
                <w:szCs w:val="21"/>
              </w:rPr>
            </w:pPr>
            <w:r>
              <w:rPr>
                <w:rFonts w:hint="eastAsia"/>
                <w:color w:val="000000"/>
                <w:kern w:val="0"/>
                <w:sz w:val="21"/>
                <w:szCs w:val="21"/>
                <w:lang w:val="en-US" w:eastAsia="zh-CN"/>
              </w:rPr>
              <w:t>3</w:t>
            </w:r>
            <w:r>
              <w:rPr>
                <w:rFonts w:hint="eastAsia"/>
                <w:color w:val="000000"/>
                <w:kern w:val="0"/>
                <w:sz w:val="21"/>
                <w:szCs w:val="21"/>
              </w:rPr>
              <w:t>类</w:t>
            </w:r>
          </w:p>
        </w:tc>
        <w:tc>
          <w:tcPr>
            <w:tcW w:w="2841" w:type="dxa"/>
            <w:noWrap w:val="0"/>
            <w:vAlign w:val="center"/>
          </w:tcPr>
          <w:p>
            <w:pPr>
              <w:spacing w:line="240" w:lineRule="auto"/>
              <w:ind w:firstLine="420"/>
              <w:jc w:val="center"/>
              <w:rPr>
                <w:rFonts w:hint="eastAsia" w:eastAsia="宋体"/>
                <w:color w:val="000000"/>
                <w:kern w:val="0"/>
                <w:sz w:val="21"/>
                <w:szCs w:val="21"/>
                <w:lang w:eastAsia="zh-CN"/>
              </w:rPr>
            </w:pPr>
            <w:r>
              <w:rPr>
                <w:rFonts w:hint="eastAsia"/>
                <w:color w:val="000000"/>
                <w:kern w:val="0"/>
                <w:sz w:val="21"/>
                <w:szCs w:val="21"/>
              </w:rPr>
              <w:t>6</w:t>
            </w:r>
            <w:r>
              <w:rPr>
                <w:rFonts w:hint="eastAsia"/>
                <w:color w:val="000000"/>
                <w:kern w:val="0"/>
                <w:sz w:val="21"/>
                <w:szCs w:val="21"/>
                <w:lang w:val="en-US" w:eastAsia="zh-CN"/>
              </w:rPr>
              <w:t>5</w:t>
            </w:r>
          </w:p>
        </w:tc>
        <w:tc>
          <w:tcPr>
            <w:tcW w:w="2841" w:type="dxa"/>
            <w:noWrap w:val="0"/>
            <w:vAlign w:val="center"/>
          </w:tcPr>
          <w:p>
            <w:pPr>
              <w:spacing w:line="240" w:lineRule="auto"/>
              <w:ind w:firstLine="420"/>
              <w:jc w:val="center"/>
              <w:rPr>
                <w:rFonts w:hint="eastAsia" w:eastAsia="宋体"/>
                <w:color w:val="000000"/>
                <w:kern w:val="0"/>
                <w:sz w:val="21"/>
                <w:szCs w:val="21"/>
                <w:lang w:eastAsia="zh-CN"/>
              </w:rPr>
            </w:pPr>
            <w:r>
              <w:rPr>
                <w:rFonts w:hint="eastAsia"/>
                <w:color w:val="000000"/>
                <w:kern w:val="0"/>
                <w:sz w:val="21"/>
                <w:szCs w:val="21"/>
              </w:rPr>
              <w:t>5</w:t>
            </w:r>
            <w:r>
              <w:rPr>
                <w:rFonts w:hint="eastAsia"/>
                <w:color w:val="000000"/>
                <w:kern w:val="0"/>
                <w:sz w:val="21"/>
                <w:szCs w:val="21"/>
                <w:lang w:val="en-US" w:eastAsia="zh-CN"/>
              </w:rPr>
              <w:t>5</w:t>
            </w:r>
          </w:p>
        </w:tc>
      </w:tr>
    </w:tbl>
    <w:p>
      <w:pPr>
        <w:ind w:firstLine="480"/>
        <w:rPr>
          <w:rFonts w:hint="eastAsia"/>
          <w:color w:val="000000"/>
          <w:kern w:val="0"/>
        </w:rPr>
      </w:pPr>
      <w:r>
        <w:rPr>
          <w:rFonts w:hint="eastAsia"/>
          <w:color w:val="000000"/>
          <w:kern w:val="0"/>
        </w:rPr>
        <w:t>（4）固体废物</w:t>
      </w:r>
    </w:p>
    <w:p>
      <w:pPr>
        <w:ind w:firstLine="480"/>
        <w:rPr>
          <w:rFonts w:hint="eastAsia"/>
          <w:color w:val="000000"/>
          <w:kern w:val="0"/>
        </w:rPr>
      </w:pPr>
      <w:r>
        <w:rPr>
          <w:rFonts w:hint="eastAsia"/>
          <w:color w:val="000000"/>
          <w:kern w:val="0"/>
        </w:rPr>
        <w:t>项目运营后一般工业废物</w:t>
      </w:r>
      <w:r>
        <w:rPr>
          <w:rFonts w:hint="eastAsia" w:cs="宋体"/>
          <w:color w:val="000000"/>
          <w:kern w:val="0"/>
        </w:rPr>
        <w:t>贮</w:t>
      </w:r>
      <w:r>
        <w:rPr>
          <w:rFonts w:hint="eastAsia"/>
          <w:color w:val="000000"/>
          <w:kern w:val="0"/>
        </w:rPr>
        <w:t>存、处置执行</w:t>
      </w:r>
      <w:r>
        <w:rPr>
          <w:rFonts w:hint="eastAsia"/>
          <w:color w:val="000000"/>
        </w:rPr>
        <w:t>《一般工业固体废物贮存和填埋污染控制标准（</w:t>
      </w:r>
      <w:r>
        <w:rPr>
          <w:color w:val="000000"/>
        </w:rPr>
        <w:t>GB18599-2020</w:t>
      </w:r>
      <w:r>
        <w:rPr>
          <w:rFonts w:hint="eastAsia"/>
          <w:color w:val="000000"/>
        </w:rPr>
        <w:t>）》</w:t>
      </w:r>
      <w:r>
        <w:rPr>
          <w:rFonts w:hint="eastAsia"/>
          <w:color w:val="000000"/>
          <w:kern w:val="0"/>
        </w:rPr>
        <w:t>的相关规定，生活垃圾执行《生活垃圾填埋污染控制标准》（GB16889-2008），危险固废执行《危险废物</w:t>
      </w:r>
      <w:r>
        <w:rPr>
          <w:rFonts w:hint="eastAsia" w:cs="宋体"/>
          <w:color w:val="000000"/>
          <w:kern w:val="0"/>
        </w:rPr>
        <w:t>贮</w:t>
      </w:r>
      <w:r>
        <w:rPr>
          <w:rFonts w:hint="eastAsia"/>
          <w:color w:val="000000"/>
          <w:kern w:val="0"/>
        </w:rPr>
        <w:t>存污染控制标准》（GB18579-2001）及2013年修改单中的相关规定。污泥进入垃圾焚烧发电厂的准入要求为污泥含水率小于</w:t>
      </w:r>
      <w:r>
        <w:rPr>
          <w:color w:val="000000"/>
          <w:kern w:val="0"/>
        </w:rPr>
        <w:t>80%</w:t>
      </w:r>
      <w:r>
        <w:rPr>
          <w:rFonts w:hint="eastAsia"/>
          <w:color w:val="000000"/>
          <w:kern w:val="0"/>
        </w:rPr>
        <w:t>。</w:t>
      </w:r>
    </w:p>
    <w:p>
      <w:pPr>
        <w:pStyle w:val="86"/>
        <w:spacing w:before="163" w:after="163"/>
        <w:rPr>
          <w:rFonts w:hint="eastAsia"/>
          <w:color w:val="000000"/>
          <w:kern w:val="0"/>
        </w:rPr>
      </w:pPr>
      <w:bookmarkStart w:id="103" w:name="_Toc23795"/>
      <w:bookmarkStart w:id="104" w:name="_Toc489350119"/>
      <w:bookmarkStart w:id="105" w:name="_Toc29308650"/>
      <w:r>
        <w:rPr>
          <w:rFonts w:hint="eastAsia"/>
          <w:color w:val="000000"/>
          <w:kern w:val="0"/>
        </w:rPr>
        <w:t>1.7 评价等级及评价范围</w:t>
      </w:r>
      <w:bookmarkEnd w:id="103"/>
      <w:bookmarkEnd w:id="104"/>
      <w:bookmarkEnd w:id="105"/>
    </w:p>
    <w:p>
      <w:pPr>
        <w:pStyle w:val="8"/>
        <w:spacing w:before="163"/>
        <w:rPr>
          <w:rFonts w:hint="default" w:eastAsia="宋体"/>
          <w:color w:val="000000"/>
          <w:u w:val="none"/>
          <w:lang w:val="en-US" w:eastAsia="zh-CN"/>
        </w:rPr>
      </w:pPr>
      <w:bookmarkStart w:id="106" w:name="_Toc489350120"/>
      <w:bookmarkStart w:id="107" w:name="_Toc489349963"/>
      <w:bookmarkStart w:id="108" w:name="_Toc489350221"/>
      <w:r>
        <w:rPr>
          <w:rFonts w:hint="eastAsia"/>
          <w:color w:val="000000"/>
          <w:u w:val="none"/>
        </w:rPr>
        <w:t>1.7.1 大气环境影响评价等级</w:t>
      </w:r>
      <w:bookmarkEnd w:id="106"/>
      <w:bookmarkEnd w:id="107"/>
      <w:bookmarkEnd w:id="108"/>
      <w:r>
        <w:rPr>
          <w:rFonts w:hint="eastAsia"/>
          <w:color w:val="000000"/>
          <w:u w:val="none"/>
          <w:lang w:val="en-US" w:eastAsia="zh-CN"/>
        </w:rPr>
        <w:t>及评价范围</w:t>
      </w:r>
    </w:p>
    <w:p>
      <w:pPr>
        <w:ind w:firstLine="480"/>
        <w:jc w:val="both"/>
        <w:rPr>
          <w:rFonts w:hint="eastAsia"/>
          <w:color w:val="000000"/>
          <w:kern w:val="0"/>
          <w:szCs w:val="20"/>
          <w:u w:val="none"/>
        </w:rPr>
      </w:pPr>
      <w:bookmarkStart w:id="109" w:name="_Toc489350222"/>
      <w:bookmarkStart w:id="110" w:name="_Toc489350121"/>
      <w:bookmarkStart w:id="111" w:name="_Toc489349964"/>
      <w:r>
        <w:rPr>
          <w:rFonts w:hint="eastAsia"/>
          <w:color w:val="000000"/>
          <w:kern w:val="0"/>
          <w:u w:val="none"/>
        </w:rPr>
        <w:t>本项目运营期污水主要污染物为重金属，不含有大量有机物COD、BOD，故不会产生氨、硫化氢恶臭气体。本项目无大气污染物，根据《环境影响评价技术导则-大气环境》（HJ2.2-2018），本项目不存在集中式排放源和无组织排放源，不适用于采取估算模式进行大气环境影响评价等级判定，因此本评价参照三级评价仅对大气环境影响进行定性分析。根据《环境影响评价技术导则-大气环境》（HJ2.2-2018）5.4规定：三级评价项目不需设置大气环境影响评价范围，故本项目无需设置大气环境影响评价范围</w:t>
      </w:r>
      <w:r>
        <w:rPr>
          <w:rFonts w:hint="eastAsia"/>
          <w:color w:val="000000"/>
          <w:kern w:val="0"/>
          <w:szCs w:val="20"/>
          <w:u w:val="none"/>
        </w:rPr>
        <w:t>。</w:t>
      </w:r>
    </w:p>
    <w:p>
      <w:pPr>
        <w:pStyle w:val="8"/>
        <w:spacing w:before="163"/>
        <w:rPr>
          <w:rFonts w:hint="default" w:eastAsia="宋体"/>
          <w:color w:val="000000"/>
          <w:lang w:val="en-US" w:eastAsia="zh-CN"/>
        </w:rPr>
      </w:pPr>
      <w:r>
        <w:rPr>
          <w:rFonts w:hint="eastAsia"/>
          <w:color w:val="000000"/>
        </w:rPr>
        <w:t xml:space="preserve">1.7.2 </w:t>
      </w:r>
      <w:r>
        <w:rPr>
          <w:rFonts w:hint="eastAsia"/>
          <w:color w:val="000000"/>
          <w:lang w:val="en-US" w:eastAsia="zh-CN"/>
        </w:rPr>
        <w:t>地表水</w:t>
      </w:r>
      <w:r>
        <w:rPr>
          <w:rFonts w:hint="eastAsia"/>
          <w:color w:val="000000"/>
        </w:rPr>
        <w:t>环境影响评价等级</w:t>
      </w:r>
      <w:bookmarkEnd w:id="109"/>
      <w:bookmarkEnd w:id="110"/>
      <w:bookmarkEnd w:id="111"/>
      <w:r>
        <w:rPr>
          <w:rFonts w:hint="eastAsia"/>
          <w:color w:val="000000"/>
          <w:lang w:val="en-US" w:eastAsia="zh-CN"/>
        </w:rPr>
        <w:t>及评价范围</w:t>
      </w:r>
    </w:p>
    <w:p>
      <w:pPr>
        <w:ind w:firstLine="480"/>
        <w:rPr>
          <w:rFonts w:hint="eastAsia"/>
          <w:color w:val="000000"/>
          <w:kern w:val="0"/>
        </w:rPr>
      </w:pPr>
      <w:r>
        <w:rPr>
          <w:rFonts w:hint="eastAsia" w:cs="宋体"/>
          <w:color w:val="000000"/>
        </w:rPr>
        <w:t>本项目</w:t>
      </w:r>
      <w:r>
        <w:rPr>
          <w:rFonts w:hint="eastAsia"/>
          <w:color w:val="000000"/>
        </w:rPr>
        <w:t>主要包括污水处理</w:t>
      </w:r>
      <w:r>
        <w:rPr>
          <w:rFonts w:hint="eastAsia"/>
          <w:color w:val="000000"/>
          <w:lang w:eastAsia="zh-CN"/>
        </w:rPr>
        <w:t>站</w:t>
      </w:r>
      <w:r>
        <w:rPr>
          <w:rFonts w:hint="eastAsia"/>
          <w:color w:val="000000"/>
        </w:rPr>
        <w:t>建设、</w:t>
      </w:r>
      <w:r>
        <w:rPr>
          <w:rFonts w:hint="eastAsia"/>
          <w:color w:val="000000"/>
          <w:lang w:eastAsia="zh-CN"/>
        </w:rPr>
        <w:t>配套管网</w:t>
      </w:r>
      <w:r>
        <w:rPr>
          <w:rFonts w:hint="eastAsia"/>
          <w:color w:val="000000"/>
        </w:rPr>
        <w:t>建设，用于接收处理</w:t>
      </w:r>
      <w:r>
        <w:rPr>
          <w:rFonts w:hint="eastAsia"/>
          <w:color w:val="000000"/>
          <w:lang w:eastAsia="zh-CN"/>
        </w:rPr>
        <w:t>花垣县产业园</w:t>
      </w:r>
      <w:r>
        <w:rPr>
          <w:rFonts w:hint="eastAsia"/>
          <w:color w:val="auto"/>
          <w:lang w:eastAsia="zh-CN"/>
        </w:rPr>
        <w:t>内重金属企业在生产运行事故状态下无法循环利用的重金属废水</w:t>
      </w:r>
      <w:r>
        <w:rPr>
          <w:rFonts w:hint="eastAsia"/>
          <w:color w:val="auto"/>
        </w:rPr>
        <w:t>，</w:t>
      </w:r>
      <w:r>
        <w:rPr>
          <w:rFonts w:hint="eastAsia"/>
          <w:color w:val="auto"/>
          <w:kern w:val="0"/>
        </w:rPr>
        <w:t>污水处理</w:t>
      </w:r>
      <w:r>
        <w:rPr>
          <w:rFonts w:hint="eastAsia"/>
          <w:color w:val="auto"/>
          <w:kern w:val="0"/>
          <w:lang w:eastAsia="zh-CN"/>
        </w:rPr>
        <w:t>站设置</w:t>
      </w:r>
      <w:r>
        <w:rPr>
          <w:rFonts w:hint="eastAsia"/>
          <w:color w:val="auto"/>
          <w:kern w:val="0"/>
        </w:rPr>
        <w:t>规模为</w:t>
      </w:r>
      <w:r>
        <w:rPr>
          <w:rFonts w:hint="eastAsia"/>
          <w:color w:val="auto"/>
          <w:kern w:val="0"/>
          <w:lang w:val="en-US" w:eastAsia="zh-CN"/>
        </w:rPr>
        <w:t>3000</w:t>
      </w:r>
      <w:r>
        <w:rPr>
          <w:rFonts w:hint="eastAsia"/>
          <w:color w:val="auto"/>
          <w:kern w:val="0"/>
        </w:rPr>
        <w:t>m</w:t>
      </w:r>
      <w:r>
        <w:rPr>
          <w:rFonts w:hint="eastAsia"/>
          <w:color w:val="auto"/>
          <w:kern w:val="0"/>
          <w:vertAlign w:val="superscript"/>
        </w:rPr>
        <w:t>3</w:t>
      </w:r>
      <w:r>
        <w:rPr>
          <w:rFonts w:hint="eastAsia"/>
          <w:color w:val="auto"/>
          <w:kern w:val="0"/>
        </w:rPr>
        <w:t>/d。本项目废水经处理后出水水质总钒指标执行《钒工业污染物排放标准》（GB26452-2001）</w:t>
      </w:r>
      <w:r>
        <w:rPr>
          <w:rFonts w:hint="eastAsia"/>
          <w:color w:val="auto"/>
          <w:kern w:val="0"/>
          <w:lang w:eastAsia="zh-CN"/>
        </w:rPr>
        <w:t>表</w:t>
      </w:r>
      <w:r>
        <w:rPr>
          <w:rFonts w:hint="eastAsia"/>
          <w:color w:val="auto"/>
          <w:kern w:val="0"/>
          <w:lang w:val="en-US" w:eastAsia="zh-CN"/>
        </w:rPr>
        <w:t>2标准限值</w:t>
      </w:r>
      <w:r>
        <w:rPr>
          <w:rFonts w:hint="eastAsia"/>
          <w:color w:val="auto"/>
          <w:kern w:val="0"/>
        </w:rPr>
        <w:t>，其他污染物指标达到《城镇污水处理厂污染物排放标准》（GB18918-2002）表2</w:t>
      </w:r>
      <w:r>
        <w:rPr>
          <w:rFonts w:hint="eastAsia"/>
          <w:color w:val="000000"/>
          <w:kern w:val="0"/>
        </w:rPr>
        <w:t>、表3中标准限值，</w:t>
      </w:r>
      <w:r>
        <w:rPr>
          <w:rFonts w:hint="eastAsia"/>
          <w:color w:val="000000"/>
          <w:kern w:val="0"/>
          <w:lang w:eastAsia="zh-CN"/>
        </w:rPr>
        <w:t>后进入花垣县工业集中区污水处理厂，经花垣县工业集中区污水处理厂排污口排放至花垣河</w:t>
      </w:r>
      <w:r>
        <w:rPr>
          <w:rFonts w:hint="eastAsia"/>
          <w:color w:val="000000"/>
          <w:kern w:val="0"/>
        </w:rPr>
        <w:t>。</w:t>
      </w:r>
    </w:p>
    <w:p>
      <w:pPr>
        <w:ind w:firstLine="480"/>
        <w:rPr>
          <w:color w:val="000000"/>
        </w:rPr>
      </w:pPr>
      <w:r>
        <w:rPr>
          <w:rFonts w:hint="eastAsia"/>
          <w:color w:val="000000"/>
          <w:kern w:val="0"/>
        </w:rPr>
        <w:t>项目依托花垣县工业集中区污水处理厂设置排污口排放，本项目不新增设置排污口，根据《环境影响评价技术导则 地表水环境》（HJ 2.3-2018）中相关评价等级判定依据，本项目属于间接排放建设项目，确定地表水污染影响型评价等级为三级B</w:t>
      </w:r>
      <w:r>
        <w:rPr>
          <w:rFonts w:hint="eastAsia"/>
          <w:color w:val="000000"/>
        </w:rPr>
        <w:t>。</w:t>
      </w:r>
    </w:p>
    <w:p>
      <w:pPr>
        <w:spacing w:before="60"/>
        <w:ind w:firstLine="422"/>
        <w:jc w:val="center"/>
        <w:rPr>
          <w:rFonts w:hint="eastAsia"/>
          <w:b/>
          <w:bCs/>
          <w:color w:val="000000"/>
          <w:kern w:val="0"/>
          <w:sz w:val="21"/>
          <w:szCs w:val="21"/>
        </w:rPr>
      </w:pPr>
      <w:r>
        <w:rPr>
          <w:rFonts w:hint="eastAsia"/>
          <w:b/>
          <w:color w:val="000000"/>
          <w:kern w:val="0"/>
          <w:sz w:val="21"/>
          <w:szCs w:val="21"/>
        </w:rPr>
        <w:t>表1.7-</w:t>
      </w:r>
      <w:r>
        <w:rPr>
          <w:rFonts w:hint="eastAsia"/>
          <w:b/>
          <w:color w:val="000000"/>
          <w:kern w:val="0"/>
          <w:sz w:val="21"/>
          <w:szCs w:val="21"/>
          <w:lang w:val="en-US" w:eastAsia="zh-CN"/>
        </w:rPr>
        <w:t>1</w:t>
      </w:r>
      <w:r>
        <w:rPr>
          <w:rFonts w:hint="eastAsia"/>
          <w:b/>
          <w:color w:val="000000"/>
          <w:kern w:val="0"/>
          <w:sz w:val="21"/>
          <w:szCs w:val="21"/>
        </w:rPr>
        <w:t xml:space="preserve">  </w:t>
      </w:r>
      <w:r>
        <w:rPr>
          <w:rFonts w:hint="eastAsia"/>
          <w:b/>
          <w:bCs/>
          <w:color w:val="000000"/>
          <w:kern w:val="0"/>
          <w:sz w:val="21"/>
          <w:szCs w:val="21"/>
        </w:rPr>
        <w:t>水污染影响型建设项目评价等级判定</w:t>
      </w:r>
    </w:p>
    <w:tbl>
      <w:tblPr>
        <w:tblStyle w:val="37"/>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3"/>
        <w:gridCol w:w="2065"/>
        <w:gridCol w:w="5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3" w:type="dxa"/>
            <w:vMerge w:val="restart"/>
            <w:noWrap w:val="0"/>
            <w:vAlign w:val="center"/>
          </w:tcPr>
          <w:p>
            <w:pPr>
              <w:spacing w:line="320" w:lineRule="exact"/>
              <w:ind w:firstLine="0" w:firstLineChars="0"/>
              <w:jc w:val="center"/>
              <w:rPr>
                <w:rFonts w:hint="eastAsia"/>
                <w:b/>
                <w:color w:val="000000"/>
                <w:kern w:val="0"/>
                <w:sz w:val="21"/>
                <w:szCs w:val="21"/>
              </w:rPr>
            </w:pPr>
            <w:r>
              <w:rPr>
                <w:rFonts w:hint="eastAsia"/>
                <w:b/>
                <w:color w:val="000000"/>
                <w:kern w:val="0"/>
                <w:sz w:val="21"/>
                <w:szCs w:val="21"/>
              </w:rPr>
              <w:t>评价等级</w:t>
            </w:r>
          </w:p>
        </w:tc>
        <w:tc>
          <w:tcPr>
            <w:tcW w:w="7258" w:type="dxa"/>
            <w:gridSpan w:val="2"/>
            <w:noWrap w:val="0"/>
            <w:vAlign w:val="center"/>
          </w:tcPr>
          <w:p>
            <w:pPr>
              <w:spacing w:line="320" w:lineRule="exact"/>
              <w:ind w:firstLine="0" w:firstLineChars="0"/>
              <w:jc w:val="center"/>
              <w:rPr>
                <w:rFonts w:hint="eastAsia"/>
                <w:b/>
                <w:color w:val="000000"/>
                <w:kern w:val="0"/>
                <w:sz w:val="21"/>
                <w:szCs w:val="21"/>
              </w:rPr>
            </w:pPr>
            <w:r>
              <w:rPr>
                <w:rFonts w:hint="eastAsia"/>
                <w:b/>
                <w:color w:val="000000"/>
                <w:kern w:val="0"/>
                <w:sz w:val="21"/>
                <w:szCs w:val="21"/>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3" w:type="dxa"/>
            <w:vMerge w:val="continue"/>
            <w:noWrap w:val="0"/>
            <w:vAlign w:val="center"/>
          </w:tcPr>
          <w:p>
            <w:pPr>
              <w:spacing w:line="320" w:lineRule="exact"/>
              <w:ind w:firstLine="0" w:firstLineChars="0"/>
              <w:jc w:val="center"/>
              <w:rPr>
                <w:rFonts w:hint="eastAsia"/>
                <w:b/>
                <w:color w:val="000000"/>
                <w:kern w:val="0"/>
                <w:sz w:val="21"/>
                <w:szCs w:val="21"/>
              </w:rPr>
            </w:pPr>
          </w:p>
        </w:tc>
        <w:tc>
          <w:tcPr>
            <w:tcW w:w="2065" w:type="dxa"/>
            <w:noWrap w:val="0"/>
            <w:vAlign w:val="center"/>
          </w:tcPr>
          <w:p>
            <w:pPr>
              <w:spacing w:line="320" w:lineRule="exact"/>
              <w:ind w:firstLine="0" w:firstLineChars="0"/>
              <w:jc w:val="center"/>
              <w:rPr>
                <w:rFonts w:hint="eastAsia"/>
                <w:b/>
                <w:color w:val="000000"/>
                <w:kern w:val="0"/>
                <w:sz w:val="21"/>
                <w:szCs w:val="21"/>
              </w:rPr>
            </w:pPr>
            <w:r>
              <w:rPr>
                <w:rFonts w:hint="eastAsia"/>
                <w:b/>
                <w:color w:val="000000"/>
                <w:kern w:val="0"/>
                <w:sz w:val="21"/>
                <w:szCs w:val="21"/>
              </w:rPr>
              <w:t>排放方式</w:t>
            </w:r>
          </w:p>
        </w:tc>
        <w:tc>
          <w:tcPr>
            <w:tcW w:w="5193" w:type="dxa"/>
            <w:noWrap w:val="0"/>
            <w:vAlign w:val="center"/>
          </w:tcPr>
          <w:p>
            <w:pPr>
              <w:spacing w:line="320" w:lineRule="exact"/>
              <w:ind w:firstLine="0" w:firstLineChars="0"/>
              <w:jc w:val="center"/>
              <w:rPr>
                <w:rFonts w:hint="eastAsia"/>
                <w:b/>
                <w:color w:val="000000"/>
                <w:kern w:val="0"/>
                <w:sz w:val="21"/>
                <w:szCs w:val="21"/>
              </w:rPr>
            </w:pPr>
            <w:r>
              <w:rPr>
                <w:rFonts w:hint="eastAsia"/>
                <w:b/>
                <w:color w:val="000000"/>
                <w:kern w:val="0"/>
                <w:sz w:val="21"/>
                <w:szCs w:val="21"/>
              </w:rPr>
              <w:t>废水排放量Q/（m</w:t>
            </w:r>
            <w:r>
              <w:rPr>
                <w:rFonts w:hint="eastAsia"/>
                <w:b/>
                <w:color w:val="000000"/>
                <w:kern w:val="0"/>
                <w:sz w:val="21"/>
                <w:szCs w:val="21"/>
                <w:vertAlign w:val="superscript"/>
              </w:rPr>
              <w:t>3</w:t>
            </w:r>
            <w:r>
              <w:rPr>
                <w:rFonts w:hint="eastAsia"/>
                <w:b/>
                <w:color w:val="000000"/>
                <w:kern w:val="0"/>
                <w:sz w:val="21"/>
                <w:szCs w:val="21"/>
              </w:rPr>
              <w:t>/d）；水污染物当量数W/（无量纲）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3" w:type="dxa"/>
            <w:noWrap w:val="0"/>
            <w:vAlign w:val="center"/>
          </w:tcPr>
          <w:p>
            <w:pPr>
              <w:spacing w:line="320" w:lineRule="exact"/>
              <w:ind w:firstLine="0" w:firstLineChars="0"/>
              <w:jc w:val="center"/>
              <w:rPr>
                <w:rFonts w:hint="eastAsia"/>
                <w:bCs/>
                <w:color w:val="000000"/>
                <w:kern w:val="0"/>
                <w:sz w:val="21"/>
                <w:szCs w:val="21"/>
              </w:rPr>
            </w:pPr>
            <w:r>
              <w:rPr>
                <w:rFonts w:hint="eastAsia"/>
                <w:bCs/>
                <w:color w:val="000000"/>
                <w:kern w:val="0"/>
                <w:sz w:val="21"/>
                <w:szCs w:val="21"/>
              </w:rPr>
              <w:t>一级</w:t>
            </w:r>
          </w:p>
        </w:tc>
        <w:tc>
          <w:tcPr>
            <w:tcW w:w="2065" w:type="dxa"/>
            <w:noWrap w:val="0"/>
            <w:vAlign w:val="center"/>
          </w:tcPr>
          <w:p>
            <w:pPr>
              <w:spacing w:line="320" w:lineRule="exact"/>
              <w:ind w:firstLine="0" w:firstLineChars="0"/>
              <w:jc w:val="center"/>
              <w:rPr>
                <w:rFonts w:hint="eastAsia"/>
                <w:bCs/>
                <w:color w:val="000000"/>
                <w:kern w:val="0"/>
                <w:sz w:val="21"/>
                <w:szCs w:val="21"/>
              </w:rPr>
            </w:pPr>
            <w:r>
              <w:rPr>
                <w:rFonts w:hint="eastAsia"/>
                <w:bCs/>
                <w:color w:val="000000"/>
                <w:kern w:val="0"/>
                <w:sz w:val="21"/>
                <w:szCs w:val="21"/>
              </w:rPr>
              <w:t>直接排放</w:t>
            </w:r>
          </w:p>
        </w:tc>
        <w:tc>
          <w:tcPr>
            <w:tcW w:w="5193" w:type="dxa"/>
            <w:noWrap w:val="0"/>
            <w:vAlign w:val="center"/>
          </w:tcPr>
          <w:p>
            <w:pPr>
              <w:spacing w:line="320" w:lineRule="exact"/>
              <w:ind w:firstLine="0" w:firstLineChars="0"/>
              <w:jc w:val="center"/>
              <w:rPr>
                <w:rFonts w:hint="eastAsia"/>
                <w:bCs/>
                <w:color w:val="000000"/>
                <w:kern w:val="0"/>
                <w:sz w:val="21"/>
                <w:szCs w:val="21"/>
              </w:rPr>
            </w:pPr>
            <w:r>
              <w:rPr>
                <w:rFonts w:hint="eastAsia"/>
                <w:bCs/>
                <w:color w:val="000000"/>
                <w:kern w:val="0"/>
                <w:sz w:val="21"/>
                <w:szCs w:val="21"/>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3" w:type="dxa"/>
            <w:noWrap w:val="0"/>
            <w:vAlign w:val="center"/>
          </w:tcPr>
          <w:p>
            <w:pPr>
              <w:spacing w:line="320" w:lineRule="exact"/>
              <w:ind w:firstLine="0" w:firstLineChars="0"/>
              <w:jc w:val="center"/>
              <w:rPr>
                <w:rFonts w:hint="eastAsia"/>
                <w:bCs/>
                <w:color w:val="000000"/>
                <w:kern w:val="0"/>
                <w:sz w:val="21"/>
                <w:szCs w:val="21"/>
              </w:rPr>
            </w:pPr>
            <w:r>
              <w:rPr>
                <w:rFonts w:hint="eastAsia"/>
                <w:bCs/>
                <w:color w:val="000000"/>
                <w:kern w:val="0"/>
                <w:sz w:val="21"/>
                <w:szCs w:val="21"/>
              </w:rPr>
              <w:t>二级</w:t>
            </w:r>
          </w:p>
        </w:tc>
        <w:tc>
          <w:tcPr>
            <w:tcW w:w="2065" w:type="dxa"/>
            <w:noWrap w:val="0"/>
            <w:vAlign w:val="center"/>
          </w:tcPr>
          <w:p>
            <w:pPr>
              <w:spacing w:line="320" w:lineRule="exact"/>
              <w:ind w:firstLine="0" w:firstLineChars="0"/>
              <w:jc w:val="center"/>
              <w:rPr>
                <w:rFonts w:hint="eastAsia"/>
                <w:bCs/>
                <w:color w:val="000000"/>
                <w:kern w:val="0"/>
                <w:sz w:val="21"/>
                <w:szCs w:val="21"/>
              </w:rPr>
            </w:pPr>
            <w:r>
              <w:rPr>
                <w:rFonts w:hint="eastAsia"/>
                <w:bCs/>
                <w:color w:val="000000"/>
                <w:kern w:val="0"/>
                <w:sz w:val="21"/>
                <w:szCs w:val="21"/>
              </w:rPr>
              <w:t>直接排放</w:t>
            </w:r>
          </w:p>
        </w:tc>
        <w:tc>
          <w:tcPr>
            <w:tcW w:w="5193" w:type="dxa"/>
            <w:noWrap w:val="0"/>
            <w:vAlign w:val="center"/>
          </w:tcPr>
          <w:p>
            <w:pPr>
              <w:spacing w:line="320" w:lineRule="exact"/>
              <w:ind w:firstLine="0" w:firstLineChars="0"/>
              <w:jc w:val="center"/>
              <w:rPr>
                <w:rFonts w:hint="eastAsia"/>
                <w:bCs/>
                <w:color w:val="000000"/>
                <w:kern w:val="0"/>
                <w:sz w:val="21"/>
                <w:szCs w:val="21"/>
              </w:rPr>
            </w:pPr>
            <w:r>
              <w:rPr>
                <w:rFonts w:hint="eastAsia"/>
                <w:bCs/>
                <w:color w:val="000000"/>
                <w:kern w:val="0"/>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3" w:type="dxa"/>
            <w:noWrap w:val="0"/>
            <w:vAlign w:val="center"/>
          </w:tcPr>
          <w:p>
            <w:pPr>
              <w:spacing w:line="320" w:lineRule="exact"/>
              <w:ind w:firstLine="0" w:firstLineChars="0"/>
              <w:jc w:val="center"/>
              <w:rPr>
                <w:rFonts w:hint="eastAsia"/>
                <w:bCs/>
                <w:color w:val="000000"/>
                <w:kern w:val="0"/>
                <w:sz w:val="21"/>
                <w:szCs w:val="21"/>
              </w:rPr>
            </w:pPr>
            <w:r>
              <w:rPr>
                <w:rFonts w:hint="eastAsia"/>
                <w:bCs/>
                <w:color w:val="000000"/>
                <w:kern w:val="0"/>
                <w:sz w:val="21"/>
                <w:szCs w:val="21"/>
              </w:rPr>
              <w:t>三级A</w:t>
            </w:r>
          </w:p>
        </w:tc>
        <w:tc>
          <w:tcPr>
            <w:tcW w:w="2065" w:type="dxa"/>
            <w:noWrap w:val="0"/>
            <w:vAlign w:val="center"/>
          </w:tcPr>
          <w:p>
            <w:pPr>
              <w:spacing w:line="320" w:lineRule="exact"/>
              <w:ind w:firstLine="0" w:firstLineChars="0"/>
              <w:jc w:val="center"/>
              <w:rPr>
                <w:rFonts w:hint="eastAsia"/>
                <w:bCs/>
                <w:color w:val="000000"/>
                <w:kern w:val="0"/>
                <w:sz w:val="21"/>
                <w:szCs w:val="21"/>
              </w:rPr>
            </w:pPr>
            <w:r>
              <w:rPr>
                <w:rFonts w:hint="eastAsia"/>
                <w:bCs/>
                <w:color w:val="000000"/>
                <w:kern w:val="0"/>
                <w:sz w:val="21"/>
                <w:szCs w:val="21"/>
              </w:rPr>
              <w:t>直接排放</w:t>
            </w:r>
          </w:p>
        </w:tc>
        <w:tc>
          <w:tcPr>
            <w:tcW w:w="5193" w:type="dxa"/>
            <w:noWrap w:val="0"/>
            <w:vAlign w:val="center"/>
          </w:tcPr>
          <w:p>
            <w:pPr>
              <w:spacing w:line="320" w:lineRule="exact"/>
              <w:ind w:firstLine="0" w:firstLineChars="0"/>
              <w:jc w:val="center"/>
              <w:rPr>
                <w:rFonts w:hint="eastAsia"/>
                <w:bCs/>
                <w:color w:val="000000"/>
                <w:kern w:val="0"/>
                <w:sz w:val="21"/>
                <w:szCs w:val="21"/>
              </w:rPr>
            </w:pPr>
            <w:r>
              <w:rPr>
                <w:rFonts w:hint="eastAsia"/>
                <w:bCs/>
                <w:color w:val="000000"/>
                <w:kern w:val="0"/>
                <w:sz w:val="21"/>
                <w:szCs w:val="21"/>
              </w:rPr>
              <w:t>Q＜200且W＜6000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13" w:type="dxa"/>
            <w:noWrap w:val="0"/>
            <w:vAlign w:val="center"/>
          </w:tcPr>
          <w:p>
            <w:pPr>
              <w:spacing w:line="320" w:lineRule="exact"/>
              <w:ind w:firstLine="0" w:firstLineChars="0"/>
              <w:jc w:val="center"/>
              <w:rPr>
                <w:rFonts w:hint="eastAsia"/>
                <w:bCs/>
                <w:color w:val="000000"/>
                <w:kern w:val="0"/>
                <w:sz w:val="21"/>
                <w:szCs w:val="21"/>
              </w:rPr>
            </w:pPr>
            <w:r>
              <w:rPr>
                <w:rFonts w:hint="eastAsia"/>
                <w:bCs/>
                <w:color w:val="000000"/>
                <w:kern w:val="0"/>
                <w:sz w:val="21"/>
                <w:szCs w:val="21"/>
              </w:rPr>
              <w:t>三级B</w:t>
            </w:r>
          </w:p>
        </w:tc>
        <w:tc>
          <w:tcPr>
            <w:tcW w:w="2065" w:type="dxa"/>
            <w:noWrap w:val="0"/>
            <w:vAlign w:val="center"/>
          </w:tcPr>
          <w:p>
            <w:pPr>
              <w:spacing w:line="320" w:lineRule="exact"/>
              <w:ind w:firstLine="0" w:firstLineChars="0"/>
              <w:jc w:val="center"/>
              <w:rPr>
                <w:rFonts w:hint="eastAsia"/>
                <w:bCs/>
                <w:color w:val="000000"/>
                <w:kern w:val="0"/>
                <w:sz w:val="21"/>
                <w:szCs w:val="21"/>
              </w:rPr>
            </w:pPr>
            <w:r>
              <w:rPr>
                <w:rFonts w:hint="eastAsia"/>
                <w:bCs/>
                <w:color w:val="000000"/>
                <w:kern w:val="0"/>
                <w:sz w:val="21"/>
                <w:szCs w:val="21"/>
              </w:rPr>
              <w:t>间接排放</w:t>
            </w:r>
          </w:p>
        </w:tc>
        <w:tc>
          <w:tcPr>
            <w:tcW w:w="5193" w:type="dxa"/>
            <w:noWrap w:val="0"/>
            <w:vAlign w:val="center"/>
          </w:tcPr>
          <w:p>
            <w:pPr>
              <w:spacing w:line="320" w:lineRule="exact"/>
              <w:ind w:firstLine="0" w:firstLineChars="0"/>
              <w:jc w:val="center"/>
              <w:rPr>
                <w:rFonts w:hint="eastAsia"/>
                <w:bCs/>
                <w:color w:val="000000"/>
                <w:kern w:val="0"/>
                <w:sz w:val="21"/>
                <w:szCs w:val="21"/>
              </w:rPr>
            </w:pPr>
            <w:r>
              <w:rPr>
                <w:rFonts w:hint="eastAsia"/>
                <w:bCs/>
                <w:color w:val="000000"/>
                <w:kern w:val="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1" w:type="dxa"/>
            <w:gridSpan w:val="3"/>
            <w:noWrap w:val="0"/>
            <w:vAlign w:val="center"/>
          </w:tcPr>
          <w:p>
            <w:pPr>
              <w:spacing w:line="320" w:lineRule="exact"/>
              <w:ind w:firstLine="0" w:firstLineChars="0"/>
              <w:rPr>
                <w:rFonts w:hint="eastAsia"/>
                <w:bCs/>
                <w:color w:val="000000"/>
                <w:kern w:val="0"/>
                <w:sz w:val="21"/>
                <w:szCs w:val="21"/>
              </w:rPr>
            </w:pPr>
            <w:r>
              <w:rPr>
                <w:rFonts w:hint="eastAsia"/>
                <w:bCs/>
                <w:color w:val="000000"/>
                <w:kern w:val="0"/>
                <w:sz w:val="21"/>
                <w:szCs w:val="21"/>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spacing w:line="320" w:lineRule="exact"/>
              <w:ind w:firstLine="0" w:firstLineChars="0"/>
              <w:rPr>
                <w:rFonts w:hint="eastAsia"/>
                <w:bCs/>
                <w:color w:val="000000"/>
                <w:kern w:val="0"/>
                <w:sz w:val="21"/>
                <w:szCs w:val="21"/>
              </w:rPr>
            </w:pPr>
            <w:r>
              <w:rPr>
                <w:rFonts w:hint="eastAsia"/>
                <w:bCs/>
                <w:color w:val="000000"/>
                <w:kern w:val="0"/>
                <w:sz w:val="21"/>
                <w:szCs w:val="21"/>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spacing w:line="320" w:lineRule="exact"/>
              <w:ind w:firstLine="0" w:firstLineChars="0"/>
              <w:rPr>
                <w:rFonts w:hint="eastAsia"/>
                <w:bCs/>
                <w:color w:val="000000"/>
                <w:kern w:val="0"/>
                <w:sz w:val="21"/>
                <w:szCs w:val="21"/>
              </w:rPr>
            </w:pPr>
            <w:r>
              <w:rPr>
                <w:rFonts w:hint="eastAsia"/>
                <w:bCs/>
                <w:color w:val="000000"/>
                <w:kern w:val="0"/>
                <w:sz w:val="21"/>
                <w:szCs w:val="21"/>
              </w:rPr>
              <w:t>注3：厂区存在堆积物（露天堆放的原料、燃料、废渣等以及垃圾堆放场）、降尘污染的，应将初期雨污水纳入废水排放量，相应的主要污染物纳入水污染当量计算。</w:t>
            </w:r>
          </w:p>
          <w:p>
            <w:pPr>
              <w:spacing w:line="320" w:lineRule="exact"/>
              <w:ind w:firstLine="0" w:firstLineChars="0"/>
              <w:rPr>
                <w:rFonts w:hint="eastAsia"/>
                <w:bCs/>
                <w:color w:val="000000"/>
                <w:kern w:val="0"/>
                <w:sz w:val="21"/>
                <w:szCs w:val="21"/>
              </w:rPr>
            </w:pPr>
            <w:r>
              <w:rPr>
                <w:rFonts w:hint="eastAsia"/>
                <w:bCs/>
                <w:color w:val="000000"/>
                <w:kern w:val="0"/>
                <w:sz w:val="21"/>
                <w:szCs w:val="21"/>
              </w:rPr>
              <w:t>注4：建设项目直接排放第一类污染物的，其评价等级为一级；建设项目直接排放的污染物为受纳水体超标因子的，评价等级不低于二级。</w:t>
            </w:r>
          </w:p>
          <w:p>
            <w:pPr>
              <w:spacing w:line="320" w:lineRule="exact"/>
              <w:ind w:firstLine="0" w:firstLineChars="0"/>
              <w:rPr>
                <w:rFonts w:hint="eastAsia"/>
                <w:bCs/>
                <w:color w:val="000000"/>
                <w:kern w:val="0"/>
                <w:sz w:val="21"/>
                <w:szCs w:val="21"/>
              </w:rPr>
            </w:pPr>
            <w:r>
              <w:rPr>
                <w:rFonts w:hint="eastAsia"/>
                <w:bCs/>
                <w:color w:val="000000"/>
                <w:kern w:val="0"/>
                <w:sz w:val="21"/>
                <w:szCs w:val="21"/>
              </w:rPr>
              <w:t>注5：直接排放受纳水体影响范围涉及饮用水水源保护区、饮用水取水口、重点保护与珍稀水生生物的栖息地、重要水生生物的自然产卵场等保护目标时，评价等级不低于二级。</w:t>
            </w:r>
          </w:p>
          <w:p>
            <w:pPr>
              <w:spacing w:line="320" w:lineRule="exact"/>
              <w:ind w:firstLine="0" w:firstLineChars="0"/>
              <w:rPr>
                <w:rFonts w:hint="eastAsia"/>
                <w:bCs/>
                <w:color w:val="000000"/>
                <w:kern w:val="0"/>
                <w:sz w:val="21"/>
                <w:szCs w:val="21"/>
              </w:rPr>
            </w:pPr>
            <w:r>
              <w:rPr>
                <w:rFonts w:hint="eastAsia"/>
                <w:bCs/>
                <w:color w:val="000000"/>
                <w:kern w:val="0"/>
                <w:sz w:val="21"/>
                <w:szCs w:val="21"/>
              </w:rPr>
              <w:t>注6：建设项目向河流、湖库排放温排水引起受纳水体水温变化超过水环境质量标准要求，且评价范围有水温敏感目标时，评价等级为一级。</w:t>
            </w:r>
          </w:p>
          <w:p>
            <w:pPr>
              <w:spacing w:line="320" w:lineRule="exact"/>
              <w:ind w:firstLine="0" w:firstLineChars="0"/>
              <w:rPr>
                <w:rFonts w:hint="eastAsia"/>
                <w:bCs/>
                <w:color w:val="000000"/>
                <w:kern w:val="0"/>
                <w:sz w:val="21"/>
                <w:szCs w:val="21"/>
              </w:rPr>
            </w:pPr>
            <w:r>
              <w:rPr>
                <w:rFonts w:hint="eastAsia"/>
                <w:bCs/>
                <w:color w:val="000000"/>
                <w:kern w:val="0"/>
                <w:sz w:val="21"/>
                <w:szCs w:val="21"/>
              </w:rPr>
              <w:t>注7：建设项目利用海水作为调节温度介质，排水量≥500万m</w:t>
            </w:r>
            <w:r>
              <w:rPr>
                <w:rFonts w:hint="eastAsia"/>
                <w:bCs/>
                <w:color w:val="000000"/>
                <w:kern w:val="0"/>
                <w:sz w:val="21"/>
                <w:szCs w:val="21"/>
                <w:vertAlign w:val="superscript"/>
              </w:rPr>
              <w:t>3</w:t>
            </w:r>
            <w:r>
              <w:rPr>
                <w:rFonts w:hint="eastAsia"/>
                <w:bCs/>
                <w:color w:val="000000"/>
                <w:kern w:val="0"/>
                <w:sz w:val="21"/>
                <w:szCs w:val="21"/>
              </w:rPr>
              <w:t>/d，评价等级为一级；排水量＜500万m</w:t>
            </w:r>
            <w:r>
              <w:rPr>
                <w:rFonts w:hint="eastAsia"/>
                <w:bCs/>
                <w:color w:val="000000"/>
                <w:kern w:val="0"/>
                <w:sz w:val="21"/>
                <w:szCs w:val="21"/>
                <w:vertAlign w:val="superscript"/>
              </w:rPr>
              <w:t>3</w:t>
            </w:r>
            <w:r>
              <w:rPr>
                <w:rFonts w:hint="eastAsia"/>
                <w:bCs/>
                <w:color w:val="000000"/>
                <w:kern w:val="0"/>
                <w:sz w:val="21"/>
                <w:szCs w:val="21"/>
              </w:rPr>
              <w:t>/d，评价等级为二级。</w:t>
            </w:r>
          </w:p>
          <w:p>
            <w:pPr>
              <w:spacing w:line="320" w:lineRule="exact"/>
              <w:ind w:firstLine="0" w:firstLineChars="0"/>
              <w:rPr>
                <w:rFonts w:hint="eastAsia"/>
                <w:bCs/>
                <w:color w:val="000000"/>
                <w:kern w:val="0"/>
                <w:sz w:val="21"/>
                <w:szCs w:val="21"/>
              </w:rPr>
            </w:pPr>
            <w:r>
              <w:rPr>
                <w:rFonts w:hint="eastAsia"/>
                <w:bCs/>
                <w:color w:val="000000"/>
                <w:kern w:val="0"/>
                <w:sz w:val="21"/>
                <w:szCs w:val="21"/>
              </w:rPr>
              <w:t>注8：仅涉及清净下水排放的，如其排放水质满足受纳水体水环境质量标准要求的，评价等级为三级A。</w:t>
            </w:r>
          </w:p>
          <w:p>
            <w:pPr>
              <w:spacing w:line="320" w:lineRule="exact"/>
              <w:ind w:firstLine="0" w:firstLineChars="0"/>
              <w:rPr>
                <w:rFonts w:hint="eastAsia"/>
                <w:bCs/>
                <w:color w:val="000000"/>
                <w:kern w:val="0"/>
                <w:sz w:val="21"/>
                <w:szCs w:val="21"/>
              </w:rPr>
            </w:pPr>
            <w:r>
              <w:rPr>
                <w:rFonts w:hint="eastAsia"/>
                <w:bCs/>
                <w:color w:val="000000"/>
                <w:kern w:val="0"/>
                <w:sz w:val="21"/>
                <w:szCs w:val="21"/>
              </w:rPr>
              <w:t>注9：依托现有排放口，且对外环境未新增排放污染物的直接排放建设项目，评价等级参照间接排放，定为三级B。</w:t>
            </w:r>
          </w:p>
          <w:p>
            <w:pPr>
              <w:spacing w:line="320" w:lineRule="exact"/>
              <w:ind w:firstLine="0" w:firstLineChars="0"/>
              <w:rPr>
                <w:rFonts w:hint="eastAsia"/>
                <w:bCs/>
                <w:color w:val="000000"/>
                <w:kern w:val="0"/>
                <w:sz w:val="21"/>
                <w:szCs w:val="21"/>
              </w:rPr>
            </w:pPr>
            <w:r>
              <w:rPr>
                <w:rFonts w:hint="eastAsia"/>
                <w:bCs/>
                <w:color w:val="000000"/>
                <w:kern w:val="0"/>
                <w:sz w:val="21"/>
                <w:szCs w:val="21"/>
              </w:rPr>
              <w:t>注10：建设项目生产工艺中有废水产生，但作为回水利用，不排放到外环境的，按三级B评价。</w:t>
            </w:r>
          </w:p>
        </w:tc>
      </w:tr>
    </w:tbl>
    <w:p>
      <w:pPr>
        <w:pStyle w:val="124"/>
        <w:bidi w:val="0"/>
        <w:rPr>
          <w:rFonts w:hint="eastAsia"/>
          <w:lang w:val="en-US" w:eastAsia="zh-CN"/>
        </w:rPr>
      </w:pPr>
      <w:r>
        <w:rPr>
          <w:rFonts w:hint="eastAsia"/>
          <w:lang w:val="en-US" w:eastAsia="zh-CN"/>
        </w:rPr>
        <w:t>评价范围</w:t>
      </w:r>
    </w:p>
    <w:p>
      <w:pPr>
        <w:ind w:firstLine="480"/>
        <w:rPr>
          <w:rFonts w:hint="eastAsia" w:ascii="Times New Roman" w:hAnsi="Times New Roman"/>
          <w:u w:val="none"/>
          <w:lang w:val="en-US" w:eastAsia="zh-CN"/>
        </w:rPr>
      </w:pPr>
      <w:r>
        <w:rPr>
          <w:rFonts w:hint="eastAsia" w:ascii="Times New Roman" w:hAnsi="Times New Roman"/>
          <w:u w:val="none"/>
          <w:lang w:eastAsia="zh-CN"/>
        </w:rPr>
        <w:t>根据《环境影响评价技术导则－地面水环境》（HJ/T2.3－2018）中5.3评价范围确定三级</w:t>
      </w:r>
      <w:r>
        <w:rPr>
          <w:rFonts w:hint="eastAsia" w:ascii="Times New Roman" w:hAnsi="Times New Roman"/>
          <w:u w:val="none"/>
          <w:lang w:val="en-US" w:eastAsia="zh-CN"/>
        </w:rPr>
        <w:t>B评价范围为：</w:t>
      </w:r>
    </w:p>
    <w:p>
      <w:pPr>
        <w:pStyle w:val="16"/>
        <w:rPr>
          <w:rFonts w:hint="default"/>
          <w:lang w:val="en-US" w:eastAsia="zh-CN"/>
        </w:rPr>
      </w:pPr>
      <w:r>
        <w:rPr>
          <w:rFonts w:hint="eastAsia" w:ascii="Times New Roman" w:hAnsi="Times New Roman"/>
          <w:u w:val="none"/>
          <w:lang w:val="en-US" w:eastAsia="zh-CN"/>
        </w:rPr>
        <w:t>a</w:t>
      </w:r>
      <w:r>
        <w:rPr>
          <w:rFonts w:hint="eastAsia" w:ascii="Times New Roman" w:hAnsi="Times New Roman"/>
          <w:u w:val="none"/>
          <w:lang w:eastAsia="zh-CN"/>
        </w:rPr>
        <w:t>）</w:t>
      </w:r>
      <w:r>
        <w:rPr>
          <w:rFonts w:hint="default"/>
          <w:lang w:val="en-US" w:eastAsia="zh-CN"/>
        </w:rPr>
        <w:t>应满足其依托污水处理设施环境可行性分析的要求</w:t>
      </w:r>
    </w:p>
    <w:p>
      <w:pPr>
        <w:pStyle w:val="16"/>
        <w:rPr>
          <w:rFonts w:hint="default"/>
          <w:lang w:val="en-US" w:eastAsia="zh-CN"/>
        </w:rPr>
      </w:pPr>
      <w:r>
        <w:rPr>
          <w:rFonts w:hint="eastAsia" w:ascii="Times New Roman" w:hAnsi="Times New Roman"/>
          <w:u w:val="none"/>
          <w:lang w:eastAsia="zh-CN"/>
        </w:rPr>
        <w:t>b）</w:t>
      </w:r>
      <w:r>
        <w:rPr>
          <w:rFonts w:hint="default"/>
          <w:lang w:val="en-US" w:eastAsia="zh-CN"/>
        </w:rPr>
        <w:t>涉及地表水环境风险的，应覆盖环境风险影响范围内所及的水环境保护目标水域。</w:t>
      </w:r>
    </w:p>
    <w:p>
      <w:pPr>
        <w:ind w:firstLine="480"/>
        <w:rPr>
          <w:color w:val="000000"/>
          <w:kern w:val="0"/>
          <w:u w:val="none"/>
        </w:rPr>
      </w:pPr>
      <w:r>
        <w:rPr>
          <w:rFonts w:hint="eastAsia"/>
          <w:color w:val="000000"/>
          <w:kern w:val="0"/>
          <w:u w:val="none"/>
          <w:lang w:eastAsia="zh-CN"/>
        </w:rPr>
        <w:t>结合项目实际情况，项目设置评价范围为花垣县工业集中区污水处理厂尾水入花垣河上游500m至尾水入花垣河下游1000m</w:t>
      </w:r>
      <w:r>
        <w:rPr>
          <w:rFonts w:hint="eastAsia"/>
          <w:color w:val="000000"/>
          <w:kern w:val="0"/>
          <w:u w:val="none"/>
        </w:rPr>
        <w:t>。</w:t>
      </w:r>
    </w:p>
    <w:p>
      <w:pPr>
        <w:pStyle w:val="8"/>
        <w:spacing w:before="163"/>
        <w:rPr>
          <w:rFonts w:hint="default" w:eastAsia="宋体"/>
          <w:b/>
          <w:bCs/>
          <w:color w:val="000000"/>
          <w:lang w:val="en-US" w:eastAsia="zh-CN"/>
        </w:rPr>
      </w:pPr>
      <w:bookmarkStart w:id="112" w:name="_Toc489350123"/>
      <w:bookmarkStart w:id="113" w:name="_Toc489349966"/>
      <w:bookmarkStart w:id="114" w:name="_Toc489350224"/>
      <w:r>
        <w:rPr>
          <w:rFonts w:hint="eastAsia"/>
          <w:b/>
          <w:bCs/>
          <w:color w:val="000000"/>
        </w:rPr>
        <w:t>1.7.</w:t>
      </w:r>
      <w:r>
        <w:rPr>
          <w:rFonts w:hint="eastAsia"/>
          <w:b/>
          <w:bCs/>
          <w:color w:val="000000"/>
          <w:lang w:val="en-US" w:eastAsia="zh-CN"/>
        </w:rPr>
        <w:t>3</w:t>
      </w:r>
      <w:r>
        <w:rPr>
          <w:rFonts w:hint="eastAsia"/>
          <w:b/>
          <w:bCs/>
          <w:color w:val="000000"/>
        </w:rPr>
        <w:t xml:space="preserve"> 地下水</w:t>
      </w:r>
      <w:bookmarkEnd w:id="112"/>
      <w:bookmarkEnd w:id="113"/>
      <w:bookmarkEnd w:id="114"/>
      <w:r>
        <w:rPr>
          <w:rFonts w:hint="eastAsia"/>
          <w:b/>
          <w:bCs/>
          <w:color w:val="000000"/>
          <w:lang w:val="en-US" w:eastAsia="zh-CN"/>
        </w:rPr>
        <w:t>环境影响评价等级及评价范围</w:t>
      </w:r>
    </w:p>
    <w:p>
      <w:pPr>
        <w:ind w:firstLine="480"/>
        <w:rPr>
          <w:color w:val="000000"/>
          <w:kern w:val="0"/>
        </w:rPr>
      </w:pPr>
      <w:r>
        <w:rPr>
          <w:rFonts w:hint="eastAsia"/>
          <w:color w:val="000000"/>
          <w:kern w:val="0"/>
        </w:rPr>
        <w:t>根据《环境影响评价技术导则 地下水环境》（HJ610-201</w:t>
      </w:r>
      <w:r>
        <w:rPr>
          <w:color w:val="000000"/>
          <w:kern w:val="0"/>
        </w:rPr>
        <w:t>6</w:t>
      </w:r>
      <w:r>
        <w:rPr>
          <w:rFonts w:hint="eastAsia"/>
          <w:color w:val="000000"/>
          <w:kern w:val="0"/>
        </w:rPr>
        <w:t>）的规定，根据建设项目对地下水环境影响的程度，结合《建设项目环境影响评价分类管理名录》，见建设项目分为四类。其中</w:t>
      </w:r>
      <w:r>
        <w:rPr>
          <w:color w:val="000000"/>
          <w:kern w:val="0"/>
        </w:rPr>
        <w:fldChar w:fldCharType="begin"/>
      </w:r>
      <w:r>
        <w:rPr>
          <w:color w:val="000000"/>
          <w:kern w:val="0"/>
        </w:rPr>
        <w:instrText xml:space="preserve"> </w:instrText>
      </w:r>
      <w:r>
        <w:rPr>
          <w:rFonts w:hint="eastAsia"/>
          <w:color w:val="000000"/>
          <w:kern w:val="0"/>
        </w:rPr>
        <w:instrText xml:space="preserve">= 1 \* ROMAN</w:instrText>
      </w:r>
      <w:r>
        <w:rPr>
          <w:color w:val="000000"/>
          <w:kern w:val="0"/>
        </w:rPr>
        <w:instrText xml:space="preserve"> </w:instrText>
      </w:r>
      <w:r>
        <w:rPr>
          <w:color w:val="000000"/>
          <w:kern w:val="0"/>
        </w:rPr>
        <w:fldChar w:fldCharType="separate"/>
      </w:r>
      <w:r>
        <w:rPr>
          <w:color w:val="000000"/>
          <w:kern w:val="0"/>
        </w:rPr>
        <w:t>I</w:t>
      </w:r>
      <w:r>
        <w:rPr>
          <w:color w:val="000000"/>
          <w:kern w:val="0"/>
        </w:rPr>
        <w:fldChar w:fldCharType="end"/>
      </w:r>
      <w:r>
        <w:rPr>
          <w:rFonts w:hint="eastAsia"/>
          <w:color w:val="000000"/>
          <w:kern w:val="0"/>
        </w:rPr>
        <w:t>类、</w:t>
      </w:r>
      <w:r>
        <w:rPr>
          <w:color w:val="000000"/>
          <w:kern w:val="0"/>
        </w:rPr>
        <w:fldChar w:fldCharType="begin"/>
      </w:r>
      <w:r>
        <w:rPr>
          <w:color w:val="000000"/>
          <w:kern w:val="0"/>
        </w:rPr>
        <w:instrText xml:space="preserve"> </w:instrText>
      </w:r>
      <w:r>
        <w:rPr>
          <w:rFonts w:hint="eastAsia"/>
          <w:color w:val="000000"/>
          <w:kern w:val="0"/>
        </w:rPr>
        <w:instrText xml:space="preserve">= 2 \* ROMAN</w:instrText>
      </w:r>
      <w:r>
        <w:rPr>
          <w:color w:val="000000"/>
          <w:kern w:val="0"/>
        </w:rPr>
        <w:instrText xml:space="preserve"> </w:instrText>
      </w:r>
      <w:r>
        <w:rPr>
          <w:color w:val="000000"/>
          <w:kern w:val="0"/>
        </w:rPr>
        <w:fldChar w:fldCharType="separate"/>
      </w:r>
      <w:r>
        <w:rPr>
          <w:color w:val="000000"/>
          <w:kern w:val="0"/>
        </w:rPr>
        <w:t>II</w:t>
      </w:r>
      <w:r>
        <w:rPr>
          <w:color w:val="000000"/>
          <w:kern w:val="0"/>
        </w:rPr>
        <w:fldChar w:fldCharType="end"/>
      </w:r>
      <w:r>
        <w:rPr>
          <w:rFonts w:hint="eastAsia"/>
          <w:color w:val="000000"/>
          <w:kern w:val="0"/>
        </w:rPr>
        <w:t>类、</w:t>
      </w:r>
      <w:r>
        <w:rPr>
          <w:color w:val="000000"/>
          <w:kern w:val="0"/>
        </w:rPr>
        <w:fldChar w:fldCharType="begin"/>
      </w:r>
      <w:r>
        <w:rPr>
          <w:color w:val="000000"/>
          <w:kern w:val="0"/>
        </w:rPr>
        <w:instrText xml:space="preserve"> </w:instrText>
      </w:r>
      <w:r>
        <w:rPr>
          <w:rFonts w:hint="eastAsia"/>
          <w:color w:val="000000"/>
          <w:kern w:val="0"/>
        </w:rPr>
        <w:instrText xml:space="preserve">= 3 \* ROMAN</w:instrText>
      </w:r>
      <w:r>
        <w:rPr>
          <w:color w:val="000000"/>
          <w:kern w:val="0"/>
        </w:rPr>
        <w:instrText xml:space="preserve"> </w:instrText>
      </w:r>
      <w:r>
        <w:rPr>
          <w:color w:val="000000"/>
          <w:kern w:val="0"/>
        </w:rPr>
        <w:fldChar w:fldCharType="separate"/>
      </w:r>
      <w:r>
        <w:rPr>
          <w:color w:val="000000"/>
          <w:kern w:val="0"/>
        </w:rPr>
        <w:t>III</w:t>
      </w:r>
      <w:r>
        <w:rPr>
          <w:color w:val="000000"/>
          <w:kern w:val="0"/>
        </w:rPr>
        <w:fldChar w:fldCharType="end"/>
      </w:r>
      <w:r>
        <w:rPr>
          <w:rFonts w:hint="eastAsia"/>
          <w:color w:val="000000"/>
          <w:kern w:val="0"/>
        </w:rPr>
        <w:t>类建设项目的地下水环境影响评价执行本标准，</w:t>
      </w:r>
      <w:r>
        <w:rPr>
          <w:color w:val="000000"/>
          <w:kern w:val="0"/>
        </w:rPr>
        <w:fldChar w:fldCharType="begin"/>
      </w:r>
      <w:r>
        <w:rPr>
          <w:color w:val="000000"/>
          <w:kern w:val="0"/>
        </w:rPr>
        <w:instrText xml:space="preserve"> </w:instrText>
      </w:r>
      <w:r>
        <w:rPr>
          <w:rFonts w:hint="eastAsia"/>
          <w:color w:val="000000"/>
          <w:kern w:val="0"/>
        </w:rPr>
        <w:instrText xml:space="preserve">= 4 \* ROMAN</w:instrText>
      </w:r>
      <w:r>
        <w:rPr>
          <w:color w:val="000000"/>
          <w:kern w:val="0"/>
        </w:rPr>
        <w:instrText xml:space="preserve"> </w:instrText>
      </w:r>
      <w:r>
        <w:rPr>
          <w:color w:val="000000"/>
          <w:kern w:val="0"/>
        </w:rPr>
        <w:fldChar w:fldCharType="separate"/>
      </w:r>
      <w:r>
        <w:rPr>
          <w:color w:val="000000"/>
          <w:kern w:val="0"/>
        </w:rPr>
        <w:t>IV</w:t>
      </w:r>
      <w:r>
        <w:rPr>
          <w:color w:val="000000"/>
          <w:kern w:val="0"/>
        </w:rPr>
        <w:fldChar w:fldCharType="end"/>
      </w:r>
      <w:r>
        <w:rPr>
          <w:rFonts w:hint="eastAsia"/>
          <w:color w:val="000000"/>
          <w:kern w:val="0"/>
        </w:rPr>
        <w:t>类建设项目不开展地下水环境评价。</w:t>
      </w:r>
    </w:p>
    <w:p>
      <w:pPr>
        <w:ind w:firstLine="480"/>
        <w:rPr>
          <w:color w:val="000000"/>
          <w:kern w:val="0"/>
        </w:rPr>
      </w:pPr>
      <w:r>
        <w:rPr>
          <w:rFonts w:hint="eastAsia"/>
          <w:color w:val="000000"/>
          <w:kern w:val="0"/>
        </w:rPr>
        <w:t>地下水环境影响评价工作等级的划分应依据建设项目行业分类和地下水环境敏感程度分级进行判定，可划分为一、二、三级。建设项目的地下水敏感程度可分为敏感、较敏感、不敏感三级，分级原则见表1.7</w:t>
      </w:r>
      <w:r>
        <w:rPr>
          <w:color w:val="000000"/>
          <w:kern w:val="0"/>
        </w:rPr>
        <w:t>-</w:t>
      </w:r>
      <w:r>
        <w:rPr>
          <w:rFonts w:hint="eastAsia"/>
          <w:color w:val="000000"/>
          <w:kern w:val="0"/>
          <w:lang w:val="en-US" w:eastAsia="zh-CN"/>
        </w:rPr>
        <w:t>2</w:t>
      </w:r>
      <w:r>
        <w:rPr>
          <w:rFonts w:hint="eastAsia"/>
          <w:color w:val="000000"/>
          <w:kern w:val="0"/>
        </w:rPr>
        <w:t>。评价等级分级见表1</w:t>
      </w:r>
      <w:r>
        <w:rPr>
          <w:color w:val="000000"/>
          <w:kern w:val="0"/>
        </w:rPr>
        <w:t>.</w:t>
      </w:r>
      <w:r>
        <w:rPr>
          <w:rFonts w:hint="eastAsia"/>
          <w:color w:val="000000"/>
          <w:kern w:val="0"/>
        </w:rPr>
        <w:t>7-</w:t>
      </w:r>
      <w:r>
        <w:rPr>
          <w:rFonts w:hint="eastAsia"/>
          <w:color w:val="000000"/>
          <w:kern w:val="0"/>
          <w:lang w:val="en-US" w:eastAsia="zh-CN"/>
        </w:rPr>
        <w:t>3</w:t>
      </w:r>
      <w:r>
        <w:rPr>
          <w:rFonts w:hint="eastAsia"/>
          <w:color w:val="000000"/>
          <w:kern w:val="0"/>
        </w:rPr>
        <w:t>。</w:t>
      </w:r>
    </w:p>
    <w:p>
      <w:pPr>
        <w:pStyle w:val="98"/>
        <w:rPr>
          <w:color w:val="000000"/>
        </w:rPr>
      </w:pPr>
      <w:r>
        <w:rPr>
          <w:rFonts w:hint="eastAsia"/>
          <w:color w:val="000000"/>
        </w:rPr>
        <w:t>表1.7-</w:t>
      </w:r>
      <w:r>
        <w:rPr>
          <w:rFonts w:hint="eastAsia"/>
          <w:color w:val="000000"/>
          <w:lang w:val="en-US" w:eastAsia="zh-CN"/>
        </w:rPr>
        <w:t>2</w:t>
      </w:r>
      <w:r>
        <w:rPr>
          <w:color w:val="000000"/>
        </w:rPr>
        <w:t xml:space="preserve">  </w:t>
      </w:r>
      <w:r>
        <w:rPr>
          <w:rFonts w:hint="eastAsia"/>
          <w:color w:val="000000"/>
        </w:rPr>
        <w:t>地下水环境敏感程度分级表</w:t>
      </w:r>
    </w:p>
    <w:tbl>
      <w:tblPr>
        <w:tblStyle w:val="37"/>
        <w:tblW w:w="84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7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64" w:type="dxa"/>
            <w:noWrap w:val="0"/>
            <w:vAlign w:val="center"/>
          </w:tcPr>
          <w:p>
            <w:pPr>
              <w:pStyle w:val="62"/>
              <w:rPr>
                <w:b/>
                <w:color w:val="000000"/>
                <w:sz w:val="21"/>
                <w:szCs w:val="21"/>
              </w:rPr>
            </w:pPr>
            <w:r>
              <w:rPr>
                <w:rFonts w:hint="eastAsia"/>
                <w:b/>
                <w:color w:val="000000"/>
                <w:sz w:val="21"/>
                <w:szCs w:val="21"/>
              </w:rPr>
              <w:t>敏感程度</w:t>
            </w:r>
          </w:p>
        </w:tc>
        <w:tc>
          <w:tcPr>
            <w:tcW w:w="7419" w:type="dxa"/>
            <w:noWrap w:val="0"/>
            <w:vAlign w:val="center"/>
          </w:tcPr>
          <w:p>
            <w:pPr>
              <w:pStyle w:val="62"/>
              <w:rPr>
                <w:b/>
                <w:color w:val="000000"/>
                <w:sz w:val="21"/>
                <w:szCs w:val="21"/>
              </w:rPr>
            </w:pPr>
            <w:r>
              <w:rPr>
                <w:rFonts w:hint="eastAsia"/>
                <w:b/>
                <w:color w:val="000000"/>
                <w:sz w:val="21"/>
                <w:szCs w:val="21"/>
              </w:rPr>
              <w:t>地下水环境敏感特征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1064" w:type="dxa"/>
            <w:noWrap w:val="0"/>
            <w:vAlign w:val="center"/>
          </w:tcPr>
          <w:p>
            <w:pPr>
              <w:pStyle w:val="62"/>
              <w:rPr>
                <w:color w:val="000000"/>
              </w:rPr>
            </w:pPr>
            <w:r>
              <w:rPr>
                <w:rFonts w:hint="eastAsia"/>
                <w:color w:val="000000"/>
              </w:rPr>
              <w:t>敏感</w:t>
            </w:r>
          </w:p>
        </w:tc>
        <w:tc>
          <w:tcPr>
            <w:tcW w:w="7419" w:type="dxa"/>
            <w:noWrap w:val="0"/>
            <w:vAlign w:val="center"/>
          </w:tcPr>
          <w:p>
            <w:pPr>
              <w:pStyle w:val="64"/>
              <w:ind w:firstLine="0" w:firstLineChars="0"/>
              <w:jc w:val="center"/>
              <w:rPr>
                <w:color w:val="000000"/>
                <w:kern w:val="0"/>
              </w:rPr>
            </w:pPr>
            <w:r>
              <w:rPr>
                <w:rFonts w:hint="eastAsia"/>
                <w:color w:val="000000"/>
                <w:kern w:val="0"/>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1064" w:type="dxa"/>
            <w:noWrap w:val="0"/>
            <w:vAlign w:val="center"/>
          </w:tcPr>
          <w:p>
            <w:pPr>
              <w:pStyle w:val="62"/>
              <w:rPr>
                <w:color w:val="000000"/>
              </w:rPr>
            </w:pPr>
            <w:r>
              <w:rPr>
                <w:rFonts w:hint="eastAsia"/>
                <w:color w:val="000000"/>
              </w:rPr>
              <w:t>较敏感</w:t>
            </w:r>
          </w:p>
        </w:tc>
        <w:tc>
          <w:tcPr>
            <w:tcW w:w="7419" w:type="dxa"/>
            <w:noWrap w:val="0"/>
            <w:vAlign w:val="center"/>
          </w:tcPr>
          <w:p>
            <w:pPr>
              <w:pStyle w:val="64"/>
              <w:ind w:firstLine="0" w:firstLineChars="0"/>
              <w:jc w:val="center"/>
              <w:rPr>
                <w:color w:val="000000"/>
                <w:kern w:val="0"/>
              </w:rPr>
            </w:pPr>
            <w:r>
              <w:rPr>
                <w:rFonts w:hint="eastAsia"/>
                <w:color w:val="000000"/>
                <w:kern w:val="0"/>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64" w:type="dxa"/>
            <w:noWrap w:val="0"/>
            <w:vAlign w:val="center"/>
          </w:tcPr>
          <w:p>
            <w:pPr>
              <w:pStyle w:val="62"/>
              <w:rPr>
                <w:color w:val="000000"/>
                <w:sz w:val="21"/>
                <w:szCs w:val="21"/>
              </w:rPr>
            </w:pPr>
            <w:r>
              <w:rPr>
                <w:rFonts w:hint="eastAsia"/>
                <w:color w:val="000000"/>
                <w:sz w:val="21"/>
                <w:szCs w:val="21"/>
              </w:rPr>
              <w:t>不敏感</w:t>
            </w:r>
          </w:p>
        </w:tc>
        <w:tc>
          <w:tcPr>
            <w:tcW w:w="7419" w:type="dxa"/>
            <w:noWrap w:val="0"/>
            <w:vAlign w:val="center"/>
          </w:tcPr>
          <w:p>
            <w:pPr>
              <w:pStyle w:val="62"/>
              <w:rPr>
                <w:color w:val="000000"/>
                <w:sz w:val="21"/>
                <w:szCs w:val="21"/>
              </w:rPr>
            </w:pPr>
            <w:r>
              <w:rPr>
                <w:rFonts w:hint="eastAsia"/>
                <w:color w:val="000000"/>
                <w:sz w:val="21"/>
                <w:szCs w:val="21"/>
              </w:rPr>
              <w:t>上述地区之外的其它地区。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483" w:type="dxa"/>
            <w:gridSpan w:val="2"/>
            <w:noWrap w:val="0"/>
            <w:vAlign w:val="center"/>
          </w:tcPr>
          <w:p>
            <w:pPr>
              <w:pStyle w:val="64"/>
              <w:ind w:firstLine="420"/>
              <w:rPr>
                <w:color w:val="000000"/>
                <w:kern w:val="0"/>
              </w:rPr>
            </w:pPr>
            <w:r>
              <w:rPr>
                <w:rFonts w:hint="eastAsia"/>
                <w:color w:val="000000"/>
                <w:kern w:val="0"/>
              </w:rPr>
              <w:t>注：</w:t>
            </w:r>
            <w:r>
              <w:rPr>
                <w:color w:val="000000"/>
                <w:kern w:val="0"/>
              </w:rPr>
              <w:t>a</w:t>
            </w:r>
            <w:r>
              <w:rPr>
                <w:rFonts w:hint="eastAsia"/>
                <w:color w:val="000000"/>
                <w:kern w:val="0"/>
              </w:rPr>
              <w:t>“环境敏感区”是指《建设项目环境影响评价分类管理名录》中所界定的涉及地下水的环境敏感区。</w:t>
            </w:r>
          </w:p>
        </w:tc>
      </w:tr>
    </w:tbl>
    <w:p>
      <w:pPr>
        <w:pStyle w:val="98"/>
        <w:rPr>
          <w:color w:val="000000"/>
        </w:rPr>
      </w:pPr>
      <w:r>
        <w:rPr>
          <w:rFonts w:hint="eastAsia"/>
          <w:color w:val="000000"/>
        </w:rPr>
        <w:t>表1.7-</w:t>
      </w:r>
      <w:r>
        <w:rPr>
          <w:rFonts w:hint="eastAsia"/>
          <w:color w:val="000000"/>
          <w:lang w:val="en-US" w:eastAsia="zh-CN"/>
        </w:rPr>
        <w:t>3</w:t>
      </w:r>
      <w:r>
        <w:rPr>
          <w:color w:val="000000"/>
        </w:rPr>
        <w:t xml:space="preserve">  </w:t>
      </w:r>
      <w:r>
        <w:rPr>
          <w:rFonts w:hint="eastAsia"/>
          <w:color w:val="000000"/>
        </w:rPr>
        <w:t>评价工作等级表</w:t>
      </w:r>
    </w:p>
    <w:tbl>
      <w:tblPr>
        <w:tblStyle w:val="37"/>
        <w:tblW w:w="84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0"/>
        <w:gridCol w:w="2042"/>
        <w:gridCol w:w="2042"/>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jc w:val="center"/>
        </w:trPr>
        <w:tc>
          <w:tcPr>
            <w:tcW w:w="2280" w:type="dxa"/>
            <w:tcBorders>
              <w:bottom w:val="single" w:color="auto" w:sz="4" w:space="0"/>
              <w:tl2br w:val="single" w:color="auto" w:sz="4" w:space="0"/>
            </w:tcBorders>
            <w:noWrap w:val="0"/>
            <w:vAlign w:val="center"/>
          </w:tcPr>
          <w:p>
            <w:pPr>
              <w:pStyle w:val="62"/>
              <w:rPr>
                <w:b/>
                <w:color w:val="000000"/>
                <w:sz w:val="21"/>
                <w:szCs w:val="21"/>
              </w:rPr>
            </w:pPr>
            <w:r>
              <w:rPr>
                <w:rFonts w:hint="eastAsia"/>
                <w:b/>
                <w:color w:val="000000"/>
                <w:sz w:val="21"/>
                <w:szCs w:val="21"/>
              </w:rPr>
              <w:t xml:space="preserve">     </w:t>
            </w:r>
            <w:r>
              <w:rPr>
                <w:b/>
                <w:color w:val="000000"/>
                <w:sz w:val="21"/>
                <w:szCs w:val="21"/>
              </w:rPr>
              <w:t xml:space="preserve">     </w:t>
            </w:r>
            <w:r>
              <w:rPr>
                <w:rFonts w:hint="eastAsia"/>
                <w:b/>
                <w:color w:val="000000"/>
                <w:sz w:val="21"/>
                <w:szCs w:val="21"/>
              </w:rPr>
              <w:t>项目类别</w:t>
            </w:r>
          </w:p>
          <w:p>
            <w:pPr>
              <w:pStyle w:val="62"/>
              <w:jc w:val="both"/>
              <w:rPr>
                <w:b/>
                <w:color w:val="000000"/>
                <w:sz w:val="21"/>
                <w:szCs w:val="21"/>
              </w:rPr>
            </w:pPr>
            <w:r>
              <w:rPr>
                <w:b/>
                <w:color w:val="000000"/>
                <w:sz w:val="21"/>
                <w:szCs w:val="21"/>
              </w:rPr>
              <w:t>环境敏感程度</w:t>
            </w:r>
          </w:p>
        </w:tc>
        <w:tc>
          <w:tcPr>
            <w:tcW w:w="2042" w:type="dxa"/>
            <w:noWrap w:val="0"/>
            <w:vAlign w:val="center"/>
          </w:tcPr>
          <w:p>
            <w:pPr>
              <w:pStyle w:val="62"/>
              <w:rPr>
                <w:b/>
                <w:color w:val="000000"/>
                <w:sz w:val="21"/>
                <w:szCs w:val="21"/>
              </w:rPr>
            </w:pPr>
            <w:r>
              <w:rPr>
                <w:b/>
                <w:color w:val="000000"/>
                <w:sz w:val="21"/>
                <w:szCs w:val="21"/>
              </w:rPr>
              <w:fldChar w:fldCharType="begin"/>
            </w:r>
            <w:r>
              <w:rPr>
                <w:b/>
                <w:color w:val="000000"/>
                <w:sz w:val="21"/>
                <w:szCs w:val="21"/>
              </w:rPr>
              <w:instrText xml:space="preserve"> </w:instrText>
            </w:r>
            <w:r>
              <w:rPr>
                <w:rFonts w:hint="eastAsia"/>
                <w:b/>
                <w:color w:val="000000"/>
                <w:sz w:val="21"/>
                <w:szCs w:val="21"/>
              </w:rPr>
              <w:instrText xml:space="preserve">= 1 \* ROMAN</w:instrText>
            </w:r>
            <w:r>
              <w:rPr>
                <w:b/>
                <w:color w:val="000000"/>
                <w:sz w:val="21"/>
                <w:szCs w:val="21"/>
              </w:rPr>
              <w:instrText xml:space="preserve"> </w:instrText>
            </w:r>
            <w:r>
              <w:rPr>
                <w:b/>
                <w:color w:val="000000"/>
                <w:sz w:val="21"/>
                <w:szCs w:val="21"/>
              </w:rPr>
              <w:fldChar w:fldCharType="separate"/>
            </w:r>
            <w:r>
              <w:rPr>
                <w:b/>
                <w:color w:val="000000"/>
                <w:sz w:val="21"/>
                <w:szCs w:val="21"/>
              </w:rPr>
              <w:t>I</w:t>
            </w:r>
            <w:r>
              <w:rPr>
                <w:b/>
                <w:color w:val="000000"/>
                <w:sz w:val="21"/>
                <w:szCs w:val="21"/>
              </w:rPr>
              <w:fldChar w:fldCharType="end"/>
            </w:r>
            <w:r>
              <w:rPr>
                <w:rFonts w:hint="eastAsia"/>
                <w:b/>
                <w:color w:val="000000"/>
                <w:sz w:val="21"/>
                <w:szCs w:val="21"/>
              </w:rPr>
              <w:t>类项目</w:t>
            </w:r>
          </w:p>
        </w:tc>
        <w:tc>
          <w:tcPr>
            <w:tcW w:w="2042" w:type="dxa"/>
            <w:noWrap w:val="0"/>
            <w:vAlign w:val="center"/>
          </w:tcPr>
          <w:p>
            <w:pPr>
              <w:pStyle w:val="62"/>
              <w:rPr>
                <w:b/>
                <w:color w:val="000000"/>
                <w:sz w:val="21"/>
                <w:szCs w:val="21"/>
              </w:rPr>
            </w:pPr>
            <w:r>
              <w:rPr>
                <w:b/>
                <w:color w:val="000000"/>
                <w:sz w:val="21"/>
                <w:szCs w:val="21"/>
              </w:rPr>
              <w:fldChar w:fldCharType="begin"/>
            </w:r>
            <w:r>
              <w:rPr>
                <w:b/>
                <w:color w:val="000000"/>
                <w:sz w:val="21"/>
                <w:szCs w:val="21"/>
              </w:rPr>
              <w:instrText xml:space="preserve"> </w:instrText>
            </w:r>
            <w:r>
              <w:rPr>
                <w:rFonts w:hint="eastAsia"/>
                <w:b/>
                <w:color w:val="000000"/>
                <w:sz w:val="21"/>
                <w:szCs w:val="21"/>
              </w:rPr>
              <w:instrText xml:space="preserve">= 2 \* ROMAN</w:instrText>
            </w:r>
            <w:r>
              <w:rPr>
                <w:b/>
                <w:color w:val="000000"/>
                <w:sz w:val="21"/>
                <w:szCs w:val="21"/>
              </w:rPr>
              <w:instrText xml:space="preserve"> </w:instrText>
            </w:r>
            <w:r>
              <w:rPr>
                <w:b/>
                <w:color w:val="000000"/>
                <w:sz w:val="21"/>
                <w:szCs w:val="21"/>
              </w:rPr>
              <w:fldChar w:fldCharType="separate"/>
            </w:r>
            <w:r>
              <w:rPr>
                <w:b/>
                <w:color w:val="000000"/>
                <w:sz w:val="21"/>
                <w:szCs w:val="21"/>
              </w:rPr>
              <w:t>II</w:t>
            </w:r>
            <w:r>
              <w:rPr>
                <w:b/>
                <w:color w:val="000000"/>
                <w:sz w:val="21"/>
                <w:szCs w:val="21"/>
              </w:rPr>
              <w:fldChar w:fldCharType="end"/>
            </w:r>
            <w:r>
              <w:rPr>
                <w:rFonts w:hint="eastAsia"/>
                <w:b/>
                <w:color w:val="000000"/>
                <w:sz w:val="21"/>
                <w:szCs w:val="21"/>
              </w:rPr>
              <w:t>类项目</w:t>
            </w:r>
          </w:p>
        </w:tc>
        <w:tc>
          <w:tcPr>
            <w:tcW w:w="2042" w:type="dxa"/>
            <w:noWrap w:val="0"/>
            <w:vAlign w:val="center"/>
          </w:tcPr>
          <w:p>
            <w:pPr>
              <w:pStyle w:val="62"/>
              <w:rPr>
                <w:b/>
                <w:color w:val="000000"/>
                <w:sz w:val="21"/>
                <w:szCs w:val="21"/>
              </w:rPr>
            </w:pPr>
            <w:r>
              <w:rPr>
                <w:b/>
                <w:color w:val="000000"/>
                <w:sz w:val="21"/>
                <w:szCs w:val="21"/>
              </w:rPr>
              <w:fldChar w:fldCharType="begin"/>
            </w:r>
            <w:r>
              <w:rPr>
                <w:b/>
                <w:color w:val="000000"/>
                <w:sz w:val="21"/>
                <w:szCs w:val="21"/>
              </w:rPr>
              <w:instrText xml:space="preserve"> </w:instrText>
            </w:r>
            <w:r>
              <w:rPr>
                <w:rFonts w:hint="eastAsia"/>
                <w:b/>
                <w:color w:val="000000"/>
                <w:sz w:val="21"/>
                <w:szCs w:val="21"/>
              </w:rPr>
              <w:instrText xml:space="preserve">= 3 \* ROMAN</w:instrText>
            </w:r>
            <w:r>
              <w:rPr>
                <w:b/>
                <w:color w:val="000000"/>
                <w:sz w:val="21"/>
                <w:szCs w:val="21"/>
              </w:rPr>
              <w:instrText xml:space="preserve"> </w:instrText>
            </w:r>
            <w:r>
              <w:rPr>
                <w:b/>
                <w:color w:val="000000"/>
                <w:sz w:val="21"/>
                <w:szCs w:val="21"/>
              </w:rPr>
              <w:fldChar w:fldCharType="separate"/>
            </w:r>
            <w:r>
              <w:rPr>
                <w:b/>
                <w:color w:val="000000"/>
                <w:sz w:val="21"/>
                <w:szCs w:val="21"/>
              </w:rPr>
              <w:t>III</w:t>
            </w:r>
            <w:r>
              <w:rPr>
                <w:b/>
                <w:color w:val="000000"/>
                <w:sz w:val="21"/>
                <w:szCs w:val="21"/>
              </w:rPr>
              <w:fldChar w:fldCharType="end"/>
            </w:r>
            <w:r>
              <w:rPr>
                <w:rFonts w:hint="eastAsia"/>
                <w:b/>
                <w:color w:val="000000"/>
                <w:sz w:val="21"/>
                <w:szCs w:val="21"/>
              </w:rPr>
              <w:t>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2280" w:type="dxa"/>
            <w:noWrap w:val="0"/>
            <w:vAlign w:val="center"/>
          </w:tcPr>
          <w:p>
            <w:pPr>
              <w:pStyle w:val="62"/>
              <w:rPr>
                <w:b/>
                <w:color w:val="000000"/>
                <w:sz w:val="21"/>
                <w:szCs w:val="21"/>
              </w:rPr>
            </w:pPr>
            <w:r>
              <w:rPr>
                <w:rFonts w:hint="eastAsia"/>
                <w:color w:val="000000"/>
                <w:sz w:val="21"/>
                <w:szCs w:val="21"/>
              </w:rPr>
              <w:t>敏感</w:t>
            </w:r>
          </w:p>
        </w:tc>
        <w:tc>
          <w:tcPr>
            <w:tcW w:w="2042" w:type="dxa"/>
            <w:noWrap w:val="0"/>
            <w:vAlign w:val="center"/>
          </w:tcPr>
          <w:p>
            <w:pPr>
              <w:pStyle w:val="62"/>
              <w:rPr>
                <w:color w:val="000000"/>
                <w:sz w:val="21"/>
                <w:szCs w:val="21"/>
              </w:rPr>
            </w:pPr>
            <w:r>
              <w:rPr>
                <w:rFonts w:hint="eastAsia"/>
                <w:color w:val="000000"/>
                <w:sz w:val="21"/>
                <w:szCs w:val="21"/>
              </w:rPr>
              <w:t>一</w:t>
            </w:r>
          </w:p>
        </w:tc>
        <w:tc>
          <w:tcPr>
            <w:tcW w:w="2042" w:type="dxa"/>
            <w:noWrap w:val="0"/>
            <w:vAlign w:val="center"/>
          </w:tcPr>
          <w:p>
            <w:pPr>
              <w:pStyle w:val="62"/>
              <w:rPr>
                <w:color w:val="000000"/>
                <w:sz w:val="21"/>
                <w:szCs w:val="21"/>
              </w:rPr>
            </w:pPr>
            <w:r>
              <w:rPr>
                <w:rFonts w:hint="eastAsia"/>
                <w:color w:val="000000"/>
                <w:sz w:val="21"/>
                <w:szCs w:val="21"/>
              </w:rPr>
              <w:t>一</w:t>
            </w:r>
          </w:p>
        </w:tc>
        <w:tc>
          <w:tcPr>
            <w:tcW w:w="2042" w:type="dxa"/>
            <w:noWrap w:val="0"/>
            <w:vAlign w:val="center"/>
          </w:tcPr>
          <w:p>
            <w:pPr>
              <w:pStyle w:val="62"/>
              <w:rPr>
                <w:color w:val="000000"/>
                <w:sz w:val="21"/>
                <w:szCs w:val="21"/>
              </w:rPr>
            </w:pPr>
            <w:r>
              <w:rPr>
                <w:rFonts w:hint="eastAsia"/>
                <w:color w:val="000000"/>
                <w:sz w:val="21"/>
                <w:szCs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2280" w:type="dxa"/>
            <w:noWrap w:val="0"/>
            <w:vAlign w:val="center"/>
          </w:tcPr>
          <w:p>
            <w:pPr>
              <w:pStyle w:val="62"/>
              <w:rPr>
                <w:b/>
                <w:color w:val="000000"/>
                <w:sz w:val="21"/>
                <w:szCs w:val="21"/>
              </w:rPr>
            </w:pPr>
            <w:r>
              <w:rPr>
                <w:rFonts w:hint="eastAsia"/>
                <w:color w:val="000000"/>
                <w:sz w:val="21"/>
                <w:szCs w:val="21"/>
              </w:rPr>
              <w:t>较敏感</w:t>
            </w:r>
          </w:p>
        </w:tc>
        <w:tc>
          <w:tcPr>
            <w:tcW w:w="2042" w:type="dxa"/>
            <w:noWrap w:val="0"/>
            <w:vAlign w:val="center"/>
          </w:tcPr>
          <w:p>
            <w:pPr>
              <w:pStyle w:val="62"/>
              <w:rPr>
                <w:color w:val="000000"/>
                <w:sz w:val="21"/>
                <w:szCs w:val="21"/>
              </w:rPr>
            </w:pPr>
            <w:r>
              <w:rPr>
                <w:rFonts w:hint="eastAsia"/>
                <w:color w:val="000000"/>
                <w:sz w:val="21"/>
                <w:szCs w:val="21"/>
              </w:rPr>
              <w:t>一</w:t>
            </w:r>
          </w:p>
        </w:tc>
        <w:tc>
          <w:tcPr>
            <w:tcW w:w="2042" w:type="dxa"/>
            <w:noWrap w:val="0"/>
            <w:vAlign w:val="center"/>
          </w:tcPr>
          <w:p>
            <w:pPr>
              <w:pStyle w:val="62"/>
              <w:rPr>
                <w:color w:val="000000"/>
                <w:sz w:val="21"/>
                <w:szCs w:val="21"/>
              </w:rPr>
            </w:pPr>
            <w:r>
              <w:rPr>
                <w:rFonts w:hint="eastAsia"/>
                <w:color w:val="000000"/>
                <w:sz w:val="21"/>
                <w:szCs w:val="21"/>
              </w:rPr>
              <w:t>二</w:t>
            </w:r>
          </w:p>
        </w:tc>
        <w:tc>
          <w:tcPr>
            <w:tcW w:w="2042" w:type="dxa"/>
            <w:noWrap w:val="0"/>
            <w:vAlign w:val="center"/>
          </w:tcPr>
          <w:p>
            <w:pPr>
              <w:pStyle w:val="62"/>
              <w:rPr>
                <w:color w:val="000000"/>
                <w:sz w:val="21"/>
                <w:szCs w:val="21"/>
              </w:rPr>
            </w:pPr>
            <w:r>
              <w:rPr>
                <w:rFonts w:hint="eastAsia"/>
                <w:color w:val="000000"/>
                <w:sz w:val="21"/>
                <w:szCs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 w:hRule="atLeast"/>
          <w:jc w:val="center"/>
        </w:trPr>
        <w:tc>
          <w:tcPr>
            <w:tcW w:w="2280" w:type="dxa"/>
            <w:tcBorders>
              <w:bottom w:val="single" w:color="auto" w:sz="12" w:space="0"/>
            </w:tcBorders>
            <w:noWrap w:val="0"/>
            <w:vAlign w:val="center"/>
          </w:tcPr>
          <w:p>
            <w:pPr>
              <w:pStyle w:val="62"/>
              <w:rPr>
                <w:b/>
                <w:color w:val="000000"/>
                <w:sz w:val="21"/>
                <w:szCs w:val="21"/>
              </w:rPr>
            </w:pPr>
            <w:r>
              <w:rPr>
                <w:rFonts w:hint="eastAsia"/>
                <w:color w:val="000000"/>
                <w:sz w:val="21"/>
                <w:szCs w:val="21"/>
              </w:rPr>
              <w:t>不敏感</w:t>
            </w:r>
          </w:p>
        </w:tc>
        <w:tc>
          <w:tcPr>
            <w:tcW w:w="2042" w:type="dxa"/>
            <w:tcBorders>
              <w:bottom w:val="single" w:color="auto" w:sz="12" w:space="0"/>
            </w:tcBorders>
            <w:noWrap w:val="0"/>
            <w:vAlign w:val="center"/>
          </w:tcPr>
          <w:p>
            <w:pPr>
              <w:pStyle w:val="62"/>
              <w:rPr>
                <w:color w:val="000000"/>
                <w:sz w:val="21"/>
                <w:szCs w:val="21"/>
              </w:rPr>
            </w:pPr>
            <w:r>
              <w:rPr>
                <w:rFonts w:hint="eastAsia"/>
                <w:color w:val="000000"/>
                <w:sz w:val="21"/>
                <w:szCs w:val="21"/>
              </w:rPr>
              <w:t>二</w:t>
            </w:r>
          </w:p>
        </w:tc>
        <w:tc>
          <w:tcPr>
            <w:tcW w:w="2042" w:type="dxa"/>
            <w:tcBorders>
              <w:bottom w:val="single" w:color="auto" w:sz="12" w:space="0"/>
            </w:tcBorders>
            <w:noWrap w:val="0"/>
            <w:vAlign w:val="center"/>
          </w:tcPr>
          <w:p>
            <w:pPr>
              <w:pStyle w:val="62"/>
              <w:rPr>
                <w:color w:val="000000"/>
                <w:sz w:val="21"/>
                <w:szCs w:val="21"/>
              </w:rPr>
            </w:pPr>
            <w:r>
              <w:rPr>
                <w:rFonts w:hint="eastAsia"/>
                <w:color w:val="000000"/>
                <w:sz w:val="21"/>
                <w:szCs w:val="21"/>
              </w:rPr>
              <w:t>三</w:t>
            </w:r>
          </w:p>
        </w:tc>
        <w:tc>
          <w:tcPr>
            <w:tcW w:w="2042" w:type="dxa"/>
            <w:tcBorders>
              <w:bottom w:val="single" w:color="auto" w:sz="12" w:space="0"/>
            </w:tcBorders>
            <w:noWrap w:val="0"/>
            <w:vAlign w:val="center"/>
          </w:tcPr>
          <w:p>
            <w:pPr>
              <w:pStyle w:val="62"/>
              <w:rPr>
                <w:color w:val="000000"/>
                <w:sz w:val="21"/>
                <w:szCs w:val="21"/>
              </w:rPr>
            </w:pPr>
            <w:r>
              <w:rPr>
                <w:rFonts w:hint="eastAsia"/>
                <w:color w:val="000000"/>
                <w:sz w:val="21"/>
                <w:szCs w:val="21"/>
              </w:rPr>
              <w:t>三</w:t>
            </w:r>
          </w:p>
        </w:tc>
      </w:tr>
    </w:tbl>
    <w:p>
      <w:pPr>
        <w:tabs>
          <w:tab w:val="left" w:pos="3138"/>
        </w:tabs>
        <w:ind w:firstLine="480"/>
        <w:rPr>
          <w:rFonts w:hint="eastAsia"/>
          <w:b/>
          <w:color w:val="000000"/>
          <w:kern w:val="0"/>
        </w:rPr>
      </w:pPr>
      <w:r>
        <w:rPr>
          <w:rFonts w:hint="eastAsia"/>
          <w:color w:val="000000"/>
          <w:kern w:val="0"/>
        </w:rPr>
        <w:t>项目参照地下水环境影响评价分类管理行业分类表，确定本项目地下水环境影响评价项目类别为</w:t>
      </w:r>
      <w:r>
        <w:rPr>
          <w:color w:val="000000"/>
          <w:kern w:val="0"/>
        </w:rPr>
        <w:fldChar w:fldCharType="begin"/>
      </w:r>
      <w:r>
        <w:rPr>
          <w:color w:val="000000"/>
          <w:kern w:val="0"/>
        </w:rPr>
        <w:instrText xml:space="preserve"> </w:instrText>
      </w:r>
      <w:r>
        <w:rPr>
          <w:rFonts w:hint="eastAsia"/>
          <w:color w:val="000000"/>
          <w:kern w:val="0"/>
        </w:rPr>
        <w:instrText xml:space="preserve">= 1 \* ROMAN</w:instrText>
      </w:r>
      <w:r>
        <w:rPr>
          <w:color w:val="000000"/>
          <w:kern w:val="0"/>
        </w:rPr>
        <w:instrText xml:space="preserve"> </w:instrText>
      </w:r>
      <w:r>
        <w:rPr>
          <w:color w:val="000000"/>
          <w:kern w:val="0"/>
        </w:rPr>
        <w:fldChar w:fldCharType="separate"/>
      </w:r>
      <w:r>
        <w:rPr>
          <w:color w:val="000000"/>
          <w:kern w:val="0"/>
        </w:rPr>
        <w:t>I</w:t>
      </w:r>
      <w:r>
        <w:rPr>
          <w:color w:val="000000"/>
          <w:kern w:val="0"/>
        </w:rPr>
        <w:fldChar w:fldCharType="end"/>
      </w:r>
      <w:r>
        <w:rPr>
          <w:rFonts w:hint="eastAsia"/>
          <w:color w:val="000000"/>
          <w:kern w:val="0"/>
        </w:rPr>
        <w:t>类，具体见下表1.7-</w:t>
      </w:r>
      <w:r>
        <w:rPr>
          <w:rFonts w:hint="eastAsia"/>
          <w:color w:val="000000"/>
          <w:kern w:val="0"/>
          <w:lang w:val="en-US" w:eastAsia="zh-CN"/>
        </w:rPr>
        <w:t>4</w:t>
      </w:r>
      <w:r>
        <w:rPr>
          <w:rFonts w:hint="eastAsia"/>
          <w:color w:val="000000"/>
          <w:kern w:val="0"/>
        </w:rPr>
        <w:t>。</w:t>
      </w:r>
    </w:p>
    <w:p>
      <w:pPr>
        <w:tabs>
          <w:tab w:val="left" w:pos="3138"/>
        </w:tabs>
        <w:ind w:firstLine="422"/>
        <w:jc w:val="center"/>
        <w:rPr>
          <w:rFonts w:hint="eastAsia"/>
          <w:b/>
          <w:color w:val="000000"/>
          <w:kern w:val="0"/>
          <w:sz w:val="21"/>
          <w:szCs w:val="21"/>
        </w:rPr>
      </w:pPr>
      <w:r>
        <w:rPr>
          <w:rFonts w:hint="eastAsia"/>
          <w:b/>
          <w:color w:val="000000"/>
          <w:kern w:val="0"/>
          <w:sz w:val="21"/>
          <w:szCs w:val="21"/>
        </w:rPr>
        <w:t>表1.7-</w:t>
      </w:r>
      <w:r>
        <w:rPr>
          <w:rFonts w:hint="eastAsia"/>
          <w:b/>
          <w:color w:val="000000"/>
          <w:kern w:val="0"/>
          <w:sz w:val="21"/>
          <w:szCs w:val="21"/>
          <w:lang w:val="en-US" w:eastAsia="zh-CN"/>
        </w:rPr>
        <w:t>4</w:t>
      </w:r>
      <w:r>
        <w:rPr>
          <w:rFonts w:hint="eastAsia"/>
          <w:b/>
          <w:color w:val="000000"/>
          <w:kern w:val="0"/>
          <w:sz w:val="21"/>
          <w:szCs w:val="21"/>
        </w:rPr>
        <w:t xml:space="preserve"> 地下水环境影响评价行业分类表（摘选）</w:t>
      </w:r>
    </w:p>
    <w:tbl>
      <w:tblPr>
        <w:tblStyle w:val="37"/>
        <w:tblW w:w="8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1662"/>
        <w:gridCol w:w="1662"/>
        <w:gridCol w:w="1638"/>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844" w:type="dxa"/>
            <w:vMerge w:val="restart"/>
            <w:tcBorders>
              <w:tl2br w:val="single" w:color="auto" w:sz="4" w:space="0"/>
            </w:tcBorders>
            <w:noWrap w:val="0"/>
            <w:vAlign w:val="center"/>
          </w:tcPr>
          <w:p>
            <w:pPr>
              <w:pStyle w:val="62"/>
              <w:rPr>
                <w:b/>
                <w:color w:val="000000"/>
                <w:sz w:val="21"/>
                <w:szCs w:val="21"/>
              </w:rPr>
            </w:pPr>
            <w:r>
              <w:rPr>
                <w:rFonts w:hint="eastAsia"/>
                <w:b/>
                <w:color w:val="000000"/>
                <w:sz w:val="21"/>
                <w:szCs w:val="21"/>
              </w:rPr>
              <w:t xml:space="preserve">    </w:t>
            </w:r>
            <w:r>
              <w:rPr>
                <w:b/>
                <w:color w:val="000000"/>
                <w:sz w:val="21"/>
                <w:szCs w:val="21"/>
              </w:rPr>
              <w:t xml:space="preserve"> </w:t>
            </w:r>
            <w:r>
              <w:rPr>
                <w:rFonts w:hint="eastAsia"/>
                <w:b/>
                <w:color w:val="000000"/>
                <w:sz w:val="21"/>
                <w:szCs w:val="21"/>
              </w:rPr>
              <w:t xml:space="preserve"> 环评类别</w:t>
            </w:r>
          </w:p>
          <w:p>
            <w:pPr>
              <w:pStyle w:val="62"/>
              <w:jc w:val="left"/>
              <w:rPr>
                <w:rFonts w:hint="eastAsia"/>
                <w:b/>
                <w:color w:val="000000"/>
                <w:sz w:val="21"/>
                <w:szCs w:val="21"/>
              </w:rPr>
            </w:pPr>
            <w:r>
              <w:rPr>
                <w:rFonts w:hint="eastAsia"/>
                <w:b/>
                <w:color w:val="000000"/>
                <w:sz w:val="21"/>
                <w:szCs w:val="21"/>
              </w:rPr>
              <w:t>行业类别</w:t>
            </w:r>
          </w:p>
        </w:tc>
        <w:tc>
          <w:tcPr>
            <w:tcW w:w="1662" w:type="dxa"/>
            <w:vMerge w:val="restart"/>
            <w:noWrap w:val="0"/>
            <w:vAlign w:val="center"/>
          </w:tcPr>
          <w:p>
            <w:pPr>
              <w:pStyle w:val="62"/>
              <w:rPr>
                <w:rFonts w:hint="eastAsia"/>
                <w:b/>
                <w:color w:val="000000"/>
                <w:sz w:val="21"/>
                <w:szCs w:val="21"/>
              </w:rPr>
            </w:pPr>
            <w:r>
              <w:rPr>
                <w:rFonts w:hint="eastAsia"/>
                <w:b/>
                <w:color w:val="000000"/>
                <w:sz w:val="21"/>
                <w:szCs w:val="21"/>
              </w:rPr>
              <w:t>报告表</w:t>
            </w:r>
          </w:p>
        </w:tc>
        <w:tc>
          <w:tcPr>
            <w:tcW w:w="1662" w:type="dxa"/>
            <w:vMerge w:val="restart"/>
            <w:noWrap w:val="0"/>
            <w:vAlign w:val="center"/>
          </w:tcPr>
          <w:p>
            <w:pPr>
              <w:pStyle w:val="62"/>
              <w:rPr>
                <w:rFonts w:hint="eastAsia"/>
                <w:b/>
                <w:color w:val="000000"/>
                <w:sz w:val="21"/>
                <w:szCs w:val="21"/>
              </w:rPr>
            </w:pPr>
            <w:r>
              <w:rPr>
                <w:rFonts w:hint="eastAsia"/>
                <w:b/>
                <w:color w:val="000000"/>
                <w:sz w:val="21"/>
                <w:szCs w:val="21"/>
              </w:rPr>
              <w:t xml:space="preserve"> 报告书</w:t>
            </w:r>
          </w:p>
        </w:tc>
        <w:tc>
          <w:tcPr>
            <w:tcW w:w="3254" w:type="dxa"/>
            <w:gridSpan w:val="2"/>
            <w:noWrap w:val="0"/>
            <w:vAlign w:val="center"/>
          </w:tcPr>
          <w:p>
            <w:pPr>
              <w:pStyle w:val="62"/>
              <w:rPr>
                <w:rFonts w:hint="eastAsia"/>
                <w:b/>
                <w:color w:val="000000"/>
                <w:sz w:val="21"/>
                <w:szCs w:val="21"/>
              </w:rPr>
            </w:pPr>
            <w:r>
              <w:rPr>
                <w:rFonts w:hint="eastAsia"/>
                <w:b/>
                <w:color w:val="000000"/>
                <w:sz w:val="21"/>
                <w:szCs w:val="21"/>
              </w:rPr>
              <w:t xml:space="preserve">地下水环境影响评价类别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1844" w:type="dxa"/>
            <w:vMerge w:val="continue"/>
            <w:tcBorders>
              <w:tl2br w:val="single" w:color="auto" w:sz="4" w:space="0"/>
            </w:tcBorders>
            <w:noWrap w:val="0"/>
            <w:vAlign w:val="center"/>
          </w:tcPr>
          <w:p>
            <w:pPr>
              <w:pStyle w:val="62"/>
              <w:rPr>
                <w:b/>
                <w:color w:val="000000"/>
                <w:sz w:val="21"/>
                <w:szCs w:val="21"/>
              </w:rPr>
            </w:pPr>
          </w:p>
        </w:tc>
        <w:tc>
          <w:tcPr>
            <w:tcW w:w="1662" w:type="dxa"/>
            <w:vMerge w:val="continue"/>
            <w:noWrap w:val="0"/>
            <w:vAlign w:val="center"/>
          </w:tcPr>
          <w:p>
            <w:pPr>
              <w:pStyle w:val="62"/>
              <w:rPr>
                <w:b/>
                <w:color w:val="000000"/>
                <w:sz w:val="21"/>
                <w:szCs w:val="21"/>
              </w:rPr>
            </w:pPr>
          </w:p>
        </w:tc>
        <w:tc>
          <w:tcPr>
            <w:tcW w:w="1662" w:type="dxa"/>
            <w:vMerge w:val="continue"/>
            <w:noWrap w:val="0"/>
            <w:vAlign w:val="center"/>
          </w:tcPr>
          <w:p>
            <w:pPr>
              <w:pStyle w:val="62"/>
              <w:rPr>
                <w:b/>
                <w:color w:val="000000"/>
                <w:sz w:val="21"/>
                <w:szCs w:val="21"/>
              </w:rPr>
            </w:pPr>
          </w:p>
        </w:tc>
        <w:tc>
          <w:tcPr>
            <w:tcW w:w="1638" w:type="dxa"/>
            <w:noWrap w:val="0"/>
            <w:vAlign w:val="center"/>
          </w:tcPr>
          <w:p>
            <w:pPr>
              <w:pStyle w:val="62"/>
              <w:rPr>
                <w:rFonts w:hint="eastAsia"/>
                <w:b/>
                <w:color w:val="000000"/>
                <w:sz w:val="21"/>
                <w:szCs w:val="21"/>
              </w:rPr>
            </w:pPr>
            <w:r>
              <w:rPr>
                <w:rFonts w:hint="eastAsia"/>
                <w:b/>
                <w:color w:val="000000"/>
                <w:sz w:val="21"/>
                <w:szCs w:val="21"/>
              </w:rPr>
              <w:t>报告表</w:t>
            </w:r>
          </w:p>
        </w:tc>
        <w:tc>
          <w:tcPr>
            <w:tcW w:w="1616" w:type="dxa"/>
            <w:noWrap w:val="0"/>
            <w:vAlign w:val="center"/>
          </w:tcPr>
          <w:p>
            <w:pPr>
              <w:pStyle w:val="62"/>
              <w:rPr>
                <w:rFonts w:hint="eastAsia"/>
                <w:b/>
                <w:color w:val="000000"/>
                <w:sz w:val="21"/>
                <w:szCs w:val="21"/>
              </w:rPr>
            </w:pPr>
            <w:r>
              <w:rPr>
                <w:rFonts w:hint="eastAsia"/>
                <w:b/>
                <w:color w:val="000000"/>
                <w:sz w:val="21"/>
                <w:szCs w:val="21"/>
              </w:rPr>
              <w:t>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422" w:type="dxa"/>
            <w:gridSpan w:val="5"/>
            <w:noWrap w:val="0"/>
            <w:vAlign w:val="center"/>
          </w:tcPr>
          <w:p>
            <w:pPr>
              <w:pStyle w:val="62"/>
              <w:rPr>
                <w:rFonts w:hint="eastAsia"/>
                <w:color w:val="000000"/>
                <w:sz w:val="21"/>
                <w:szCs w:val="21"/>
              </w:rPr>
            </w:pPr>
            <w:r>
              <w:rPr>
                <w:rFonts w:hint="eastAsia"/>
                <w:color w:val="000000"/>
                <w:sz w:val="21"/>
                <w:szCs w:val="21"/>
              </w:rPr>
              <w:t>U城镇基础设施及房地产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 w:hRule="atLeast"/>
          <w:jc w:val="center"/>
        </w:trPr>
        <w:tc>
          <w:tcPr>
            <w:tcW w:w="1844" w:type="dxa"/>
            <w:tcBorders>
              <w:bottom w:val="single" w:color="auto" w:sz="4" w:space="0"/>
            </w:tcBorders>
            <w:noWrap w:val="0"/>
            <w:vAlign w:val="center"/>
          </w:tcPr>
          <w:p>
            <w:pPr>
              <w:pStyle w:val="62"/>
              <w:rPr>
                <w:rFonts w:hint="eastAsia"/>
                <w:color w:val="000000"/>
                <w:sz w:val="21"/>
                <w:szCs w:val="21"/>
              </w:rPr>
            </w:pPr>
            <w:r>
              <w:rPr>
                <w:rFonts w:hint="eastAsia"/>
                <w:color w:val="000000"/>
                <w:sz w:val="21"/>
                <w:szCs w:val="21"/>
              </w:rPr>
              <w:t>145 工业废水及集中处理</w:t>
            </w:r>
          </w:p>
        </w:tc>
        <w:tc>
          <w:tcPr>
            <w:tcW w:w="1662" w:type="dxa"/>
            <w:tcBorders>
              <w:bottom w:val="single" w:color="auto" w:sz="4" w:space="0"/>
            </w:tcBorders>
            <w:noWrap w:val="0"/>
            <w:vAlign w:val="center"/>
          </w:tcPr>
          <w:p>
            <w:pPr>
              <w:pStyle w:val="62"/>
              <w:rPr>
                <w:rFonts w:hint="eastAsia"/>
                <w:color w:val="000000"/>
                <w:sz w:val="21"/>
                <w:szCs w:val="21"/>
              </w:rPr>
            </w:pPr>
            <w:r>
              <w:rPr>
                <w:rFonts w:hint="eastAsia"/>
                <w:color w:val="000000"/>
                <w:sz w:val="21"/>
                <w:szCs w:val="21"/>
              </w:rPr>
              <w:t>/</w:t>
            </w:r>
          </w:p>
        </w:tc>
        <w:tc>
          <w:tcPr>
            <w:tcW w:w="1662" w:type="dxa"/>
            <w:tcBorders>
              <w:bottom w:val="single" w:color="auto" w:sz="4" w:space="0"/>
            </w:tcBorders>
            <w:noWrap w:val="0"/>
            <w:vAlign w:val="center"/>
          </w:tcPr>
          <w:p>
            <w:pPr>
              <w:pStyle w:val="62"/>
              <w:rPr>
                <w:rFonts w:hint="eastAsia"/>
                <w:color w:val="000000"/>
                <w:sz w:val="21"/>
                <w:szCs w:val="21"/>
              </w:rPr>
            </w:pPr>
            <w:r>
              <w:rPr>
                <w:rFonts w:hint="eastAsia"/>
                <w:color w:val="000000"/>
                <w:sz w:val="21"/>
                <w:szCs w:val="21"/>
              </w:rPr>
              <w:t>全部</w:t>
            </w:r>
          </w:p>
        </w:tc>
        <w:tc>
          <w:tcPr>
            <w:tcW w:w="1638" w:type="dxa"/>
            <w:tcBorders>
              <w:bottom w:val="single" w:color="auto" w:sz="4" w:space="0"/>
            </w:tcBorders>
            <w:noWrap w:val="0"/>
            <w:vAlign w:val="center"/>
          </w:tcPr>
          <w:p>
            <w:pPr>
              <w:pStyle w:val="62"/>
              <w:rPr>
                <w:rFonts w:hint="eastAsia"/>
                <w:color w:val="000000"/>
                <w:sz w:val="21"/>
                <w:szCs w:val="21"/>
              </w:rPr>
            </w:pPr>
            <w:r>
              <w:rPr>
                <w:rFonts w:hint="eastAsia"/>
                <w:color w:val="000000"/>
                <w:sz w:val="21"/>
                <w:szCs w:val="21"/>
              </w:rPr>
              <w:t>/</w:t>
            </w:r>
          </w:p>
        </w:tc>
        <w:tc>
          <w:tcPr>
            <w:tcW w:w="1616" w:type="dxa"/>
            <w:tcBorders>
              <w:bottom w:val="single" w:color="auto" w:sz="4" w:space="0"/>
            </w:tcBorders>
            <w:noWrap w:val="0"/>
            <w:vAlign w:val="center"/>
          </w:tcPr>
          <w:p>
            <w:pPr>
              <w:pStyle w:val="62"/>
              <w:rPr>
                <w:color w:val="000000"/>
                <w:sz w:val="21"/>
                <w:szCs w:val="21"/>
              </w:rPr>
            </w:pPr>
            <w:r>
              <w:rPr>
                <w:color w:val="000000"/>
                <w:sz w:val="21"/>
                <w:szCs w:val="21"/>
              </w:rPr>
              <w:fldChar w:fldCharType="begin"/>
            </w:r>
            <w:r>
              <w:rPr>
                <w:color w:val="000000"/>
                <w:sz w:val="21"/>
                <w:szCs w:val="21"/>
              </w:rPr>
              <w:instrText xml:space="preserve"> </w:instrText>
            </w:r>
            <w:r>
              <w:rPr>
                <w:rFonts w:hint="eastAsia"/>
                <w:color w:val="000000"/>
                <w:sz w:val="21"/>
                <w:szCs w:val="21"/>
              </w:rPr>
              <w:instrText xml:space="preserve">= 1 \* ROMAN</w:instrText>
            </w:r>
            <w:r>
              <w:rPr>
                <w:color w:val="000000"/>
                <w:sz w:val="21"/>
                <w:szCs w:val="21"/>
              </w:rPr>
              <w:instrText xml:space="preserve"> </w:instrText>
            </w:r>
            <w:r>
              <w:rPr>
                <w:color w:val="000000"/>
                <w:sz w:val="21"/>
                <w:szCs w:val="21"/>
              </w:rPr>
              <w:fldChar w:fldCharType="separate"/>
            </w:r>
            <w:r>
              <w:rPr>
                <w:color w:val="000000"/>
                <w:sz w:val="21"/>
                <w:szCs w:val="21"/>
              </w:rPr>
              <w:t>I</w:t>
            </w:r>
            <w:r>
              <w:rPr>
                <w:color w:val="000000"/>
                <w:sz w:val="21"/>
                <w:szCs w:val="21"/>
              </w:rPr>
              <w:fldChar w:fldCharType="end"/>
            </w:r>
            <w:r>
              <w:rPr>
                <w:rFonts w:hint="eastAsia"/>
                <w:color w:val="000000"/>
                <w:sz w:val="21"/>
                <w:szCs w:val="21"/>
              </w:rPr>
              <w:t>类</w:t>
            </w:r>
          </w:p>
        </w:tc>
      </w:tr>
    </w:tbl>
    <w:p>
      <w:pPr>
        <w:tabs>
          <w:tab w:val="left" w:pos="3138"/>
        </w:tabs>
        <w:ind w:firstLine="480"/>
        <w:rPr>
          <w:rFonts w:hint="eastAsia"/>
          <w:color w:val="000000"/>
          <w:kern w:val="0"/>
          <w:u w:val="single"/>
        </w:rPr>
      </w:pPr>
      <w:r>
        <w:rPr>
          <w:rFonts w:hint="eastAsia"/>
          <w:color w:val="000000"/>
          <w:kern w:val="0"/>
          <w:u w:val="single"/>
          <w:lang w:eastAsia="zh-CN"/>
        </w:rPr>
        <w:t>根据调查，项目建设位于花垣县产业园，区域饮用水水来源于城市供水管网，水源为兄弟河水库，区域地下水井仅作为生活杂用水、工业用水，不作为饮用水源。</w:t>
      </w:r>
      <w:r>
        <w:rPr>
          <w:rFonts w:hint="eastAsia"/>
          <w:color w:val="000000"/>
          <w:kern w:val="0"/>
          <w:u w:val="single"/>
        </w:rPr>
        <w:t>项目建设地为不敏感区域，根据评价工作等级表以及地下水环境影响评价行业分类表确定地下水评价工作等级为二级。</w:t>
      </w:r>
    </w:p>
    <w:p>
      <w:pPr>
        <w:tabs>
          <w:tab w:val="left" w:pos="3138"/>
        </w:tabs>
        <w:ind w:firstLine="480"/>
        <w:rPr>
          <w:rFonts w:hint="eastAsia"/>
          <w:color w:val="000000"/>
          <w:kern w:val="0"/>
        </w:rPr>
      </w:pPr>
      <w:r>
        <w:rPr>
          <w:rFonts w:hint="eastAsia"/>
          <w:color w:val="000000"/>
          <w:kern w:val="0"/>
        </w:rPr>
        <w:t>本次地下水环境评价范围：</w:t>
      </w:r>
      <w:r>
        <w:rPr>
          <w:rFonts w:hint="eastAsia"/>
          <w:color w:val="000000"/>
          <w:kern w:val="0"/>
          <w:lang w:eastAsia="zh-CN"/>
        </w:rPr>
        <w:t>北侧以花垣河为边界，西侧至兴龙社区、南侧至</w:t>
      </w:r>
      <w:r>
        <w:rPr>
          <w:rFonts w:hint="eastAsia"/>
          <w:color w:val="000000"/>
          <w:kern w:val="0"/>
          <w:lang w:val="en-US" w:eastAsia="zh-CN"/>
        </w:rPr>
        <w:t>S231为边界，东侧至城北社区为边界的地下是文地质单位，</w:t>
      </w:r>
      <w:r>
        <w:rPr>
          <w:rFonts w:hint="eastAsia"/>
          <w:color w:val="000000"/>
          <w:kern w:val="0"/>
          <w:lang w:eastAsia="zh-CN"/>
        </w:rPr>
        <w:t>评价范围</w:t>
      </w:r>
      <w:r>
        <w:rPr>
          <w:rFonts w:hint="eastAsia"/>
          <w:color w:val="000000"/>
          <w:kern w:val="0"/>
        </w:rPr>
        <w:t>面积为</w:t>
      </w:r>
      <w:r>
        <w:rPr>
          <w:rFonts w:hint="eastAsia"/>
          <w:color w:val="000000"/>
          <w:kern w:val="0"/>
          <w:lang w:val="en-US" w:eastAsia="zh-CN"/>
        </w:rPr>
        <w:t>8</w:t>
      </w:r>
      <w:r>
        <w:rPr>
          <w:rFonts w:hint="eastAsia"/>
          <w:color w:val="000000"/>
          <w:kern w:val="0"/>
        </w:rPr>
        <w:t>km</w:t>
      </w:r>
      <w:r>
        <w:rPr>
          <w:rFonts w:hint="eastAsia"/>
          <w:color w:val="000000"/>
          <w:kern w:val="0"/>
          <w:vertAlign w:val="superscript"/>
        </w:rPr>
        <w:t>2</w:t>
      </w:r>
      <w:r>
        <w:rPr>
          <w:rFonts w:hint="eastAsia"/>
          <w:color w:val="000000"/>
          <w:kern w:val="0"/>
        </w:rPr>
        <w:t>的范围。</w:t>
      </w:r>
    </w:p>
    <w:p>
      <w:pPr>
        <w:pStyle w:val="8"/>
        <w:spacing w:before="163"/>
        <w:rPr>
          <w:rFonts w:hint="eastAsia"/>
          <w:color w:val="000000"/>
          <w:u w:val="single"/>
        </w:rPr>
      </w:pPr>
      <w:bookmarkStart w:id="115" w:name="_Toc489350225"/>
      <w:bookmarkStart w:id="116" w:name="_Toc489349967"/>
      <w:bookmarkStart w:id="117" w:name="_Toc489350124"/>
      <w:r>
        <w:rPr>
          <w:rFonts w:hint="eastAsia"/>
          <w:color w:val="000000"/>
          <w:u w:val="single"/>
        </w:rPr>
        <w:t>1.7.</w:t>
      </w:r>
      <w:r>
        <w:rPr>
          <w:rFonts w:hint="eastAsia"/>
          <w:color w:val="000000"/>
          <w:u w:val="single"/>
          <w:lang w:val="en-US" w:eastAsia="zh-CN"/>
        </w:rPr>
        <w:t>4</w:t>
      </w:r>
      <w:r>
        <w:rPr>
          <w:rFonts w:hint="eastAsia"/>
          <w:color w:val="000000"/>
          <w:u w:val="single"/>
        </w:rPr>
        <w:t>声环境影响评价等级</w:t>
      </w:r>
      <w:bookmarkEnd w:id="115"/>
      <w:bookmarkEnd w:id="116"/>
      <w:bookmarkEnd w:id="117"/>
    </w:p>
    <w:p>
      <w:pPr>
        <w:adjustRightInd w:val="0"/>
        <w:snapToGrid w:val="0"/>
        <w:ind w:firstLine="480" w:firstLineChars="200"/>
        <w:rPr>
          <w:color w:val="auto"/>
          <w:u w:val="single"/>
        </w:rPr>
      </w:pPr>
      <w:r>
        <w:rPr>
          <w:color w:val="auto"/>
          <w:u w:val="single"/>
        </w:rPr>
        <w:t>项目位于</w:t>
      </w:r>
      <w:r>
        <w:rPr>
          <w:rFonts w:hint="eastAsia"/>
          <w:color w:val="auto"/>
          <w:u w:val="single"/>
          <w:lang w:eastAsia="zh-CN"/>
        </w:rPr>
        <w:t>花垣工业集中区</w:t>
      </w:r>
      <w:r>
        <w:rPr>
          <w:color w:val="auto"/>
          <w:u w:val="single"/>
        </w:rPr>
        <w:t>，区域声环境功能区为</w:t>
      </w:r>
      <w:r>
        <w:rPr>
          <w:rFonts w:hint="eastAsia"/>
          <w:color w:val="auto"/>
          <w:u w:val="single"/>
          <w:lang w:val="en-US" w:eastAsia="zh-CN"/>
        </w:rPr>
        <w:t>3</w:t>
      </w:r>
      <w:r>
        <w:rPr>
          <w:color w:val="auto"/>
          <w:u w:val="single"/>
        </w:rPr>
        <w:t>类地区</w:t>
      </w:r>
      <w:r>
        <w:rPr>
          <w:rFonts w:hint="eastAsia"/>
          <w:color w:val="auto"/>
          <w:u w:val="single"/>
          <w:lang w:eastAsia="zh-CN"/>
        </w:rPr>
        <w:t>；建设项目建设前后评价范围内声环境保护目标噪声级增量在3dB(A)以下；项目建设完成后受噪声影响人口变化不大</w:t>
      </w:r>
      <w:r>
        <w:rPr>
          <w:color w:val="auto"/>
          <w:u w:val="single"/>
        </w:rPr>
        <w:t>。根据《环境影响评价技术导则声环境》（HJ2.4-</w:t>
      </w:r>
      <w:r>
        <w:rPr>
          <w:rFonts w:hint="eastAsia"/>
          <w:color w:val="auto"/>
          <w:u w:val="single"/>
          <w:lang w:val="en-US" w:eastAsia="zh-CN"/>
        </w:rPr>
        <w:t>2021</w:t>
      </w:r>
      <w:r>
        <w:rPr>
          <w:color w:val="auto"/>
          <w:u w:val="single"/>
        </w:rPr>
        <w:t>）中判定依据，项目声环境影响评价等级定为</w:t>
      </w:r>
      <w:r>
        <w:rPr>
          <w:rFonts w:hint="eastAsia"/>
          <w:color w:val="auto"/>
          <w:u w:val="single"/>
          <w:lang w:eastAsia="zh-CN"/>
        </w:rPr>
        <w:t>三</w:t>
      </w:r>
      <w:r>
        <w:rPr>
          <w:color w:val="auto"/>
          <w:u w:val="single"/>
        </w:rPr>
        <w:t>级。</w:t>
      </w:r>
    </w:p>
    <w:p>
      <w:pPr>
        <w:adjustRightInd w:val="0"/>
        <w:snapToGrid w:val="0"/>
        <w:ind w:firstLine="480" w:firstLineChars="200"/>
        <w:rPr>
          <w:color w:val="auto"/>
          <w:u w:val="single"/>
        </w:rPr>
      </w:pPr>
      <w:r>
        <w:rPr>
          <w:color w:val="auto"/>
          <w:u w:val="single"/>
        </w:rPr>
        <w:t>环境噪声评价范围为项目厂界外</w:t>
      </w:r>
      <w:r>
        <w:rPr>
          <w:rFonts w:hint="eastAsia"/>
          <w:color w:val="auto"/>
          <w:u w:val="single"/>
          <w:lang w:val="en-US" w:eastAsia="zh-CN"/>
        </w:rPr>
        <w:t>1</w:t>
      </w:r>
      <w:r>
        <w:rPr>
          <w:color w:val="auto"/>
          <w:u w:val="single"/>
        </w:rPr>
        <w:t>00m范围。</w:t>
      </w:r>
    </w:p>
    <w:p>
      <w:pPr>
        <w:pStyle w:val="141"/>
        <w:bidi w:val="0"/>
        <w:ind w:firstLine="0"/>
        <w:rPr>
          <w:rFonts w:ascii="Times New Roman" w:hAnsi="Times New Roman" w:eastAsia="宋体"/>
          <w:u w:val="single"/>
        </w:rPr>
      </w:pPr>
      <w:r>
        <w:rPr>
          <w:rFonts w:ascii="Times New Roman" w:hAnsi="Times New Roman" w:eastAsia="宋体"/>
          <w:u w:val="single"/>
        </w:rPr>
        <w:t>表2.6-10   声环境评价工作等级划分表</w:t>
      </w:r>
    </w:p>
    <w:tbl>
      <w:tblPr>
        <w:tblStyle w:val="37"/>
        <w:tblW w:w="8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7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0" w:type="dxa"/>
            <w:noWrap w:val="0"/>
            <w:vAlign w:val="center"/>
          </w:tcPr>
          <w:p>
            <w:pPr>
              <w:pStyle w:val="79"/>
              <w:bidi w:val="0"/>
              <w:rPr>
                <w:rFonts w:hint="default" w:ascii="Times New Roman" w:hAnsi="Times New Roman" w:cs="Times New Roman"/>
                <w:b/>
                <w:bCs/>
                <w:u w:val="single"/>
              </w:rPr>
            </w:pPr>
            <w:r>
              <w:rPr>
                <w:rFonts w:hint="default" w:ascii="Times New Roman" w:hAnsi="Times New Roman" w:cs="Times New Roman"/>
                <w:b/>
                <w:bCs/>
                <w:u w:val="single"/>
              </w:rPr>
              <w:t>评价等级</w:t>
            </w:r>
          </w:p>
        </w:tc>
        <w:tc>
          <w:tcPr>
            <w:tcW w:w="7034" w:type="dxa"/>
            <w:noWrap w:val="0"/>
            <w:vAlign w:val="center"/>
          </w:tcPr>
          <w:p>
            <w:pPr>
              <w:pStyle w:val="79"/>
              <w:bidi w:val="0"/>
              <w:rPr>
                <w:rFonts w:hint="default" w:ascii="Times New Roman" w:hAnsi="Times New Roman" w:cs="Times New Roman"/>
                <w:b/>
                <w:bCs/>
                <w:u w:val="single"/>
              </w:rPr>
            </w:pPr>
            <w:r>
              <w:rPr>
                <w:rFonts w:hint="default" w:ascii="Times New Roman" w:hAnsi="Times New Roman" w:cs="Times New Roman"/>
                <w:b/>
                <w:bCs/>
                <w:u w:val="single"/>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0" w:type="dxa"/>
            <w:noWrap w:val="0"/>
            <w:vAlign w:val="center"/>
          </w:tcPr>
          <w:p>
            <w:pPr>
              <w:pStyle w:val="79"/>
              <w:bidi w:val="0"/>
              <w:rPr>
                <w:rFonts w:hint="default" w:ascii="Times New Roman" w:hAnsi="Times New Roman" w:cs="Times New Roman"/>
                <w:u w:val="single"/>
              </w:rPr>
            </w:pPr>
            <w:r>
              <w:rPr>
                <w:rFonts w:hint="default" w:ascii="Times New Roman" w:hAnsi="Times New Roman" w:cs="Times New Roman"/>
                <w:u w:val="single"/>
              </w:rPr>
              <w:t>一级</w:t>
            </w:r>
          </w:p>
        </w:tc>
        <w:tc>
          <w:tcPr>
            <w:tcW w:w="7034" w:type="dxa"/>
            <w:noWrap w:val="0"/>
            <w:vAlign w:val="center"/>
          </w:tcPr>
          <w:p>
            <w:pPr>
              <w:pStyle w:val="79"/>
              <w:bidi w:val="0"/>
              <w:rPr>
                <w:rFonts w:hint="default" w:ascii="Times New Roman" w:hAnsi="Times New Roman" w:cs="Times New Roman"/>
                <w:u w:val="single"/>
              </w:rPr>
            </w:pPr>
            <w:r>
              <w:rPr>
                <w:rFonts w:hint="default" w:ascii="Times New Roman" w:hAnsi="Times New Roman" w:cs="Times New Roman"/>
                <w:u w:val="single"/>
              </w:rPr>
              <w:t>评价范围内有适用于GB3096规定的0类声环境功能区域，或建设项目建设前后评价范围内声环境保护目标噪声级增量达5dB(A)以上（不含5dB(A)），或受影响人口数量显著增加时。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0" w:type="dxa"/>
            <w:noWrap w:val="0"/>
            <w:vAlign w:val="center"/>
          </w:tcPr>
          <w:p>
            <w:pPr>
              <w:pStyle w:val="79"/>
              <w:bidi w:val="0"/>
              <w:rPr>
                <w:rFonts w:hint="default" w:ascii="Times New Roman" w:hAnsi="Times New Roman" w:cs="Times New Roman"/>
                <w:u w:val="single"/>
              </w:rPr>
            </w:pPr>
            <w:r>
              <w:rPr>
                <w:rFonts w:hint="default" w:ascii="Times New Roman" w:hAnsi="Times New Roman" w:cs="Times New Roman"/>
                <w:u w:val="single"/>
              </w:rPr>
              <w:t>二级</w:t>
            </w:r>
          </w:p>
        </w:tc>
        <w:tc>
          <w:tcPr>
            <w:tcW w:w="7034" w:type="dxa"/>
            <w:noWrap w:val="0"/>
            <w:vAlign w:val="center"/>
          </w:tcPr>
          <w:p>
            <w:pPr>
              <w:pStyle w:val="79"/>
              <w:bidi w:val="0"/>
              <w:rPr>
                <w:rFonts w:hint="default" w:ascii="Times New Roman" w:hAnsi="Times New Roman" w:cs="Times New Roman"/>
                <w:u w:val="single"/>
              </w:rPr>
            </w:pPr>
            <w:r>
              <w:rPr>
                <w:rFonts w:hint="default" w:ascii="Times New Roman" w:hAnsi="Times New Roman" w:cs="Times New Roman"/>
                <w:u w:val="single"/>
              </w:rPr>
              <w:t>建设项目所处的声环境功能区为GB3096规定的1类、2类地区，或建设项目建设前后评价范围内声环境保护目标噪声级增量达3dB(A)～5dB(A)，或受噪声影响人口数量增加较多时。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40" w:type="dxa"/>
            <w:noWrap w:val="0"/>
            <w:vAlign w:val="center"/>
          </w:tcPr>
          <w:p>
            <w:pPr>
              <w:pStyle w:val="79"/>
              <w:bidi w:val="0"/>
              <w:rPr>
                <w:rFonts w:hint="default" w:ascii="Times New Roman" w:hAnsi="Times New Roman" w:cs="Times New Roman"/>
                <w:u w:val="single"/>
              </w:rPr>
            </w:pPr>
            <w:r>
              <w:rPr>
                <w:rFonts w:hint="default" w:ascii="Times New Roman" w:hAnsi="Times New Roman" w:cs="Times New Roman"/>
                <w:u w:val="single"/>
              </w:rPr>
              <w:t>三级</w:t>
            </w:r>
          </w:p>
        </w:tc>
        <w:tc>
          <w:tcPr>
            <w:tcW w:w="7034" w:type="dxa"/>
            <w:noWrap w:val="0"/>
            <w:vAlign w:val="center"/>
          </w:tcPr>
          <w:p>
            <w:pPr>
              <w:pStyle w:val="79"/>
              <w:bidi w:val="0"/>
              <w:rPr>
                <w:rFonts w:hint="default" w:ascii="Times New Roman" w:hAnsi="Times New Roman" w:cs="Times New Roman"/>
                <w:u w:val="single"/>
              </w:rPr>
            </w:pPr>
            <w:r>
              <w:rPr>
                <w:rFonts w:hint="default" w:ascii="Times New Roman" w:hAnsi="Times New Roman" w:cs="Times New Roman"/>
                <w:u w:val="single"/>
              </w:rPr>
              <w:t>建设项目所处的声环境功能区为GB3096规定的3类、4类地区，或建设项目建设前后评价范围内声环境保护目标噪声级增量在3dB(A)以下（不含3dB(A)），且受影响人口数量变化不大时。</w:t>
            </w:r>
          </w:p>
        </w:tc>
      </w:tr>
    </w:tbl>
    <w:p>
      <w:pPr>
        <w:pStyle w:val="8"/>
        <w:spacing w:before="163"/>
        <w:rPr>
          <w:rFonts w:hint="eastAsia"/>
          <w:color w:val="000000"/>
          <w:u w:val="none"/>
        </w:rPr>
      </w:pPr>
      <w:bookmarkStart w:id="118" w:name="_Toc489349968"/>
      <w:bookmarkStart w:id="119" w:name="_Toc489350226"/>
      <w:bookmarkStart w:id="120" w:name="_Toc489350125"/>
      <w:r>
        <w:rPr>
          <w:rFonts w:hint="eastAsia"/>
          <w:color w:val="000000"/>
          <w:u w:val="none"/>
        </w:rPr>
        <w:t>1.7.</w:t>
      </w:r>
      <w:r>
        <w:rPr>
          <w:rFonts w:hint="eastAsia"/>
          <w:color w:val="000000"/>
          <w:u w:val="none"/>
          <w:lang w:val="en-US" w:eastAsia="zh-CN"/>
        </w:rPr>
        <w:t>5</w:t>
      </w:r>
      <w:r>
        <w:rPr>
          <w:rFonts w:hint="eastAsia"/>
          <w:color w:val="000000"/>
          <w:u w:val="none"/>
        </w:rPr>
        <w:t>土壤环境影响评价等级</w:t>
      </w:r>
    </w:p>
    <w:p>
      <w:pPr>
        <w:ind w:firstLine="480"/>
        <w:jc w:val="both"/>
        <w:rPr>
          <w:color w:val="000000"/>
          <w:position w:val="-1"/>
          <w:u w:val="none"/>
        </w:rPr>
      </w:pPr>
      <w:r>
        <w:rPr>
          <w:rFonts w:hint="eastAsia"/>
          <w:color w:val="000000"/>
          <w:u w:val="none"/>
        </w:rPr>
        <w:t>本项目为污水处理</w:t>
      </w:r>
      <w:r>
        <w:rPr>
          <w:rFonts w:hint="eastAsia"/>
          <w:color w:val="000000"/>
          <w:u w:val="none"/>
          <w:lang w:eastAsia="zh-CN"/>
        </w:rPr>
        <w:t>站</w:t>
      </w:r>
      <w:r>
        <w:rPr>
          <w:rFonts w:hint="eastAsia"/>
          <w:color w:val="000000"/>
          <w:u w:val="none"/>
        </w:rPr>
        <w:t>项目，根据</w:t>
      </w:r>
      <w:r>
        <w:rPr>
          <w:color w:val="000000"/>
          <w:kern w:val="24"/>
          <w:u w:val="none"/>
        </w:rPr>
        <w:t>HJ964-20</w:t>
      </w:r>
      <w:r>
        <w:rPr>
          <w:rFonts w:hint="eastAsia"/>
          <w:color w:val="000000"/>
          <w:kern w:val="24"/>
          <w:u w:val="none"/>
        </w:rPr>
        <w:t>1</w:t>
      </w:r>
      <w:r>
        <w:rPr>
          <w:color w:val="000000"/>
          <w:kern w:val="24"/>
          <w:u w:val="none"/>
        </w:rPr>
        <w:t>8《</w:t>
      </w:r>
      <w:r>
        <w:rPr>
          <w:color w:val="000000"/>
          <w:u w:val="none"/>
        </w:rPr>
        <w:t>环境影响评价技术导则—</w:t>
      </w:r>
      <w:r>
        <w:rPr>
          <w:rFonts w:hint="eastAsia"/>
          <w:color w:val="000000"/>
          <w:u w:val="none"/>
        </w:rPr>
        <w:t>土壤</w:t>
      </w:r>
      <w:r>
        <w:rPr>
          <w:color w:val="000000"/>
          <w:u w:val="none"/>
        </w:rPr>
        <w:t>环境</w:t>
      </w:r>
      <w:r>
        <w:rPr>
          <w:rFonts w:hint="eastAsia"/>
          <w:color w:val="000000"/>
          <w:u w:val="none"/>
        </w:rPr>
        <w:t>（试行）</w:t>
      </w:r>
      <w:r>
        <w:rPr>
          <w:color w:val="000000"/>
          <w:kern w:val="24"/>
          <w:u w:val="none"/>
        </w:rPr>
        <w:t>》</w:t>
      </w:r>
      <w:r>
        <w:rPr>
          <w:rFonts w:hint="eastAsia"/>
          <w:color w:val="000000"/>
          <w:kern w:val="24"/>
          <w:u w:val="none"/>
        </w:rPr>
        <w:t>中附录A-土壤环境影响评价行业分类表，本项目属于II类。</w:t>
      </w:r>
      <w:r>
        <w:rPr>
          <w:color w:val="000000"/>
          <w:u w:val="none"/>
        </w:rPr>
        <w:t>项目</w:t>
      </w:r>
      <w:r>
        <w:rPr>
          <w:rFonts w:hint="eastAsia"/>
          <w:color w:val="000000"/>
          <w:u w:val="none"/>
        </w:rPr>
        <w:t>位于</w:t>
      </w:r>
      <w:r>
        <w:rPr>
          <w:rFonts w:hint="eastAsia"/>
          <w:color w:val="000000"/>
          <w:kern w:val="0"/>
          <w:szCs w:val="21"/>
          <w:u w:val="none"/>
          <w:lang w:eastAsia="zh-CN"/>
        </w:rPr>
        <w:t>花垣县产业园区</w:t>
      </w:r>
      <w:r>
        <w:rPr>
          <w:rFonts w:hint="eastAsia"/>
          <w:color w:val="000000"/>
          <w:u w:val="none"/>
        </w:rPr>
        <w:t>，项目占地类型为</w:t>
      </w:r>
      <w:r>
        <w:rPr>
          <w:rFonts w:hint="eastAsia"/>
          <w:color w:val="000000"/>
          <w:u w:val="none"/>
          <w:lang w:eastAsia="zh-CN"/>
        </w:rPr>
        <w:t>建设用地</w:t>
      </w:r>
      <w:r>
        <w:rPr>
          <w:rFonts w:hint="eastAsia"/>
          <w:color w:val="000000"/>
          <w:u w:val="none"/>
        </w:rPr>
        <w:t>，故属于土壤环境污染影响类敏感程度分级表的“</w:t>
      </w:r>
      <w:r>
        <w:rPr>
          <w:rFonts w:hint="eastAsia"/>
          <w:color w:val="000000"/>
          <w:u w:val="none"/>
          <w:lang w:eastAsia="zh-CN"/>
        </w:rPr>
        <w:t>不敏感</w:t>
      </w:r>
      <w:r>
        <w:rPr>
          <w:rFonts w:hint="eastAsia"/>
          <w:color w:val="000000"/>
          <w:u w:val="none"/>
        </w:rPr>
        <w:t>”地区；项目占地规模为小型。</w:t>
      </w:r>
      <w:r>
        <w:rPr>
          <w:color w:val="000000"/>
          <w:u w:val="none"/>
        </w:rPr>
        <w:t>由下表可知，</w:t>
      </w:r>
      <w:r>
        <w:rPr>
          <w:rFonts w:hint="eastAsia"/>
          <w:color w:val="000000"/>
          <w:u w:val="none"/>
        </w:rPr>
        <w:t>本项目土壤评价等级为三级</w:t>
      </w:r>
      <w:r>
        <w:rPr>
          <w:color w:val="000000"/>
          <w:position w:val="-1"/>
          <w:u w:val="none"/>
        </w:rPr>
        <w:t>。</w:t>
      </w:r>
    </w:p>
    <w:p>
      <w:pPr>
        <w:pStyle w:val="98"/>
        <w:rPr>
          <w:color w:val="000000"/>
          <w:u w:val="none"/>
        </w:rPr>
      </w:pPr>
      <w:r>
        <w:rPr>
          <w:color w:val="000000"/>
          <w:u w:val="none"/>
        </w:rPr>
        <w:t>表</w:t>
      </w:r>
      <w:r>
        <w:rPr>
          <w:color w:val="000000"/>
          <w:spacing w:val="-52"/>
          <w:u w:val="none"/>
        </w:rPr>
        <w:t xml:space="preserve"> </w:t>
      </w:r>
      <w:r>
        <w:rPr>
          <w:color w:val="000000"/>
          <w:spacing w:val="-8"/>
          <w:u w:val="none"/>
        </w:rPr>
        <w:t>1.7-</w:t>
      </w:r>
      <w:r>
        <w:rPr>
          <w:rFonts w:hint="eastAsia"/>
          <w:color w:val="000000"/>
          <w:spacing w:val="-8"/>
          <w:u w:val="none"/>
          <w:lang w:val="en-US" w:eastAsia="zh-CN"/>
        </w:rPr>
        <w:t>5</w:t>
      </w:r>
      <w:r>
        <w:rPr>
          <w:rFonts w:hint="eastAsia"/>
          <w:color w:val="000000"/>
          <w:u w:val="none"/>
        </w:rPr>
        <w:t xml:space="preserve"> </w:t>
      </w:r>
      <w:r>
        <w:rPr>
          <w:color w:val="000000"/>
          <w:u w:val="none"/>
        </w:rPr>
        <w:t>评价工作等级分级</w:t>
      </w:r>
      <w:r>
        <w:rPr>
          <w:rFonts w:hint="eastAsia"/>
          <w:color w:val="000000"/>
          <w:u w:val="none"/>
        </w:rPr>
        <w:t>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730"/>
        <w:gridCol w:w="827"/>
        <w:gridCol w:w="711"/>
        <w:gridCol w:w="709"/>
        <w:gridCol w:w="709"/>
        <w:gridCol w:w="708"/>
        <w:gridCol w:w="709"/>
        <w:gridCol w:w="684"/>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jc w:val="center"/>
        </w:trPr>
        <w:tc>
          <w:tcPr>
            <w:tcW w:w="1951" w:type="dxa"/>
            <w:vMerge w:val="restart"/>
            <w:noWrap w:val="0"/>
            <w:vAlign w:val="center"/>
          </w:tcPr>
          <w:p>
            <w:pPr>
              <w:snapToGrid w:val="0"/>
              <w:spacing w:line="240" w:lineRule="auto"/>
              <w:ind w:firstLine="0" w:firstLineChars="0"/>
              <w:jc w:val="center"/>
              <w:rPr>
                <w:rFonts w:cs="黑体"/>
                <w:color w:val="000000"/>
                <w:sz w:val="21"/>
                <w:szCs w:val="21"/>
                <w:u w:val="none"/>
              </w:rPr>
            </w:pPr>
            <w:r>
              <w:rPr>
                <w:b/>
                <w:color w:val="000000"/>
                <w:u w:val="none"/>
              </w:rPr>
              <mc:AlternateContent>
                <mc:Choice Requires="wps">
                  <w:drawing>
                    <wp:anchor distT="0" distB="0" distL="114300" distR="114300" simplePos="0" relativeHeight="251659264" behindDoc="0" locked="0" layoutInCell="1" allowOverlap="1">
                      <wp:simplePos x="0" y="0"/>
                      <wp:positionH relativeFrom="column">
                        <wp:posOffset>460375</wp:posOffset>
                      </wp:positionH>
                      <wp:positionV relativeFrom="paragraph">
                        <wp:posOffset>11430</wp:posOffset>
                      </wp:positionV>
                      <wp:extent cx="713740" cy="440055"/>
                      <wp:effectExtent l="2540" t="3810" r="7620" b="13335"/>
                      <wp:wrapNone/>
                      <wp:docPr id="1" name="自选图形 517"/>
                      <wp:cNvGraphicFramePr/>
                      <a:graphic xmlns:a="http://schemas.openxmlformats.org/drawingml/2006/main">
                        <a:graphicData uri="http://schemas.microsoft.com/office/word/2010/wordprocessingShape">
                          <wps:wsp>
                            <wps:cNvCnPr/>
                            <wps:spPr>
                              <a:xfrm>
                                <a:off x="0" y="0"/>
                                <a:ext cx="713740" cy="440055"/>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自选图形 517" o:spid="_x0000_s1026" o:spt="32" type="#_x0000_t32" style="position:absolute;left:0pt;margin-left:36.25pt;margin-top:0.9pt;height:34.65pt;width:56.2pt;z-index:251659264;mso-width-relative:page;mso-height-relative:page;" filled="f" stroked="t" coordsize="21600,21600" o:gfxdata="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Dd2HtN1QAAAAcBAAAPAAAAAAAAAAEAIAAAADgAAABkcnMvZG93bnJldi54bWxQSwECFAAU&#10;AAAACACHTuJAxldLit4BAACbAwAADgAAAAAAAAABACAAAAA6AQAAZHJzL2Uyb0RvYy54bWxQSwUG&#10;AAAAAAYABgBZAQAAigUAAAAA&#10;">
                      <v:fill on="f" focussize="0,0"/>
                      <v:stroke weight="0.5pt" color="#000000" joinstyle="round"/>
                      <v:imagedata o:title=""/>
                      <o:lock v:ext="edit" aspectratio="f"/>
                    </v:shape>
                  </w:pict>
                </mc:Fallback>
              </mc:AlternateContent>
            </w:r>
            <w:r>
              <w:rPr>
                <w:rFonts w:hint="eastAsia" w:cs="宋体"/>
                <w:bCs/>
                <w:color w:val="000000"/>
                <w:sz w:val="21"/>
                <w:szCs w:val="21"/>
                <w:u w:val="none"/>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185420</wp:posOffset>
                      </wp:positionV>
                      <wp:extent cx="1197610" cy="357505"/>
                      <wp:effectExtent l="1270" t="4445" r="1270" b="19050"/>
                      <wp:wrapNone/>
                      <wp:docPr id="2" name="自选图形 518"/>
                      <wp:cNvGraphicFramePr/>
                      <a:graphic xmlns:a="http://schemas.openxmlformats.org/drawingml/2006/main">
                        <a:graphicData uri="http://schemas.microsoft.com/office/word/2010/wordprocessingShape">
                          <wps:wsp>
                            <wps:cNvCnPr/>
                            <wps:spPr>
                              <a:xfrm>
                                <a:off x="0" y="0"/>
                                <a:ext cx="1197610" cy="357505"/>
                              </a:xfrm>
                              <a:prstGeom prst="straightConnector1">
                                <a:avLst/>
                              </a:prstGeom>
                              <a:ln w="6350" cap="flat" cmpd="sng">
                                <a:solidFill>
                                  <a:srgbClr val="000000"/>
                                </a:solidFill>
                                <a:prstDash val="solid"/>
                                <a:headEnd type="none" w="med" len="med"/>
                                <a:tailEnd type="none" w="med" len="med"/>
                              </a:ln>
                            </wps:spPr>
                            <wps:bodyPr/>
                          </wps:wsp>
                        </a:graphicData>
                      </a:graphic>
                    </wp:anchor>
                  </w:drawing>
                </mc:Choice>
                <mc:Fallback>
                  <w:pict>
                    <v:shape id="自选图形 518" o:spid="_x0000_s1026" o:spt="32" type="#_x0000_t32" style="position:absolute;left:0pt;margin-left:-4.3pt;margin-top:14.6pt;height:28.15pt;width:94.3pt;z-index:251660288;mso-width-relative:page;mso-height-relative:page;" filled="f" stroked="t" coordsize="21600,21600" o:gfxdata="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WAAAAZHJzL1BLAQIUABQA&#10;AAAIAIdO4kDIheeF1wAAAAgBAAAPAAAAAAAAAAEAIAAAADgAAABkcnMvZG93bnJldi54bWxQSwEC&#10;FAAUAAAACACHTuJARr2zg98BAACcAwAADgAAAAAAAAABACAAAAA8AQAAZHJzL2Uyb0RvYy54bWxQ&#10;SwUGAAAAAAYABgBZAQAAjQUAAAAA&#10;">
                      <v:fill on="f" focussize="0,0"/>
                      <v:stroke weight="0.5pt" color="#000000" joinstyle="round"/>
                      <v:imagedata o:title=""/>
                      <o:lock v:ext="edit" aspectratio="f"/>
                    </v:shape>
                  </w:pict>
                </mc:Fallback>
              </mc:AlternateContent>
            </w:r>
            <w:r>
              <w:rPr>
                <w:rFonts w:hint="eastAsia" w:cs="黑体"/>
                <w:color w:val="000000"/>
                <w:sz w:val="21"/>
                <w:szCs w:val="21"/>
                <w:u w:val="none"/>
              </w:rPr>
              <w:t xml:space="preserve"> </w:t>
            </w:r>
            <w:r>
              <w:rPr>
                <w:rFonts w:cs="黑体"/>
                <w:color w:val="000000"/>
                <w:sz w:val="21"/>
                <w:szCs w:val="21"/>
                <w:u w:val="none"/>
              </w:rPr>
              <w:t xml:space="preserve">       </w:t>
            </w:r>
            <w:r>
              <w:rPr>
                <w:rFonts w:hint="eastAsia" w:cs="黑体"/>
                <w:color w:val="000000"/>
                <w:sz w:val="21"/>
                <w:szCs w:val="21"/>
                <w:u w:val="none"/>
              </w:rPr>
              <w:t>占地规模</w:t>
            </w:r>
          </w:p>
          <w:p>
            <w:pPr>
              <w:snapToGrid w:val="0"/>
              <w:spacing w:line="240" w:lineRule="auto"/>
              <w:ind w:firstLine="0" w:firstLineChars="0"/>
              <w:jc w:val="center"/>
              <w:rPr>
                <w:rFonts w:cs="黑体"/>
                <w:color w:val="000000"/>
                <w:sz w:val="21"/>
                <w:szCs w:val="21"/>
                <w:u w:val="none"/>
              </w:rPr>
            </w:pPr>
            <w:r>
              <w:rPr>
                <w:rFonts w:hint="eastAsia" w:cs="黑体"/>
                <w:color w:val="000000"/>
                <w:sz w:val="21"/>
                <w:szCs w:val="21"/>
                <w:u w:val="none"/>
              </w:rPr>
              <w:t xml:space="preserve"> 评价工作等级</w:t>
            </w:r>
          </w:p>
          <w:p>
            <w:pPr>
              <w:snapToGrid w:val="0"/>
              <w:spacing w:line="240" w:lineRule="auto"/>
              <w:ind w:firstLine="0" w:firstLineChars="0"/>
              <w:rPr>
                <w:rFonts w:hint="eastAsia" w:cs="黑体"/>
                <w:color w:val="000000"/>
                <w:sz w:val="21"/>
                <w:szCs w:val="21"/>
                <w:u w:val="none"/>
              </w:rPr>
            </w:pPr>
            <w:r>
              <w:rPr>
                <w:rFonts w:hint="eastAsia" w:cs="黑体"/>
                <w:color w:val="000000"/>
                <w:sz w:val="21"/>
                <w:szCs w:val="21"/>
                <w:u w:val="none"/>
              </w:rPr>
              <w:t>环境敏感程度</w:t>
            </w:r>
          </w:p>
        </w:tc>
        <w:tc>
          <w:tcPr>
            <w:tcW w:w="2268" w:type="dxa"/>
            <w:gridSpan w:val="3"/>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I类</w:t>
            </w:r>
          </w:p>
        </w:tc>
        <w:tc>
          <w:tcPr>
            <w:tcW w:w="2126" w:type="dxa"/>
            <w:gridSpan w:val="3"/>
            <w:noWrap w:val="0"/>
            <w:vAlign w:val="center"/>
          </w:tcPr>
          <w:p>
            <w:pPr>
              <w:snapToGrid w:val="0"/>
              <w:spacing w:line="240" w:lineRule="auto"/>
              <w:ind w:firstLine="0" w:firstLineChars="0"/>
              <w:jc w:val="center"/>
              <w:rPr>
                <w:rFonts w:cs="黑体"/>
                <w:color w:val="000000"/>
                <w:sz w:val="21"/>
                <w:szCs w:val="21"/>
                <w:u w:val="none"/>
              </w:rPr>
            </w:pPr>
            <w:r>
              <w:rPr>
                <w:rFonts w:hint="eastAsia" w:cs="黑体"/>
                <w:color w:val="000000"/>
                <w:sz w:val="21"/>
                <w:szCs w:val="21"/>
                <w:u w:val="none"/>
              </w:rPr>
              <w:t>II类</w:t>
            </w:r>
          </w:p>
        </w:tc>
        <w:tc>
          <w:tcPr>
            <w:tcW w:w="2177" w:type="dxa"/>
            <w:gridSpan w:val="3"/>
            <w:noWrap w:val="0"/>
            <w:vAlign w:val="center"/>
          </w:tcPr>
          <w:p>
            <w:pPr>
              <w:snapToGrid w:val="0"/>
              <w:spacing w:line="240" w:lineRule="auto"/>
              <w:ind w:firstLine="0" w:firstLineChars="0"/>
              <w:jc w:val="center"/>
              <w:rPr>
                <w:rFonts w:cs="黑体"/>
                <w:color w:val="000000"/>
                <w:sz w:val="21"/>
                <w:szCs w:val="21"/>
                <w:u w:val="none"/>
              </w:rPr>
            </w:pPr>
            <w:r>
              <w:rPr>
                <w:rFonts w:hint="eastAsia" w:cs="黑体"/>
                <w:color w:val="000000"/>
                <w:sz w:val="21"/>
                <w:szCs w:val="21"/>
                <w:u w:val="none"/>
              </w:rPr>
              <w:t>III类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jc w:val="center"/>
        </w:trPr>
        <w:tc>
          <w:tcPr>
            <w:tcW w:w="1951" w:type="dxa"/>
            <w:vMerge w:val="continue"/>
            <w:noWrap w:val="0"/>
            <w:vAlign w:val="center"/>
          </w:tcPr>
          <w:p>
            <w:pPr>
              <w:snapToGrid w:val="0"/>
              <w:spacing w:line="240" w:lineRule="auto"/>
              <w:ind w:firstLine="0" w:firstLineChars="0"/>
              <w:jc w:val="center"/>
              <w:rPr>
                <w:rFonts w:hint="eastAsia" w:cs="黑体"/>
                <w:color w:val="000000"/>
                <w:sz w:val="21"/>
                <w:szCs w:val="21"/>
                <w:u w:val="none"/>
              </w:rPr>
            </w:pPr>
          </w:p>
        </w:tc>
        <w:tc>
          <w:tcPr>
            <w:tcW w:w="730"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大</w:t>
            </w:r>
          </w:p>
        </w:tc>
        <w:tc>
          <w:tcPr>
            <w:tcW w:w="827"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中</w:t>
            </w:r>
          </w:p>
        </w:tc>
        <w:tc>
          <w:tcPr>
            <w:tcW w:w="711"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小</w:t>
            </w:r>
          </w:p>
        </w:tc>
        <w:tc>
          <w:tcPr>
            <w:tcW w:w="709"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大</w:t>
            </w:r>
          </w:p>
        </w:tc>
        <w:tc>
          <w:tcPr>
            <w:tcW w:w="709"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中</w:t>
            </w:r>
          </w:p>
        </w:tc>
        <w:tc>
          <w:tcPr>
            <w:tcW w:w="708"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小</w:t>
            </w:r>
          </w:p>
        </w:tc>
        <w:tc>
          <w:tcPr>
            <w:tcW w:w="709"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大</w:t>
            </w:r>
          </w:p>
        </w:tc>
        <w:tc>
          <w:tcPr>
            <w:tcW w:w="684"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中</w:t>
            </w:r>
          </w:p>
        </w:tc>
        <w:tc>
          <w:tcPr>
            <w:tcW w:w="784"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51"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敏感</w:t>
            </w:r>
          </w:p>
        </w:tc>
        <w:tc>
          <w:tcPr>
            <w:tcW w:w="730"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一级</w:t>
            </w:r>
          </w:p>
        </w:tc>
        <w:tc>
          <w:tcPr>
            <w:tcW w:w="827"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一级</w:t>
            </w:r>
          </w:p>
        </w:tc>
        <w:tc>
          <w:tcPr>
            <w:tcW w:w="711"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一级</w:t>
            </w:r>
          </w:p>
        </w:tc>
        <w:tc>
          <w:tcPr>
            <w:tcW w:w="709" w:type="dxa"/>
            <w:noWrap w:val="0"/>
            <w:vAlign w:val="center"/>
          </w:tcPr>
          <w:p>
            <w:pPr>
              <w:spacing w:line="240" w:lineRule="auto"/>
              <w:ind w:firstLine="0" w:firstLineChars="0"/>
              <w:jc w:val="center"/>
              <w:rPr>
                <w:color w:val="000000"/>
                <w:sz w:val="21"/>
                <w:szCs w:val="21"/>
                <w:u w:val="none"/>
              </w:rPr>
            </w:pPr>
            <w:r>
              <w:rPr>
                <w:rFonts w:hint="eastAsia"/>
                <w:color w:val="000000"/>
                <w:sz w:val="21"/>
                <w:szCs w:val="21"/>
                <w:u w:val="none"/>
              </w:rPr>
              <w:t>二级</w:t>
            </w:r>
          </w:p>
        </w:tc>
        <w:tc>
          <w:tcPr>
            <w:tcW w:w="709" w:type="dxa"/>
            <w:noWrap w:val="0"/>
            <w:vAlign w:val="center"/>
          </w:tcPr>
          <w:p>
            <w:pPr>
              <w:spacing w:line="240" w:lineRule="auto"/>
              <w:ind w:firstLine="0" w:firstLineChars="0"/>
              <w:jc w:val="center"/>
              <w:rPr>
                <w:color w:val="000000"/>
                <w:sz w:val="21"/>
                <w:szCs w:val="21"/>
                <w:u w:val="none"/>
              </w:rPr>
            </w:pPr>
            <w:r>
              <w:rPr>
                <w:rFonts w:hint="eastAsia"/>
                <w:color w:val="000000"/>
                <w:sz w:val="21"/>
                <w:szCs w:val="21"/>
                <w:u w:val="none"/>
              </w:rPr>
              <w:t>二级</w:t>
            </w:r>
          </w:p>
        </w:tc>
        <w:tc>
          <w:tcPr>
            <w:tcW w:w="708" w:type="dxa"/>
            <w:noWrap w:val="0"/>
            <w:vAlign w:val="center"/>
          </w:tcPr>
          <w:p>
            <w:pPr>
              <w:snapToGrid w:val="0"/>
              <w:spacing w:line="240" w:lineRule="auto"/>
              <w:ind w:firstLine="0" w:firstLineChars="0"/>
              <w:jc w:val="center"/>
              <w:rPr>
                <w:rFonts w:cs="黑体"/>
                <w:color w:val="000000"/>
                <w:sz w:val="21"/>
                <w:szCs w:val="21"/>
                <w:u w:val="none"/>
              </w:rPr>
            </w:pPr>
            <w:r>
              <w:rPr>
                <w:rFonts w:hint="eastAsia" w:cs="黑体"/>
                <w:color w:val="000000"/>
                <w:sz w:val="21"/>
                <w:szCs w:val="21"/>
                <w:u w:val="none"/>
              </w:rPr>
              <w:t>二级</w:t>
            </w:r>
          </w:p>
        </w:tc>
        <w:tc>
          <w:tcPr>
            <w:tcW w:w="709" w:type="dxa"/>
            <w:noWrap w:val="0"/>
            <w:vAlign w:val="center"/>
          </w:tcPr>
          <w:p>
            <w:pPr>
              <w:spacing w:line="240" w:lineRule="auto"/>
              <w:ind w:firstLine="0" w:firstLineChars="0"/>
              <w:jc w:val="center"/>
              <w:rPr>
                <w:color w:val="000000"/>
                <w:sz w:val="21"/>
                <w:szCs w:val="21"/>
                <w:u w:val="none"/>
              </w:rPr>
            </w:pPr>
            <w:r>
              <w:rPr>
                <w:rFonts w:hint="eastAsia"/>
                <w:color w:val="000000"/>
                <w:sz w:val="21"/>
                <w:szCs w:val="21"/>
                <w:u w:val="none"/>
              </w:rPr>
              <w:t>三级</w:t>
            </w:r>
          </w:p>
        </w:tc>
        <w:tc>
          <w:tcPr>
            <w:tcW w:w="684" w:type="dxa"/>
            <w:noWrap w:val="0"/>
            <w:vAlign w:val="center"/>
          </w:tcPr>
          <w:p>
            <w:pPr>
              <w:spacing w:line="240" w:lineRule="auto"/>
              <w:ind w:firstLine="0" w:firstLineChars="0"/>
              <w:jc w:val="center"/>
              <w:rPr>
                <w:color w:val="000000"/>
                <w:sz w:val="21"/>
                <w:szCs w:val="21"/>
                <w:u w:val="none"/>
              </w:rPr>
            </w:pPr>
            <w:r>
              <w:rPr>
                <w:rFonts w:hint="eastAsia"/>
                <w:color w:val="000000"/>
                <w:sz w:val="21"/>
                <w:szCs w:val="21"/>
                <w:u w:val="none"/>
              </w:rPr>
              <w:t>三级</w:t>
            </w:r>
          </w:p>
        </w:tc>
        <w:tc>
          <w:tcPr>
            <w:tcW w:w="784"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51"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较敏感</w:t>
            </w:r>
          </w:p>
        </w:tc>
        <w:tc>
          <w:tcPr>
            <w:tcW w:w="730" w:type="dxa"/>
            <w:noWrap w:val="0"/>
            <w:vAlign w:val="center"/>
          </w:tcPr>
          <w:p>
            <w:pPr>
              <w:snapToGrid w:val="0"/>
              <w:spacing w:line="240" w:lineRule="auto"/>
              <w:ind w:firstLine="0" w:firstLineChars="0"/>
              <w:jc w:val="center"/>
              <w:rPr>
                <w:rFonts w:cs="黑体"/>
                <w:color w:val="000000"/>
                <w:sz w:val="21"/>
                <w:szCs w:val="21"/>
                <w:u w:val="none"/>
              </w:rPr>
            </w:pPr>
            <w:r>
              <w:rPr>
                <w:rFonts w:hint="eastAsia" w:cs="黑体"/>
                <w:color w:val="000000"/>
                <w:sz w:val="21"/>
                <w:szCs w:val="21"/>
                <w:u w:val="none"/>
              </w:rPr>
              <w:t>一级</w:t>
            </w:r>
          </w:p>
        </w:tc>
        <w:tc>
          <w:tcPr>
            <w:tcW w:w="827" w:type="dxa"/>
            <w:noWrap w:val="0"/>
            <w:vAlign w:val="center"/>
          </w:tcPr>
          <w:p>
            <w:pPr>
              <w:snapToGrid w:val="0"/>
              <w:spacing w:line="240" w:lineRule="auto"/>
              <w:ind w:firstLine="0" w:firstLineChars="0"/>
              <w:jc w:val="center"/>
              <w:rPr>
                <w:rFonts w:cs="黑体"/>
                <w:color w:val="000000"/>
                <w:sz w:val="21"/>
                <w:szCs w:val="21"/>
                <w:u w:val="none"/>
              </w:rPr>
            </w:pPr>
            <w:r>
              <w:rPr>
                <w:rFonts w:hint="eastAsia" w:cs="黑体"/>
                <w:color w:val="000000"/>
                <w:sz w:val="21"/>
                <w:szCs w:val="21"/>
                <w:u w:val="none"/>
              </w:rPr>
              <w:t>一级</w:t>
            </w:r>
          </w:p>
        </w:tc>
        <w:tc>
          <w:tcPr>
            <w:tcW w:w="711" w:type="dxa"/>
            <w:noWrap w:val="0"/>
            <w:vAlign w:val="center"/>
          </w:tcPr>
          <w:p>
            <w:pPr>
              <w:spacing w:line="240" w:lineRule="auto"/>
              <w:ind w:firstLine="0" w:firstLineChars="0"/>
              <w:jc w:val="center"/>
              <w:rPr>
                <w:color w:val="000000"/>
                <w:sz w:val="21"/>
                <w:szCs w:val="21"/>
                <w:u w:val="none"/>
              </w:rPr>
            </w:pPr>
            <w:r>
              <w:rPr>
                <w:rFonts w:hint="eastAsia"/>
                <w:color w:val="000000"/>
                <w:sz w:val="21"/>
                <w:szCs w:val="21"/>
                <w:u w:val="none"/>
              </w:rPr>
              <w:t>二级</w:t>
            </w:r>
          </w:p>
        </w:tc>
        <w:tc>
          <w:tcPr>
            <w:tcW w:w="709" w:type="dxa"/>
            <w:noWrap w:val="0"/>
            <w:vAlign w:val="center"/>
          </w:tcPr>
          <w:p>
            <w:pPr>
              <w:spacing w:line="240" w:lineRule="auto"/>
              <w:ind w:firstLine="0" w:firstLineChars="0"/>
              <w:jc w:val="center"/>
              <w:rPr>
                <w:color w:val="000000"/>
                <w:sz w:val="21"/>
                <w:szCs w:val="21"/>
                <w:u w:val="none"/>
              </w:rPr>
            </w:pPr>
            <w:r>
              <w:rPr>
                <w:rFonts w:hint="eastAsia"/>
                <w:color w:val="000000"/>
                <w:sz w:val="21"/>
                <w:szCs w:val="21"/>
                <w:u w:val="none"/>
              </w:rPr>
              <w:t>二级</w:t>
            </w:r>
          </w:p>
        </w:tc>
        <w:tc>
          <w:tcPr>
            <w:tcW w:w="709" w:type="dxa"/>
            <w:noWrap w:val="0"/>
            <w:vAlign w:val="center"/>
          </w:tcPr>
          <w:p>
            <w:pPr>
              <w:spacing w:line="240" w:lineRule="auto"/>
              <w:ind w:firstLine="0" w:firstLineChars="0"/>
              <w:jc w:val="center"/>
              <w:rPr>
                <w:color w:val="000000"/>
                <w:sz w:val="21"/>
                <w:szCs w:val="21"/>
                <w:u w:val="none"/>
              </w:rPr>
            </w:pPr>
            <w:r>
              <w:rPr>
                <w:rFonts w:hint="eastAsia"/>
                <w:color w:val="000000"/>
                <w:sz w:val="21"/>
                <w:szCs w:val="21"/>
                <w:u w:val="none"/>
              </w:rPr>
              <w:t>二级</w:t>
            </w:r>
          </w:p>
        </w:tc>
        <w:tc>
          <w:tcPr>
            <w:tcW w:w="708" w:type="dxa"/>
            <w:noWrap w:val="0"/>
            <w:vAlign w:val="center"/>
          </w:tcPr>
          <w:p>
            <w:pPr>
              <w:snapToGrid w:val="0"/>
              <w:spacing w:line="240" w:lineRule="auto"/>
              <w:ind w:firstLine="0" w:firstLineChars="0"/>
              <w:jc w:val="center"/>
              <w:rPr>
                <w:rFonts w:cs="黑体"/>
                <w:color w:val="000000"/>
                <w:sz w:val="21"/>
                <w:szCs w:val="21"/>
                <w:u w:val="none"/>
              </w:rPr>
            </w:pPr>
            <w:r>
              <w:rPr>
                <w:rFonts w:hint="eastAsia" w:cs="黑体"/>
                <w:color w:val="000000"/>
                <w:sz w:val="21"/>
                <w:szCs w:val="21"/>
                <w:u w:val="none"/>
              </w:rPr>
              <w:t>三级</w:t>
            </w:r>
          </w:p>
        </w:tc>
        <w:tc>
          <w:tcPr>
            <w:tcW w:w="709" w:type="dxa"/>
            <w:noWrap w:val="0"/>
            <w:vAlign w:val="center"/>
          </w:tcPr>
          <w:p>
            <w:pPr>
              <w:spacing w:line="240" w:lineRule="auto"/>
              <w:ind w:firstLine="0" w:firstLineChars="0"/>
              <w:jc w:val="center"/>
              <w:rPr>
                <w:color w:val="000000"/>
                <w:sz w:val="21"/>
                <w:szCs w:val="21"/>
                <w:u w:val="none"/>
              </w:rPr>
            </w:pPr>
            <w:r>
              <w:rPr>
                <w:rFonts w:hint="eastAsia"/>
                <w:color w:val="000000"/>
                <w:sz w:val="21"/>
                <w:szCs w:val="21"/>
                <w:u w:val="none"/>
              </w:rPr>
              <w:t>三级</w:t>
            </w:r>
          </w:p>
        </w:tc>
        <w:tc>
          <w:tcPr>
            <w:tcW w:w="684" w:type="dxa"/>
            <w:noWrap w:val="0"/>
            <w:vAlign w:val="center"/>
          </w:tcPr>
          <w:p>
            <w:pPr>
              <w:spacing w:line="240" w:lineRule="auto"/>
              <w:ind w:firstLine="0" w:firstLineChars="0"/>
              <w:jc w:val="center"/>
              <w:rPr>
                <w:color w:val="000000"/>
                <w:sz w:val="21"/>
                <w:szCs w:val="21"/>
                <w:u w:val="none"/>
              </w:rPr>
            </w:pPr>
            <w:r>
              <w:rPr>
                <w:rFonts w:hint="eastAsia"/>
                <w:color w:val="000000"/>
                <w:sz w:val="21"/>
                <w:szCs w:val="21"/>
                <w:u w:val="none"/>
              </w:rPr>
              <w:t>三级</w:t>
            </w:r>
          </w:p>
        </w:tc>
        <w:tc>
          <w:tcPr>
            <w:tcW w:w="784" w:type="dxa"/>
            <w:noWrap w:val="0"/>
            <w:vAlign w:val="center"/>
          </w:tcPr>
          <w:p>
            <w:pPr>
              <w:snapToGrid w:val="0"/>
              <w:spacing w:line="240" w:lineRule="auto"/>
              <w:ind w:firstLine="0" w:firstLineChars="0"/>
              <w:jc w:val="center"/>
              <w:rPr>
                <w:rFonts w:hint="eastAsia" w:cs="黑体"/>
                <w:color w:val="000000"/>
                <w:sz w:val="21"/>
                <w:szCs w:val="21"/>
                <w:u w:val="none"/>
              </w:rPr>
            </w:pPr>
            <w:r>
              <w:rPr>
                <w:rFonts w:cs="黑体"/>
                <w:color w:val="000000"/>
                <w:sz w:val="21"/>
                <w:szCs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951"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不敏感</w:t>
            </w:r>
          </w:p>
        </w:tc>
        <w:tc>
          <w:tcPr>
            <w:tcW w:w="730" w:type="dxa"/>
            <w:noWrap w:val="0"/>
            <w:vAlign w:val="center"/>
          </w:tcPr>
          <w:p>
            <w:pPr>
              <w:snapToGrid w:val="0"/>
              <w:spacing w:line="240" w:lineRule="auto"/>
              <w:ind w:firstLine="0" w:firstLineChars="0"/>
              <w:jc w:val="center"/>
              <w:rPr>
                <w:rFonts w:cs="黑体"/>
                <w:color w:val="000000"/>
                <w:sz w:val="21"/>
                <w:szCs w:val="21"/>
                <w:u w:val="none"/>
              </w:rPr>
            </w:pPr>
            <w:r>
              <w:rPr>
                <w:rFonts w:hint="eastAsia" w:cs="黑体"/>
                <w:color w:val="000000"/>
                <w:sz w:val="21"/>
                <w:szCs w:val="21"/>
                <w:u w:val="none"/>
              </w:rPr>
              <w:t>一级</w:t>
            </w:r>
          </w:p>
        </w:tc>
        <w:tc>
          <w:tcPr>
            <w:tcW w:w="827" w:type="dxa"/>
            <w:noWrap w:val="0"/>
            <w:vAlign w:val="center"/>
          </w:tcPr>
          <w:p>
            <w:pPr>
              <w:snapToGrid w:val="0"/>
              <w:spacing w:line="240" w:lineRule="auto"/>
              <w:ind w:firstLine="0" w:firstLineChars="0"/>
              <w:jc w:val="center"/>
              <w:rPr>
                <w:rFonts w:cs="黑体"/>
                <w:color w:val="000000"/>
                <w:sz w:val="21"/>
                <w:szCs w:val="21"/>
                <w:u w:val="none"/>
              </w:rPr>
            </w:pPr>
            <w:r>
              <w:rPr>
                <w:rFonts w:hint="eastAsia" w:cs="黑体"/>
                <w:color w:val="000000"/>
                <w:sz w:val="21"/>
                <w:szCs w:val="21"/>
                <w:u w:val="none"/>
              </w:rPr>
              <w:t>二级</w:t>
            </w:r>
          </w:p>
        </w:tc>
        <w:tc>
          <w:tcPr>
            <w:tcW w:w="711" w:type="dxa"/>
            <w:noWrap w:val="0"/>
            <w:vAlign w:val="center"/>
          </w:tcPr>
          <w:p>
            <w:pPr>
              <w:spacing w:line="240" w:lineRule="auto"/>
              <w:ind w:firstLine="0" w:firstLineChars="0"/>
              <w:jc w:val="center"/>
              <w:rPr>
                <w:color w:val="000000"/>
                <w:sz w:val="21"/>
                <w:szCs w:val="21"/>
                <w:u w:val="none"/>
              </w:rPr>
            </w:pPr>
            <w:r>
              <w:rPr>
                <w:rFonts w:hint="eastAsia"/>
                <w:color w:val="000000"/>
                <w:sz w:val="21"/>
                <w:szCs w:val="21"/>
                <w:u w:val="none"/>
              </w:rPr>
              <w:t>二级</w:t>
            </w:r>
          </w:p>
        </w:tc>
        <w:tc>
          <w:tcPr>
            <w:tcW w:w="709"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二级</w:t>
            </w:r>
          </w:p>
        </w:tc>
        <w:tc>
          <w:tcPr>
            <w:tcW w:w="709"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三级</w:t>
            </w:r>
          </w:p>
        </w:tc>
        <w:tc>
          <w:tcPr>
            <w:tcW w:w="708" w:type="dxa"/>
            <w:noWrap w:val="0"/>
            <w:vAlign w:val="center"/>
          </w:tcPr>
          <w:p>
            <w:pPr>
              <w:snapToGrid w:val="0"/>
              <w:spacing w:line="240" w:lineRule="auto"/>
              <w:ind w:firstLine="0" w:firstLineChars="0"/>
              <w:jc w:val="center"/>
              <w:rPr>
                <w:rFonts w:hint="eastAsia" w:cs="黑体"/>
                <w:color w:val="000000"/>
                <w:sz w:val="21"/>
                <w:szCs w:val="21"/>
                <w:u w:val="none"/>
              </w:rPr>
            </w:pPr>
            <w:r>
              <w:rPr>
                <w:rFonts w:hint="eastAsia" w:cs="黑体"/>
                <w:color w:val="000000"/>
                <w:sz w:val="21"/>
                <w:szCs w:val="21"/>
                <w:u w:val="none"/>
              </w:rPr>
              <w:t>三级</w:t>
            </w:r>
          </w:p>
        </w:tc>
        <w:tc>
          <w:tcPr>
            <w:tcW w:w="709" w:type="dxa"/>
            <w:noWrap w:val="0"/>
            <w:vAlign w:val="center"/>
          </w:tcPr>
          <w:p>
            <w:pPr>
              <w:spacing w:line="240" w:lineRule="auto"/>
              <w:ind w:firstLine="0" w:firstLineChars="0"/>
              <w:jc w:val="center"/>
              <w:rPr>
                <w:color w:val="000000"/>
                <w:sz w:val="21"/>
                <w:szCs w:val="21"/>
                <w:u w:val="none"/>
              </w:rPr>
            </w:pPr>
            <w:r>
              <w:rPr>
                <w:rFonts w:hint="eastAsia"/>
                <w:color w:val="000000"/>
                <w:sz w:val="21"/>
                <w:szCs w:val="21"/>
                <w:u w:val="none"/>
              </w:rPr>
              <w:t>三级</w:t>
            </w:r>
          </w:p>
        </w:tc>
        <w:tc>
          <w:tcPr>
            <w:tcW w:w="684" w:type="dxa"/>
            <w:noWrap w:val="0"/>
            <w:vAlign w:val="center"/>
          </w:tcPr>
          <w:p>
            <w:pPr>
              <w:snapToGrid w:val="0"/>
              <w:spacing w:line="240" w:lineRule="auto"/>
              <w:ind w:firstLine="0" w:firstLineChars="0"/>
              <w:jc w:val="center"/>
              <w:rPr>
                <w:rFonts w:hint="eastAsia" w:cs="黑体"/>
                <w:color w:val="000000"/>
                <w:sz w:val="21"/>
                <w:szCs w:val="21"/>
                <w:u w:val="none"/>
              </w:rPr>
            </w:pPr>
            <w:r>
              <w:rPr>
                <w:rFonts w:cs="黑体"/>
                <w:color w:val="000000"/>
                <w:sz w:val="21"/>
                <w:szCs w:val="21"/>
                <w:u w:val="none"/>
              </w:rPr>
              <w:t>—</w:t>
            </w:r>
          </w:p>
        </w:tc>
        <w:tc>
          <w:tcPr>
            <w:tcW w:w="784" w:type="dxa"/>
            <w:noWrap w:val="0"/>
            <w:vAlign w:val="center"/>
          </w:tcPr>
          <w:p>
            <w:pPr>
              <w:snapToGrid w:val="0"/>
              <w:spacing w:line="240" w:lineRule="auto"/>
              <w:ind w:firstLine="0" w:firstLineChars="0"/>
              <w:jc w:val="center"/>
              <w:rPr>
                <w:rFonts w:hint="eastAsia" w:cs="黑体"/>
                <w:color w:val="000000"/>
                <w:sz w:val="21"/>
                <w:szCs w:val="21"/>
                <w:u w:val="none"/>
              </w:rPr>
            </w:pPr>
            <w:r>
              <w:rPr>
                <w:rFonts w:cs="黑体"/>
                <w:color w:val="000000"/>
                <w:sz w:val="21"/>
                <w:szCs w:val="21"/>
                <w:u w:val="none"/>
              </w:rPr>
              <w:t>—</w:t>
            </w:r>
          </w:p>
        </w:tc>
      </w:tr>
    </w:tbl>
    <w:p>
      <w:pPr>
        <w:ind w:firstLine="480"/>
        <w:rPr>
          <w:rFonts w:hint="eastAsia"/>
          <w:color w:val="000000"/>
          <w:kern w:val="0"/>
          <w:szCs w:val="22"/>
          <w:u w:val="none"/>
        </w:rPr>
      </w:pPr>
      <w:r>
        <w:rPr>
          <w:rFonts w:hint="eastAsia"/>
          <w:color w:val="000000"/>
          <w:kern w:val="0"/>
          <w:szCs w:val="22"/>
          <w:u w:val="none"/>
        </w:rPr>
        <w:t>评价范围为项目所在地占地范围外</w:t>
      </w:r>
      <w:r>
        <w:rPr>
          <w:color w:val="000000"/>
          <w:kern w:val="0"/>
          <w:szCs w:val="22"/>
          <w:u w:val="none"/>
        </w:rPr>
        <w:t>50m</w:t>
      </w:r>
      <w:r>
        <w:rPr>
          <w:rFonts w:hint="eastAsia"/>
          <w:color w:val="000000"/>
          <w:kern w:val="0"/>
          <w:szCs w:val="22"/>
          <w:u w:val="none"/>
        </w:rPr>
        <w:t>。</w:t>
      </w:r>
    </w:p>
    <w:p>
      <w:pPr>
        <w:pStyle w:val="8"/>
        <w:spacing w:before="163"/>
        <w:rPr>
          <w:rFonts w:hint="default" w:eastAsia="宋体"/>
          <w:color w:val="000000"/>
          <w:lang w:val="en-US" w:eastAsia="zh-CN"/>
        </w:rPr>
      </w:pPr>
      <w:r>
        <w:rPr>
          <w:color w:val="000000"/>
        </w:rPr>
        <w:t>1.7.</w:t>
      </w:r>
      <w:r>
        <w:rPr>
          <w:rFonts w:hint="eastAsia"/>
          <w:color w:val="000000"/>
          <w:lang w:val="en-US" w:eastAsia="zh-CN"/>
        </w:rPr>
        <w:t>6</w:t>
      </w:r>
      <w:r>
        <w:rPr>
          <w:rFonts w:hint="eastAsia"/>
          <w:color w:val="000000"/>
        </w:rPr>
        <w:t xml:space="preserve"> 生态环境评价等级</w:t>
      </w:r>
      <w:bookmarkEnd w:id="118"/>
      <w:bookmarkEnd w:id="119"/>
      <w:bookmarkEnd w:id="120"/>
      <w:r>
        <w:rPr>
          <w:rFonts w:hint="eastAsia"/>
          <w:color w:val="000000"/>
          <w:lang w:val="en-US" w:eastAsia="zh-CN"/>
        </w:rPr>
        <w:t>及评价范围</w:t>
      </w:r>
    </w:p>
    <w:p>
      <w:pPr>
        <w:spacing w:line="360" w:lineRule="auto"/>
        <w:ind w:firstLine="480" w:firstLineChars="200"/>
        <w:rPr>
          <w:rFonts w:ascii="Times New Roman" w:hAnsi="Times New Roman"/>
          <w:color w:val="000000"/>
          <w:sz w:val="24"/>
          <w:u w:val="single"/>
        </w:rPr>
      </w:pPr>
      <w:r>
        <w:rPr>
          <w:rFonts w:ascii="Times New Roman"/>
          <w:color w:val="000000"/>
          <w:sz w:val="24"/>
          <w:u w:val="single"/>
        </w:rPr>
        <w:t>（</w:t>
      </w:r>
      <w:r>
        <w:rPr>
          <w:rFonts w:ascii="Times New Roman" w:hAnsi="Times New Roman"/>
          <w:color w:val="000000"/>
          <w:sz w:val="24"/>
          <w:u w:val="single"/>
        </w:rPr>
        <w:t>1</w:t>
      </w:r>
      <w:r>
        <w:rPr>
          <w:rFonts w:ascii="Times New Roman"/>
          <w:color w:val="000000"/>
          <w:sz w:val="24"/>
          <w:u w:val="single"/>
        </w:rPr>
        <w:t>）评价等级</w:t>
      </w:r>
    </w:p>
    <w:p>
      <w:pPr>
        <w:spacing w:line="360" w:lineRule="auto"/>
        <w:ind w:firstLine="480" w:firstLineChars="200"/>
        <w:rPr>
          <w:rFonts w:hint="eastAsia"/>
          <w:color w:val="000000"/>
          <w:u w:val="single"/>
        </w:rPr>
      </w:pPr>
      <w:r>
        <w:rPr>
          <w:rFonts w:hint="eastAsia"/>
          <w:color w:val="000000"/>
          <w:u w:val="single"/>
        </w:rPr>
        <w:t>根据《环境影响评价技术导则 生态影响》（HJ19-2022）中的评价等级划分标准，</w:t>
      </w:r>
      <w:r>
        <w:rPr>
          <w:rFonts w:hint="eastAsia"/>
          <w:color w:val="000000"/>
          <w:u w:val="single"/>
          <w:lang w:eastAsia="zh-CN"/>
        </w:rPr>
        <w:t>本项目位于花垣工业集中区，根据工程分析，</w:t>
      </w:r>
      <w:r>
        <w:rPr>
          <w:rFonts w:hint="eastAsia"/>
          <w:color w:val="000000"/>
          <w:u w:val="single"/>
        </w:rPr>
        <w:t>本项目不涉及国家公园、自然保护区、世界自然遗产、重要生境；不涉及自然公园、生态保护红线；项目影响范围不涉及天然林、生态林、湿地等生态保护目标，项目</w:t>
      </w:r>
      <w:r>
        <w:rPr>
          <w:rFonts w:hint="eastAsia"/>
          <w:color w:val="000000"/>
          <w:u w:val="single"/>
          <w:lang w:eastAsia="zh-CN"/>
        </w:rPr>
        <w:t>占地面积7473平方米</w:t>
      </w:r>
      <w:r>
        <w:rPr>
          <w:rFonts w:hint="eastAsia"/>
          <w:color w:val="000000"/>
          <w:u w:val="single"/>
        </w:rPr>
        <w:t>，总面积小于20km</w:t>
      </w:r>
      <w:r>
        <w:rPr>
          <w:rFonts w:hint="eastAsia"/>
          <w:color w:val="000000"/>
          <w:u w:val="single"/>
          <w:vertAlign w:val="superscript"/>
        </w:rPr>
        <w:t>2</w:t>
      </w:r>
      <w:r>
        <w:rPr>
          <w:rFonts w:hint="eastAsia"/>
          <w:color w:val="000000"/>
          <w:u w:val="single"/>
        </w:rPr>
        <w:t>；</w:t>
      </w:r>
      <w:r>
        <w:rPr>
          <w:rFonts w:hint="eastAsia"/>
          <w:color w:val="000000"/>
          <w:u w:val="single"/>
          <w:lang w:eastAsia="zh-CN"/>
        </w:rPr>
        <w:t>根据导则中</w:t>
      </w:r>
      <w:r>
        <w:rPr>
          <w:rFonts w:hint="eastAsia"/>
          <w:color w:val="000000"/>
          <w:u w:val="single"/>
          <w:lang w:val="en-US" w:eastAsia="zh-CN"/>
        </w:rPr>
        <w:t>6.1.8中本项目属于位于已批准规划环评的产业园区内且符合规划环评要求、不涉及生态敏感区的污染影响类建设项目，本项目可不确定评价等级，直接进行生态影响简单分析</w:t>
      </w:r>
      <w:r>
        <w:rPr>
          <w:rFonts w:hint="eastAsia"/>
          <w:color w:val="000000"/>
          <w:u w:val="single"/>
        </w:rPr>
        <w:t>。</w:t>
      </w:r>
    </w:p>
    <w:p>
      <w:pPr>
        <w:spacing w:line="360" w:lineRule="auto"/>
        <w:ind w:firstLine="480" w:firstLineChars="200"/>
        <w:rPr>
          <w:rFonts w:ascii="Times New Roman" w:hAnsi="Times New Roman"/>
          <w:color w:val="000000"/>
          <w:sz w:val="24"/>
          <w:szCs w:val="24"/>
          <w:u w:val="single"/>
        </w:rPr>
      </w:pPr>
      <w:r>
        <w:rPr>
          <w:rFonts w:ascii="Times New Roman" w:hAnsi="Times New Roman"/>
          <w:color w:val="000000"/>
          <w:sz w:val="24"/>
          <w:szCs w:val="24"/>
          <w:u w:val="single"/>
        </w:rPr>
        <w:t>（2）评价范围</w:t>
      </w:r>
    </w:p>
    <w:p>
      <w:pPr>
        <w:spacing w:line="360" w:lineRule="auto"/>
        <w:ind w:firstLine="480" w:firstLineChars="200"/>
        <w:rPr>
          <w:rFonts w:hint="eastAsia"/>
          <w:color w:val="000000"/>
          <w:u w:val="single"/>
        </w:rPr>
      </w:pPr>
      <w:r>
        <w:rPr>
          <w:rFonts w:hint="eastAsia"/>
          <w:color w:val="000000"/>
          <w:u w:val="single"/>
        </w:rPr>
        <w:t>根据《环境影响评价技术导则 生态影响》（HJ19-2022）中，项目评价范围应涵盖评价项目全部活动的直接影响区域和间接影响区域。评价范围应依据评价项目对生态因子的影响方式、影响程度和生态因子之间的相互影响和相互依存关系确定。可综合考虑评价项目与项目区的气候过程、水文过程、生物过程等生物地球化学循环过程的相互作用关系，以评价项目影响区域所涉及的完整气候单元、水文单元、生态单元、地理单元界限为参照边界。</w:t>
      </w:r>
    </w:p>
    <w:p>
      <w:pPr>
        <w:ind w:firstLine="480"/>
        <w:rPr>
          <w:rFonts w:hint="eastAsia"/>
          <w:color w:val="000000"/>
          <w:kern w:val="0"/>
          <w:szCs w:val="21"/>
          <w:u w:val="single"/>
        </w:rPr>
      </w:pPr>
      <w:r>
        <w:rPr>
          <w:rFonts w:ascii="Times New Roman"/>
          <w:color w:val="000000"/>
          <w:sz w:val="24"/>
          <w:u w:val="single"/>
        </w:rPr>
        <w:t>以</w:t>
      </w:r>
      <w:r>
        <w:rPr>
          <w:rFonts w:hint="eastAsia"/>
          <w:color w:val="000000"/>
          <w:sz w:val="24"/>
          <w:u w:val="single"/>
          <w:lang w:eastAsia="zh-CN"/>
        </w:rPr>
        <w:t>项目地</w:t>
      </w:r>
      <w:r>
        <w:rPr>
          <w:rFonts w:ascii="Times New Roman"/>
          <w:color w:val="000000"/>
          <w:sz w:val="24"/>
          <w:u w:val="single"/>
        </w:rPr>
        <w:t>为中心周边</w:t>
      </w:r>
      <w:r>
        <w:rPr>
          <w:rFonts w:hint="eastAsia"/>
          <w:color w:val="000000"/>
          <w:sz w:val="24"/>
          <w:u w:val="single"/>
          <w:lang w:val="en-US" w:eastAsia="zh-CN"/>
        </w:rPr>
        <w:t>2</w:t>
      </w:r>
      <w:r>
        <w:rPr>
          <w:rFonts w:ascii="Times New Roman"/>
          <w:color w:val="000000"/>
          <w:sz w:val="24"/>
          <w:u w:val="single"/>
        </w:rPr>
        <w:t>00m</w:t>
      </w:r>
      <w:r>
        <w:rPr>
          <w:rFonts w:hint="eastAsia" w:ascii="Times New Roman"/>
          <w:color w:val="000000"/>
          <w:sz w:val="24"/>
          <w:u w:val="single"/>
        </w:rPr>
        <w:t>范围</w:t>
      </w:r>
      <w:r>
        <w:rPr>
          <w:rFonts w:ascii="Times New Roman"/>
          <w:color w:val="000000"/>
          <w:sz w:val="24"/>
          <w:u w:val="single"/>
        </w:rPr>
        <w:t>的区域</w:t>
      </w:r>
      <w:r>
        <w:rPr>
          <w:rFonts w:hint="eastAsia"/>
          <w:color w:val="000000"/>
          <w:sz w:val="24"/>
          <w:u w:val="single"/>
          <w:lang w:eastAsia="zh-CN"/>
        </w:rPr>
        <w:t>，</w:t>
      </w:r>
      <w:r>
        <w:rPr>
          <w:rFonts w:hint="eastAsia"/>
          <w:color w:val="000000"/>
          <w:kern w:val="0"/>
          <w:szCs w:val="21"/>
          <w:u w:val="single"/>
        </w:rPr>
        <w:t>生态环境评价范围为污水处理</w:t>
      </w:r>
      <w:r>
        <w:rPr>
          <w:rFonts w:hint="eastAsia"/>
          <w:color w:val="000000"/>
          <w:kern w:val="0"/>
          <w:szCs w:val="21"/>
          <w:u w:val="single"/>
          <w:lang w:eastAsia="zh-CN"/>
        </w:rPr>
        <w:t>站</w:t>
      </w:r>
      <w:r>
        <w:rPr>
          <w:rFonts w:hint="eastAsia"/>
          <w:color w:val="000000"/>
          <w:kern w:val="0"/>
          <w:szCs w:val="21"/>
          <w:u w:val="single"/>
        </w:rPr>
        <w:t>占地区域及周围</w:t>
      </w:r>
      <w:r>
        <w:rPr>
          <w:color w:val="000000"/>
          <w:kern w:val="0"/>
          <w:szCs w:val="21"/>
          <w:u w:val="single"/>
        </w:rPr>
        <w:t>2</w:t>
      </w:r>
      <w:r>
        <w:rPr>
          <w:rFonts w:hint="eastAsia"/>
          <w:color w:val="000000"/>
          <w:kern w:val="0"/>
          <w:szCs w:val="21"/>
          <w:u w:val="single"/>
        </w:rPr>
        <w:t>00m范围内，</w:t>
      </w:r>
      <w:r>
        <w:rPr>
          <w:rFonts w:hint="eastAsia"/>
          <w:color w:val="000000"/>
          <w:kern w:val="0"/>
          <w:szCs w:val="21"/>
          <w:u w:val="single"/>
          <w:lang w:eastAsia="zh-CN"/>
        </w:rPr>
        <w:t>管道</w:t>
      </w:r>
      <w:r>
        <w:rPr>
          <w:rFonts w:hint="eastAsia"/>
          <w:color w:val="000000"/>
          <w:kern w:val="0"/>
          <w:szCs w:val="21"/>
          <w:u w:val="single"/>
        </w:rPr>
        <w:t>占地区域及周边100m范围内。</w:t>
      </w:r>
    </w:p>
    <w:p>
      <w:pPr>
        <w:pStyle w:val="8"/>
        <w:spacing w:before="163"/>
        <w:rPr>
          <w:rFonts w:hint="eastAsia"/>
          <w:color w:val="000000"/>
        </w:rPr>
      </w:pPr>
      <w:bookmarkStart w:id="121" w:name="_Toc489350227"/>
      <w:bookmarkStart w:id="122" w:name="_Toc489350126"/>
      <w:bookmarkStart w:id="123" w:name="_Toc489349969"/>
      <w:r>
        <w:rPr>
          <w:rFonts w:hint="eastAsia"/>
          <w:color w:val="000000"/>
        </w:rPr>
        <w:t>1.7.</w:t>
      </w:r>
      <w:r>
        <w:rPr>
          <w:rFonts w:hint="eastAsia"/>
          <w:color w:val="000000"/>
          <w:lang w:val="en-US" w:eastAsia="zh-CN"/>
        </w:rPr>
        <w:t>7</w:t>
      </w:r>
      <w:r>
        <w:rPr>
          <w:rFonts w:hint="eastAsia"/>
          <w:color w:val="000000"/>
        </w:rPr>
        <w:t xml:space="preserve"> 环境风险评价等级</w:t>
      </w:r>
      <w:bookmarkEnd w:id="121"/>
      <w:bookmarkEnd w:id="122"/>
      <w:bookmarkEnd w:id="123"/>
      <w:r>
        <w:rPr>
          <w:rFonts w:hint="eastAsia"/>
          <w:color w:val="000000"/>
          <w:lang w:val="en-US" w:eastAsia="zh-CN"/>
        </w:rPr>
        <w:t>及评价范围</w:t>
      </w:r>
    </w:p>
    <w:p>
      <w:pPr>
        <w:ind w:firstLine="480"/>
        <w:rPr>
          <w:rFonts w:ascii="Times New Roman" w:hAnsi="Times New Roman"/>
        </w:rPr>
      </w:pPr>
      <w:r>
        <w:rPr>
          <w:rFonts w:hint="eastAsia" w:cs="宋体"/>
          <w:color w:val="auto"/>
          <w:kern w:val="0"/>
        </w:rPr>
        <w:t>本项目运营过程中</w:t>
      </w:r>
      <w:r>
        <w:rPr>
          <w:rFonts w:hint="eastAsia" w:cs="宋体"/>
          <w:color w:val="auto"/>
          <w:kern w:val="0"/>
          <w:lang w:eastAsia="zh-CN"/>
        </w:rPr>
        <w:t>原辅料主要为</w:t>
      </w:r>
      <w:r>
        <w:rPr>
          <w:rFonts w:hint="eastAsia" w:cs="宋体"/>
          <w:color w:val="auto"/>
          <w:kern w:val="0"/>
          <w:lang w:val="en-US" w:eastAsia="zh-CN"/>
        </w:rPr>
        <w:t>聚丙烯酰胺（PAM）、碱式氯化铝（PAC）、重金属补集-生物制剂、片碱、盐酸</w:t>
      </w:r>
      <w:r>
        <w:rPr>
          <w:rFonts w:hint="eastAsia" w:cs="宋体"/>
          <w:color w:val="auto"/>
          <w:kern w:val="0"/>
        </w:rPr>
        <w:t>，查阅《建设项目环境风险评价技术导则》（HJ169－2018）附录B中重点关注的危险物质及临界量表B.1 突发环境事件风险物质及临界量</w:t>
      </w:r>
      <w:r>
        <w:rPr>
          <w:rFonts w:hint="eastAsia" w:cs="宋体"/>
          <w:color w:val="auto"/>
          <w:kern w:val="0"/>
          <w:lang w:eastAsia="zh-CN"/>
        </w:rPr>
        <w:t>，本项目涉及的风险物质主要是盐酸，以及项目涉及的含重金属废水（铬、钒、锰、锌、铅）</w:t>
      </w:r>
      <w:r>
        <w:rPr>
          <w:rFonts w:hint="eastAsia"/>
          <w:color w:val="auto"/>
          <w:kern w:val="0"/>
          <w:lang w:eastAsia="zh-CN"/>
        </w:rPr>
        <w:t>。</w:t>
      </w:r>
      <w:r>
        <w:rPr>
          <w:rFonts w:hint="eastAsia"/>
          <w:color w:val="000000"/>
          <w:kern w:val="0"/>
          <w:lang w:eastAsia="zh-CN"/>
        </w:rPr>
        <w:t>本项目设置处理规模为</w:t>
      </w:r>
      <w:r>
        <w:rPr>
          <w:rFonts w:hint="eastAsia"/>
          <w:color w:val="000000"/>
          <w:kern w:val="0"/>
          <w:lang w:val="en-US" w:eastAsia="zh-CN"/>
        </w:rPr>
        <w:t>3000t/d，</w:t>
      </w:r>
      <w:r>
        <w:rPr>
          <w:rFonts w:hint="eastAsia"/>
          <w:color w:val="000000"/>
          <w:kern w:val="0"/>
          <w:lang w:eastAsia="zh-CN"/>
        </w:rPr>
        <w:t>废水经处理后通过管道排污花垣县产业开发区污水处理厂，本项目厂区最大废水暂存量按照</w:t>
      </w:r>
      <w:r>
        <w:rPr>
          <w:rFonts w:hint="eastAsia"/>
          <w:color w:val="000000"/>
          <w:kern w:val="0"/>
          <w:lang w:val="en-US" w:eastAsia="zh-CN"/>
        </w:rPr>
        <w:t>调节池最大可容纳废水量进行核算，本项目调节池设计规模为1000m</w:t>
      </w:r>
      <w:r>
        <w:rPr>
          <w:rFonts w:hint="eastAsia"/>
          <w:color w:val="000000"/>
          <w:kern w:val="0"/>
          <w:vertAlign w:val="superscript"/>
          <w:lang w:val="en-US" w:eastAsia="zh-CN"/>
        </w:rPr>
        <w:t>3</w:t>
      </w:r>
      <w:r>
        <w:rPr>
          <w:rFonts w:hint="eastAsia"/>
          <w:color w:val="000000"/>
          <w:kern w:val="0"/>
          <w:lang w:val="en-US" w:eastAsia="zh-CN"/>
        </w:rPr>
        <w:t>，则项目废水最大暂存量为1000t。根据项目设计进水水质对废水中重金属最大在线量进行核算。</w:t>
      </w:r>
      <w:r>
        <w:rPr>
          <w:rFonts w:ascii="Times New Roman" w:hAnsi="Times New Roman"/>
        </w:rPr>
        <w:t>危险物质数量与临界量的比值（Q）的计算公式如下：</w:t>
      </w:r>
    </w:p>
    <w:p>
      <w:pPr>
        <w:adjustRightInd w:val="0"/>
        <w:snapToGrid w:val="0"/>
        <w:ind w:firstLine="480"/>
        <w:rPr>
          <w:rFonts w:ascii="Times New Roman" w:hAnsi="Times New Roman"/>
        </w:rPr>
      </w:pPr>
      <w:r>
        <w:rPr>
          <w:rFonts w:ascii="宋体" w:hAnsi="宋体" w:cs="宋体"/>
          <w:kern w:val="0"/>
          <w:lang w:bidi="ar"/>
        </w:rPr>
        <w:drawing>
          <wp:inline distT="0" distB="0" distL="114300" distR="114300">
            <wp:extent cx="5105400" cy="1571625"/>
            <wp:effectExtent l="0" t="0" r="0" b="9525"/>
            <wp:docPr id="4" name="图片 70"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70" descr="IMG_256"/>
                    <pic:cNvPicPr>
                      <a:picLocks noChangeAspect="true"/>
                    </pic:cNvPicPr>
                  </pic:nvPicPr>
                  <pic:blipFill>
                    <a:blip r:embed="rId32"/>
                    <a:stretch>
                      <a:fillRect/>
                    </a:stretch>
                  </pic:blipFill>
                  <pic:spPr>
                    <a:xfrm>
                      <a:off x="0" y="0"/>
                      <a:ext cx="5105400" cy="1571625"/>
                    </a:xfrm>
                    <a:prstGeom prst="rect">
                      <a:avLst/>
                    </a:prstGeom>
                    <a:noFill/>
                    <a:ln>
                      <a:noFill/>
                    </a:ln>
                  </pic:spPr>
                </pic:pic>
              </a:graphicData>
            </a:graphic>
          </wp:inline>
        </w:drawing>
      </w:r>
    </w:p>
    <w:p>
      <w:pPr>
        <w:spacing w:line="360" w:lineRule="auto"/>
        <w:ind w:firstLine="480"/>
        <w:rPr>
          <w:rFonts w:ascii="Times New Roman" w:hAnsi="Times New Roman"/>
          <w:kern w:val="0"/>
        </w:rPr>
      </w:pPr>
      <w:r>
        <w:rPr>
          <w:rFonts w:hint="eastAsia" w:ascii="Times New Roman" w:hAnsi="Times New Roman"/>
          <w:kern w:val="0"/>
        </w:rPr>
        <w:t>则</w:t>
      </w:r>
      <w:r>
        <w:rPr>
          <w:rFonts w:ascii="Times New Roman" w:hAnsi="Times New Roman"/>
          <w:kern w:val="0"/>
        </w:rPr>
        <w:t xml:space="preserve">Q </w:t>
      </w:r>
      <w:r>
        <w:rPr>
          <w:rFonts w:hint="eastAsia" w:ascii="Times New Roman" w:hAnsi="Times New Roman"/>
          <w:kern w:val="0"/>
        </w:rPr>
        <w:t>值计算结果如下：</w:t>
      </w:r>
    </w:p>
    <w:p>
      <w:pPr>
        <w:adjustRightInd w:val="0"/>
        <w:snapToGrid w:val="0"/>
        <w:jc w:val="center"/>
        <w:rPr>
          <w:rStyle w:val="87"/>
          <w:rFonts w:hint="default"/>
          <w:lang w:val="en-US"/>
        </w:rPr>
      </w:pPr>
      <w:r>
        <w:rPr>
          <w:rStyle w:val="87"/>
        </w:rPr>
        <w:t>表</w:t>
      </w:r>
      <w:r>
        <w:rPr>
          <w:rStyle w:val="87"/>
          <w:rFonts w:hint="eastAsia"/>
          <w:lang w:val="en-US"/>
        </w:rPr>
        <w:t>1.7--7</w:t>
      </w:r>
      <w:r>
        <w:rPr>
          <w:rStyle w:val="87"/>
        </w:rPr>
        <w:t>本项目涉及的危险物质最大量及</w:t>
      </w:r>
      <w:r>
        <w:rPr>
          <w:rStyle w:val="87"/>
          <w:rFonts w:hint="eastAsia"/>
          <w:lang w:val="en-US"/>
        </w:rPr>
        <w:t>Q值</w:t>
      </w:r>
    </w:p>
    <w:tbl>
      <w:tblPr>
        <w:tblStyle w:val="37"/>
        <w:tblW w:w="84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0"/>
        <w:gridCol w:w="969"/>
        <w:gridCol w:w="1485"/>
        <w:gridCol w:w="1200"/>
        <w:gridCol w:w="975"/>
        <w:gridCol w:w="1845"/>
        <w:gridCol w:w="11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80" w:type="dxa"/>
            <w:noWrap w:val="0"/>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969" w:type="dxa"/>
            <w:noWrap w:val="0"/>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名称</w:t>
            </w:r>
          </w:p>
        </w:tc>
        <w:tc>
          <w:tcPr>
            <w:tcW w:w="1485" w:type="dxa"/>
            <w:noWrap w:val="0"/>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最大存储量t</w:t>
            </w:r>
          </w:p>
        </w:tc>
        <w:tc>
          <w:tcPr>
            <w:tcW w:w="1200" w:type="dxa"/>
            <w:noWrap w:val="0"/>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储存方式</w:t>
            </w:r>
          </w:p>
        </w:tc>
        <w:tc>
          <w:tcPr>
            <w:tcW w:w="975"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临界量</w:t>
            </w:r>
          </w:p>
        </w:tc>
        <w:tc>
          <w:tcPr>
            <w:tcW w:w="1845"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临界量来源</w:t>
            </w:r>
          </w:p>
        </w:tc>
        <w:tc>
          <w:tcPr>
            <w:tcW w:w="1189" w:type="dxa"/>
            <w:noWrap w:val="0"/>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80" w:type="dxa"/>
            <w:noWrap w:val="0"/>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969"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盐酸</w:t>
            </w:r>
          </w:p>
        </w:tc>
        <w:tc>
          <w:tcPr>
            <w:tcW w:w="148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200" w:type="dxa"/>
            <w:noWrap w:val="0"/>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桶装</w:t>
            </w:r>
          </w:p>
        </w:tc>
        <w:tc>
          <w:tcPr>
            <w:tcW w:w="97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w:t>
            </w:r>
          </w:p>
        </w:tc>
        <w:tc>
          <w:tcPr>
            <w:tcW w:w="1845" w:type="dxa"/>
            <w:vMerge w:val="restart"/>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（HJ169－2018）附录B表</w:t>
            </w:r>
            <w:r>
              <w:rPr>
                <w:rFonts w:hint="eastAsia" w:ascii="Times New Roman" w:hAnsi="Times New Roman" w:eastAsia="宋体" w:cs="Times New Roman"/>
                <w:sz w:val="21"/>
                <w:szCs w:val="21"/>
                <w:lang w:val="en-US" w:eastAsia="zh-CN"/>
              </w:rPr>
              <w:t>B.1</w:t>
            </w:r>
          </w:p>
        </w:tc>
        <w:tc>
          <w:tcPr>
            <w:tcW w:w="1189"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80" w:type="dxa"/>
            <w:noWrap w:val="0"/>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969"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铬</w:t>
            </w:r>
          </w:p>
        </w:tc>
        <w:tc>
          <w:tcPr>
            <w:tcW w:w="148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0.002</w:t>
            </w:r>
          </w:p>
        </w:tc>
        <w:tc>
          <w:tcPr>
            <w:tcW w:w="1200" w:type="dxa"/>
            <w:vMerge w:val="restart"/>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调节池</w:t>
            </w:r>
          </w:p>
        </w:tc>
        <w:tc>
          <w:tcPr>
            <w:tcW w:w="97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w:t>
            </w:r>
          </w:p>
        </w:tc>
        <w:tc>
          <w:tcPr>
            <w:tcW w:w="1845" w:type="dxa"/>
            <w:vMerge w:val="continue"/>
            <w:noWrap w:val="0"/>
            <w:vAlign w:val="center"/>
          </w:tcPr>
          <w:p>
            <w:pPr>
              <w:spacing w:line="240" w:lineRule="auto"/>
              <w:ind w:firstLine="0" w:firstLineChars="0"/>
              <w:jc w:val="center"/>
              <w:rPr>
                <w:rFonts w:ascii="Times New Roman" w:hAnsi="Times New Roman" w:eastAsia="宋体" w:cs="Times New Roman"/>
                <w:sz w:val="21"/>
                <w:szCs w:val="21"/>
              </w:rPr>
            </w:pPr>
          </w:p>
        </w:tc>
        <w:tc>
          <w:tcPr>
            <w:tcW w:w="1189"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3" w:hRule="atLeast"/>
          <w:jc w:val="center"/>
        </w:trPr>
        <w:tc>
          <w:tcPr>
            <w:tcW w:w="780" w:type="dxa"/>
            <w:noWrap w:val="0"/>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969"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钒</w:t>
            </w:r>
          </w:p>
        </w:tc>
        <w:tc>
          <w:tcPr>
            <w:tcW w:w="148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0.004</w:t>
            </w:r>
          </w:p>
        </w:tc>
        <w:tc>
          <w:tcPr>
            <w:tcW w:w="1200" w:type="dxa"/>
            <w:vMerge w:val="continue"/>
            <w:noWrap w:val="0"/>
            <w:vAlign w:val="center"/>
          </w:tcPr>
          <w:p>
            <w:pPr>
              <w:spacing w:line="240" w:lineRule="auto"/>
              <w:ind w:firstLine="0" w:firstLineChars="0"/>
              <w:jc w:val="center"/>
              <w:rPr>
                <w:rFonts w:ascii="Times New Roman" w:hAnsi="Times New Roman" w:eastAsia="宋体" w:cs="Times New Roman"/>
                <w:sz w:val="21"/>
                <w:szCs w:val="21"/>
              </w:rPr>
            </w:pPr>
          </w:p>
        </w:tc>
        <w:tc>
          <w:tcPr>
            <w:tcW w:w="97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w:t>
            </w:r>
          </w:p>
        </w:tc>
        <w:tc>
          <w:tcPr>
            <w:tcW w:w="1845" w:type="dxa"/>
            <w:vMerge w:val="continue"/>
            <w:noWrap w:val="0"/>
            <w:vAlign w:val="center"/>
          </w:tcPr>
          <w:p>
            <w:pPr>
              <w:spacing w:line="240" w:lineRule="auto"/>
              <w:ind w:firstLine="0" w:firstLineChars="0"/>
              <w:jc w:val="center"/>
              <w:rPr>
                <w:rFonts w:ascii="Times New Roman" w:hAnsi="Times New Roman" w:eastAsia="宋体" w:cs="Times New Roman"/>
                <w:sz w:val="21"/>
                <w:szCs w:val="21"/>
              </w:rPr>
            </w:pPr>
          </w:p>
        </w:tc>
        <w:tc>
          <w:tcPr>
            <w:tcW w:w="1189"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80" w:type="dxa"/>
            <w:noWrap w:val="0"/>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969"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锰</w:t>
            </w:r>
          </w:p>
        </w:tc>
        <w:tc>
          <w:tcPr>
            <w:tcW w:w="148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0.025</w:t>
            </w:r>
          </w:p>
        </w:tc>
        <w:tc>
          <w:tcPr>
            <w:tcW w:w="1200" w:type="dxa"/>
            <w:vMerge w:val="continue"/>
            <w:noWrap w:val="0"/>
            <w:vAlign w:val="center"/>
          </w:tcPr>
          <w:p>
            <w:pPr>
              <w:spacing w:line="240" w:lineRule="auto"/>
              <w:ind w:firstLine="0" w:firstLineChars="0"/>
              <w:jc w:val="center"/>
              <w:rPr>
                <w:rFonts w:ascii="Times New Roman" w:hAnsi="Times New Roman" w:eastAsia="宋体" w:cs="Times New Roman"/>
                <w:sz w:val="21"/>
                <w:szCs w:val="21"/>
              </w:rPr>
            </w:pPr>
          </w:p>
        </w:tc>
        <w:tc>
          <w:tcPr>
            <w:tcW w:w="97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w:t>
            </w:r>
          </w:p>
        </w:tc>
        <w:tc>
          <w:tcPr>
            <w:tcW w:w="1845" w:type="dxa"/>
            <w:vMerge w:val="continue"/>
            <w:noWrap w:val="0"/>
            <w:vAlign w:val="center"/>
          </w:tcPr>
          <w:p>
            <w:pPr>
              <w:spacing w:line="240" w:lineRule="auto"/>
              <w:ind w:firstLine="0" w:firstLineChars="0"/>
              <w:jc w:val="center"/>
              <w:rPr>
                <w:rFonts w:ascii="Times New Roman" w:hAnsi="Times New Roman" w:eastAsia="宋体" w:cs="Times New Roman"/>
                <w:sz w:val="21"/>
                <w:szCs w:val="21"/>
              </w:rPr>
            </w:pPr>
          </w:p>
        </w:tc>
        <w:tc>
          <w:tcPr>
            <w:tcW w:w="1189"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80" w:type="dxa"/>
            <w:noWrap w:val="0"/>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969"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锌</w:t>
            </w:r>
          </w:p>
        </w:tc>
        <w:tc>
          <w:tcPr>
            <w:tcW w:w="148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0.005</w:t>
            </w:r>
          </w:p>
        </w:tc>
        <w:tc>
          <w:tcPr>
            <w:tcW w:w="1200" w:type="dxa"/>
            <w:vMerge w:val="continue"/>
            <w:noWrap w:val="0"/>
            <w:vAlign w:val="center"/>
          </w:tcPr>
          <w:p>
            <w:pPr>
              <w:spacing w:line="240" w:lineRule="auto"/>
              <w:ind w:firstLine="0" w:firstLineChars="0"/>
              <w:jc w:val="center"/>
              <w:rPr>
                <w:rFonts w:ascii="Times New Roman" w:hAnsi="Times New Roman" w:eastAsia="宋体" w:cs="Times New Roman"/>
                <w:sz w:val="21"/>
                <w:szCs w:val="21"/>
              </w:rPr>
            </w:pPr>
          </w:p>
        </w:tc>
        <w:tc>
          <w:tcPr>
            <w:tcW w:w="97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c>
          <w:tcPr>
            <w:tcW w:w="1845" w:type="dxa"/>
            <w:vMerge w:val="restart"/>
            <w:noWrap w:val="0"/>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（HJ169－2018）附录B表</w:t>
            </w:r>
            <w:r>
              <w:rPr>
                <w:rFonts w:hint="eastAsia" w:ascii="Times New Roman" w:hAnsi="Times New Roman" w:eastAsia="宋体" w:cs="Times New Roman"/>
                <w:sz w:val="21"/>
                <w:szCs w:val="21"/>
                <w:lang w:val="en-US" w:eastAsia="zh-CN"/>
              </w:rPr>
              <w:t>B.2危害水环境物质</w:t>
            </w:r>
          </w:p>
        </w:tc>
        <w:tc>
          <w:tcPr>
            <w:tcW w:w="1189"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780" w:type="dxa"/>
            <w:noWrap w:val="0"/>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969"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铅</w:t>
            </w:r>
          </w:p>
        </w:tc>
        <w:tc>
          <w:tcPr>
            <w:tcW w:w="148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0.001</w:t>
            </w:r>
          </w:p>
        </w:tc>
        <w:tc>
          <w:tcPr>
            <w:tcW w:w="1200" w:type="dxa"/>
            <w:vMerge w:val="continue"/>
            <w:noWrap w:val="0"/>
            <w:vAlign w:val="center"/>
          </w:tcPr>
          <w:p>
            <w:pPr>
              <w:spacing w:line="240" w:lineRule="auto"/>
              <w:ind w:firstLine="0" w:firstLineChars="0"/>
              <w:jc w:val="center"/>
              <w:rPr>
                <w:rFonts w:ascii="Times New Roman" w:hAnsi="Times New Roman" w:eastAsia="宋体" w:cs="Times New Roman"/>
                <w:sz w:val="21"/>
                <w:szCs w:val="21"/>
              </w:rPr>
            </w:pPr>
          </w:p>
        </w:tc>
        <w:tc>
          <w:tcPr>
            <w:tcW w:w="97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c>
          <w:tcPr>
            <w:tcW w:w="1845" w:type="dxa"/>
            <w:vMerge w:val="continue"/>
            <w:noWrap w:val="0"/>
            <w:vAlign w:val="center"/>
          </w:tcPr>
          <w:p>
            <w:pPr>
              <w:spacing w:line="240" w:lineRule="auto"/>
              <w:ind w:firstLine="0" w:firstLineChars="0"/>
              <w:jc w:val="center"/>
              <w:rPr>
                <w:rFonts w:ascii="Times New Roman" w:hAnsi="Times New Roman" w:eastAsia="宋体" w:cs="Times New Roman"/>
                <w:sz w:val="21"/>
                <w:szCs w:val="21"/>
              </w:rPr>
            </w:pPr>
          </w:p>
        </w:tc>
        <w:tc>
          <w:tcPr>
            <w:tcW w:w="1189"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4" w:hRule="atLeast"/>
          <w:jc w:val="center"/>
        </w:trPr>
        <w:tc>
          <w:tcPr>
            <w:tcW w:w="7254" w:type="dxa"/>
            <w:gridSpan w:val="6"/>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合计</w:t>
            </w:r>
          </w:p>
        </w:tc>
        <w:tc>
          <w:tcPr>
            <w:tcW w:w="1189"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0.25406</w:t>
            </w:r>
          </w:p>
        </w:tc>
      </w:tr>
    </w:tbl>
    <w:p>
      <w:pPr>
        <w:spacing w:line="360" w:lineRule="auto"/>
        <w:ind w:firstLine="480"/>
        <w:rPr>
          <w:rFonts w:hint="default" w:ascii="Times New Roman" w:hAnsi="Times New Roman" w:eastAsia="宋体" w:cs="Times New Roman"/>
          <w:kern w:val="0"/>
          <w:lang w:val="en-US" w:eastAsia="zh-CN"/>
        </w:rPr>
      </w:pPr>
      <w:r>
        <w:rPr>
          <w:rFonts w:hint="eastAsia" w:ascii="Times New Roman" w:hAnsi="Times New Roman" w:eastAsia="宋体" w:cs="Times New Roman"/>
          <w:kern w:val="0"/>
          <w:lang w:eastAsia="zh-CN"/>
        </w:rPr>
        <w:t>综上，</w:t>
      </w:r>
      <w:r>
        <w:rPr>
          <w:rFonts w:hint="eastAsia" w:ascii="Times New Roman" w:hAnsi="Times New Roman" w:eastAsia="宋体" w:cs="Times New Roman"/>
          <w:kern w:val="0"/>
          <w:lang w:val="en-US" w:eastAsia="zh-CN"/>
        </w:rPr>
        <w:t>本项目Q﹤1，因此风险潜势为Ⅰ，只需进行简单分析即可。</w:t>
      </w:r>
    </w:p>
    <w:p>
      <w:pPr>
        <w:ind w:firstLine="422"/>
        <w:jc w:val="center"/>
        <w:rPr>
          <w:b/>
          <w:color w:val="000000"/>
          <w:kern w:val="0"/>
          <w:sz w:val="21"/>
          <w:szCs w:val="21"/>
        </w:rPr>
      </w:pPr>
      <w:r>
        <w:rPr>
          <w:b/>
          <w:color w:val="000000"/>
          <w:kern w:val="0"/>
          <w:sz w:val="21"/>
          <w:szCs w:val="21"/>
        </w:rPr>
        <w:t>1.</w:t>
      </w:r>
      <w:r>
        <w:rPr>
          <w:rFonts w:hint="eastAsia"/>
          <w:b/>
          <w:color w:val="000000"/>
          <w:kern w:val="0"/>
          <w:sz w:val="21"/>
          <w:szCs w:val="21"/>
        </w:rPr>
        <w:t>7</w:t>
      </w:r>
      <w:r>
        <w:rPr>
          <w:b/>
          <w:color w:val="000000"/>
          <w:kern w:val="0"/>
          <w:sz w:val="21"/>
          <w:szCs w:val="21"/>
        </w:rPr>
        <w:t>-8 风险评级等级划分标准</w:t>
      </w:r>
    </w:p>
    <w:tbl>
      <w:tblPr>
        <w:tblStyle w:val="37"/>
        <w:tblW w:w="8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7"/>
        <w:gridCol w:w="1391"/>
        <w:gridCol w:w="1705"/>
        <w:gridCol w:w="1142"/>
        <w:gridCol w:w="1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757" w:type="dxa"/>
            <w:noWrap w:val="0"/>
            <w:vAlign w:val="center"/>
          </w:tcPr>
          <w:p>
            <w:pPr>
              <w:pStyle w:val="79"/>
            </w:pPr>
            <w:bookmarkStart w:id="124" w:name="_Toc489350127"/>
            <w:r>
              <w:rPr>
                <w:rFonts w:hint="eastAsia"/>
              </w:rPr>
              <w:t>环境风险潜势</w:t>
            </w:r>
          </w:p>
        </w:tc>
        <w:tc>
          <w:tcPr>
            <w:tcW w:w="1391" w:type="dxa"/>
            <w:noWrap w:val="0"/>
            <w:vAlign w:val="center"/>
          </w:tcPr>
          <w:p>
            <w:pPr>
              <w:pStyle w:val="79"/>
              <w:rPr>
                <w:rFonts w:hint="eastAsia"/>
              </w:rPr>
            </w:pPr>
            <w:r>
              <w:rPr>
                <w:rFonts w:hint="eastAsia"/>
              </w:rPr>
              <w:t>Ⅳ</w:t>
            </w:r>
            <w:r>
              <w:rPr>
                <w:rFonts w:hint="eastAsia"/>
                <w:vertAlign w:val="superscript"/>
              </w:rPr>
              <w:t>+</w:t>
            </w:r>
            <w:r>
              <w:rPr>
                <w:rFonts w:hint="eastAsia"/>
              </w:rPr>
              <w:t>、Ⅳ</w:t>
            </w:r>
          </w:p>
        </w:tc>
        <w:tc>
          <w:tcPr>
            <w:tcW w:w="1705" w:type="dxa"/>
            <w:noWrap w:val="0"/>
            <w:vAlign w:val="center"/>
          </w:tcPr>
          <w:p>
            <w:pPr>
              <w:pStyle w:val="79"/>
            </w:pPr>
            <w:r>
              <w:rPr>
                <w:rFonts w:hint="eastAsia"/>
              </w:rPr>
              <w:t>Ⅲ</w:t>
            </w:r>
          </w:p>
        </w:tc>
        <w:tc>
          <w:tcPr>
            <w:tcW w:w="1142" w:type="dxa"/>
            <w:noWrap w:val="0"/>
            <w:vAlign w:val="center"/>
          </w:tcPr>
          <w:p>
            <w:pPr>
              <w:pStyle w:val="79"/>
            </w:pPr>
            <w:r>
              <w:rPr>
                <w:rFonts w:hint="eastAsia"/>
              </w:rPr>
              <w:t>Ⅱ</w:t>
            </w:r>
          </w:p>
        </w:tc>
        <w:tc>
          <w:tcPr>
            <w:tcW w:w="1723" w:type="dxa"/>
            <w:noWrap w:val="0"/>
            <w:vAlign w:val="center"/>
          </w:tcPr>
          <w:p>
            <w:pPr>
              <w:pStyle w:val="79"/>
            </w:pPr>
            <w:r>
              <w:rPr>
                <w:rFonts w:hint="eastAsia"/>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757" w:type="dxa"/>
            <w:noWrap w:val="0"/>
            <w:vAlign w:val="center"/>
          </w:tcPr>
          <w:p>
            <w:pPr>
              <w:pStyle w:val="79"/>
              <w:rPr>
                <w:rFonts w:hint="eastAsia"/>
              </w:rPr>
            </w:pPr>
            <w:r>
              <w:rPr>
                <w:rFonts w:hint="eastAsia"/>
              </w:rPr>
              <w:t>评价工作等级</w:t>
            </w:r>
          </w:p>
        </w:tc>
        <w:tc>
          <w:tcPr>
            <w:tcW w:w="1391" w:type="dxa"/>
            <w:noWrap w:val="0"/>
            <w:vAlign w:val="center"/>
          </w:tcPr>
          <w:p>
            <w:pPr>
              <w:pStyle w:val="79"/>
              <w:rPr>
                <w:rFonts w:hint="eastAsia"/>
              </w:rPr>
            </w:pPr>
            <w:r>
              <w:rPr>
                <w:rFonts w:hint="eastAsia"/>
              </w:rPr>
              <w:t>一</w:t>
            </w:r>
          </w:p>
        </w:tc>
        <w:tc>
          <w:tcPr>
            <w:tcW w:w="1705" w:type="dxa"/>
            <w:noWrap w:val="0"/>
            <w:vAlign w:val="center"/>
          </w:tcPr>
          <w:p>
            <w:pPr>
              <w:pStyle w:val="79"/>
              <w:rPr>
                <w:rFonts w:hint="eastAsia"/>
              </w:rPr>
            </w:pPr>
            <w:r>
              <w:rPr>
                <w:rFonts w:hint="eastAsia"/>
              </w:rPr>
              <w:t>二</w:t>
            </w:r>
          </w:p>
        </w:tc>
        <w:tc>
          <w:tcPr>
            <w:tcW w:w="1142" w:type="dxa"/>
            <w:noWrap w:val="0"/>
            <w:vAlign w:val="center"/>
          </w:tcPr>
          <w:p>
            <w:pPr>
              <w:pStyle w:val="79"/>
              <w:rPr>
                <w:rFonts w:hint="eastAsia"/>
              </w:rPr>
            </w:pPr>
            <w:r>
              <w:rPr>
                <w:rFonts w:hint="eastAsia"/>
              </w:rPr>
              <w:t>三</w:t>
            </w:r>
          </w:p>
        </w:tc>
        <w:tc>
          <w:tcPr>
            <w:tcW w:w="1723" w:type="dxa"/>
            <w:noWrap w:val="0"/>
            <w:vAlign w:val="center"/>
          </w:tcPr>
          <w:p>
            <w:pPr>
              <w:pStyle w:val="79"/>
            </w:pPr>
            <w:r>
              <w:rPr>
                <w:rFonts w:hint="eastAsia"/>
              </w:rPr>
              <w:t>简单分析</w:t>
            </w:r>
            <w:r>
              <w:rPr>
                <w:rFonts w:hint="eastAsia"/>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8718" w:type="dxa"/>
            <w:gridSpan w:val="5"/>
            <w:noWrap w:val="0"/>
            <w:vAlign w:val="center"/>
          </w:tcPr>
          <w:p>
            <w:pPr>
              <w:pStyle w:val="79"/>
              <w:jc w:val="left"/>
              <w:rPr>
                <w:rFonts w:hint="eastAsia"/>
              </w:rPr>
            </w:pPr>
            <w:r>
              <w:rPr>
                <w:rFonts w:hint="eastAsia"/>
              </w:rPr>
              <w:t>注：a是相对于详细评价工作内容而言，在描述危险物质、环境影响途径、环境危害后果、风险防范措施等方面给出定性说明。</w:t>
            </w:r>
          </w:p>
        </w:tc>
      </w:tr>
    </w:tbl>
    <w:p>
      <w:pPr>
        <w:ind w:firstLine="480"/>
        <w:jc w:val="both"/>
        <w:rPr>
          <w:rFonts w:hint="eastAsia"/>
          <w:color w:val="000000"/>
          <w:kern w:val="0"/>
          <w:szCs w:val="20"/>
        </w:rPr>
      </w:pPr>
      <w:r>
        <w:rPr>
          <w:rFonts w:hint="eastAsia"/>
          <w:color w:val="000000"/>
          <w:kern w:val="0"/>
          <w:szCs w:val="20"/>
        </w:rPr>
        <w:t>评价范围：按照《建设项目环境风险评价技术导则》（HJ169-2018）中的相关规定，风险评价范围为大气要素为大气环境评价范围相同</w:t>
      </w:r>
      <w:r>
        <w:rPr>
          <w:rFonts w:hint="eastAsia"/>
          <w:color w:val="000000"/>
          <w:kern w:val="0"/>
          <w:szCs w:val="20"/>
          <w:lang w:eastAsia="zh-CN"/>
        </w:rPr>
        <w:t>、及项目不设置大气环境风险评价范围</w:t>
      </w:r>
      <w:r>
        <w:rPr>
          <w:rFonts w:hint="eastAsia"/>
          <w:color w:val="000000"/>
          <w:kern w:val="0"/>
          <w:szCs w:val="20"/>
        </w:rPr>
        <w:t>，水要素与水环境评价范围相同</w:t>
      </w:r>
      <w:r>
        <w:rPr>
          <w:rFonts w:hint="eastAsia"/>
          <w:color w:val="000000"/>
          <w:kern w:val="0"/>
          <w:szCs w:val="20"/>
          <w:lang w:eastAsia="zh-CN"/>
        </w:rPr>
        <w:t>即花垣县工业集中区污水处理厂尾水入花垣河上游500m至尾水入花垣河下游1000m</w:t>
      </w:r>
      <w:r>
        <w:rPr>
          <w:rFonts w:hint="eastAsia"/>
          <w:color w:val="000000"/>
          <w:kern w:val="0"/>
          <w:szCs w:val="20"/>
        </w:rPr>
        <w:t>。</w:t>
      </w:r>
    </w:p>
    <w:p>
      <w:pPr>
        <w:pStyle w:val="86"/>
        <w:spacing w:before="163" w:after="163"/>
        <w:rPr>
          <w:rFonts w:hint="eastAsia"/>
          <w:color w:val="000000"/>
        </w:rPr>
      </w:pPr>
      <w:bookmarkStart w:id="125" w:name="_Toc14722"/>
      <w:bookmarkStart w:id="126" w:name="_Toc29308651"/>
      <w:r>
        <w:rPr>
          <w:rFonts w:hint="eastAsia"/>
          <w:color w:val="000000"/>
        </w:rPr>
        <w:t>1.8 评价内容、重点及时段</w:t>
      </w:r>
      <w:bookmarkEnd w:id="124"/>
      <w:bookmarkEnd w:id="125"/>
      <w:bookmarkEnd w:id="126"/>
    </w:p>
    <w:p>
      <w:pPr>
        <w:pStyle w:val="8"/>
        <w:spacing w:before="163"/>
        <w:rPr>
          <w:rFonts w:hint="eastAsia"/>
          <w:color w:val="000000"/>
        </w:rPr>
      </w:pPr>
      <w:bookmarkStart w:id="127" w:name="_Toc441075615"/>
      <w:bookmarkStart w:id="128" w:name="_Toc489349970"/>
      <w:bookmarkStart w:id="129" w:name="_Toc489350128"/>
      <w:bookmarkStart w:id="130" w:name="_Toc489350229"/>
      <w:r>
        <w:rPr>
          <w:rFonts w:hint="eastAsia"/>
          <w:color w:val="000000"/>
        </w:rPr>
        <w:t>1.8.1</w:t>
      </w:r>
      <w:r>
        <w:rPr>
          <w:color w:val="000000"/>
        </w:rPr>
        <w:t xml:space="preserve"> </w:t>
      </w:r>
      <w:r>
        <w:rPr>
          <w:rFonts w:hint="eastAsia"/>
          <w:color w:val="000000"/>
        </w:rPr>
        <w:t>评价内容</w:t>
      </w:r>
      <w:bookmarkEnd w:id="127"/>
      <w:r>
        <w:rPr>
          <w:rFonts w:hint="eastAsia"/>
          <w:color w:val="000000"/>
        </w:rPr>
        <w:t>以及评价重点</w:t>
      </w:r>
      <w:bookmarkEnd w:id="128"/>
      <w:bookmarkEnd w:id="129"/>
      <w:bookmarkEnd w:id="130"/>
    </w:p>
    <w:p>
      <w:pPr>
        <w:ind w:firstLine="480"/>
        <w:rPr>
          <w:rFonts w:hint="eastAsia" w:cs="宋体"/>
          <w:color w:val="000000"/>
          <w:kern w:val="0"/>
        </w:rPr>
      </w:pPr>
      <w:bookmarkStart w:id="131" w:name="_Toc489349343"/>
      <w:bookmarkStart w:id="132" w:name="_Toc489349971"/>
      <w:bookmarkStart w:id="133" w:name="_Toc489350230"/>
      <w:bookmarkStart w:id="134" w:name="_Toc489350129"/>
      <w:r>
        <w:rPr>
          <w:rFonts w:hint="eastAsia" w:cs="宋体"/>
          <w:color w:val="000000"/>
          <w:kern w:val="0"/>
        </w:rPr>
        <w:t>本次环评主要工作内容有：</w:t>
      </w:r>
      <w:bookmarkEnd w:id="131"/>
      <w:bookmarkEnd w:id="132"/>
      <w:bookmarkEnd w:id="133"/>
      <w:bookmarkEnd w:id="134"/>
    </w:p>
    <w:p>
      <w:pPr>
        <w:ind w:firstLine="480"/>
        <w:rPr>
          <w:rFonts w:hint="eastAsia"/>
          <w:color w:val="000000"/>
          <w:kern w:val="0"/>
        </w:rPr>
      </w:pPr>
      <w:r>
        <w:rPr>
          <w:rFonts w:hint="eastAsia"/>
          <w:color w:val="000000"/>
          <w:kern w:val="0"/>
        </w:rPr>
        <w:t>（1）对项目所在区域内环境质量现状进行调查、监测，根据所得的资料、数据，对评价范围内环境质量现状进行分析评价，掌握项目所在区域的污染现状、环境质量现状；</w:t>
      </w:r>
    </w:p>
    <w:p>
      <w:pPr>
        <w:ind w:firstLine="480"/>
        <w:rPr>
          <w:rFonts w:hint="eastAsia"/>
          <w:color w:val="000000"/>
          <w:kern w:val="0"/>
        </w:rPr>
      </w:pPr>
      <w:r>
        <w:rPr>
          <w:rFonts w:hint="eastAsia"/>
          <w:color w:val="000000"/>
          <w:kern w:val="0"/>
        </w:rPr>
        <w:t xml:space="preserve">（2）对拟建项目进行工程分析，确定项目建设的工程内容、项目建设施工期和营运期可能造成的环境影响； </w:t>
      </w:r>
    </w:p>
    <w:p>
      <w:pPr>
        <w:ind w:firstLine="480"/>
        <w:rPr>
          <w:rFonts w:hint="eastAsia"/>
          <w:color w:val="000000"/>
          <w:kern w:val="0"/>
        </w:rPr>
      </w:pPr>
      <w:r>
        <w:rPr>
          <w:rFonts w:hint="eastAsia"/>
          <w:color w:val="000000"/>
          <w:kern w:val="0"/>
        </w:rPr>
        <w:t>（3）根据项目工程分析，选择对环境危害大、不利影响较为突出的环境影响因子进行评价，并提出相应的污染防治措施；</w:t>
      </w:r>
    </w:p>
    <w:p>
      <w:pPr>
        <w:ind w:firstLine="480"/>
        <w:rPr>
          <w:color w:val="000000"/>
          <w:kern w:val="0"/>
        </w:rPr>
      </w:pPr>
      <w:r>
        <w:rPr>
          <w:rFonts w:hint="eastAsia"/>
          <w:color w:val="000000"/>
          <w:kern w:val="0"/>
        </w:rPr>
        <w:t>（4）对项目污染防治措施及对策进行分析评述；</w:t>
      </w:r>
    </w:p>
    <w:p>
      <w:pPr>
        <w:ind w:firstLine="480"/>
        <w:rPr>
          <w:rFonts w:hint="eastAsia"/>
          <w:color w:val="000000"/>
          <w:kern w:val="0"/>
        </w:rPr>
      </w:pPr>
      <w:r>
        <w:rPr>
          <w:rFonts w:hint="eastAsia" w:cs="宋体"/>
          <w:color w:val="000000"/>
          <w:kern w:val="0"/>
        </w:rPr>
        <w:t>本次评价重点：建设项目概况与工程分析、环境影响预测及评价</w:t>
      </w:r>
      <w:r>
        <w:rPr>
          <w:rFonts w:hint="eastAsia"/>
          <w:color w:val="000000"/>
          <w:kern w:val="0"/>
        </w:rPr>
        <w:t>、环境风险评价。</w:t>
      </w:r>
    </w:p>
    <w:p>
      <w:pPr>
        <w:pStyle w:val="8"/>
        <w:spacing w:before="163"/>
        <w:rPr>
          <w:rFonts w:hint="eastAsia"/>
          <w:color w:val="000000"/>
        </w:rPr>
      </w:pPr>
      <w:r>
        <w:rPr>
          <w:rFonts w:hint="eastAsia"/>
          <w:color w:val="000000"/>
        </w:rPr>
        <w:t>1.8.2 评价时段</w:t>
      </w:r>
    </w:p>
    <w:p>
      <w:pPr>
        <w:ind w:firstLine="480"/>
        <w:rPr>
          <w:color w:val="000000"/>
          <w:kern w:val="0"/>
        </w:rPr>
      </w:pPr>
      <w:r>
        <w:rPr>
          <w:rFonts w:hint="eastAsia"/>
          <w:color w:val="000000"/>
          <w:kern w:val="0"/>
        </w:rPr>
        <w:t>拟建项目评价时段为工程施工期</w:t>
      </w:r>
      <w:r>
        <w:rPr>
          <w:rFonts w:hint="eastAsia"/>
          <w:color w:val="000000"/>
          <w:kern w:val="0"/>
          <w:lang w:eastAsia="zh-CN"/>
        </w:rPr>
        <w:t>回顾性分析</w:t>
      </w:r>
      <w:r>
        <w:rPr>
          <w:rFonts w:hint="eastAsia"/>
          <w:color w:val="000000"/>
          <w:kern w:val="0"/>
        </w:rPr>
        <w:t>以及工程运营期。</w:t>
      </w:r>
    </w:p>
    <w:p>
      <w:pPr>
        <w:pStyle w:val="86"/>
        <w:spacing w:before="163" w:after="163"/>
        <w:rPr>
          <w:rFonts w:hint="eastAsia"/>
          <w:color w:val="000000"/>
        </w:rPr>
      </w:pPr>
      <w:bookmarkStart w:id="135" w:name="_Toc3491"/>
      <w:bookmarkStart w:id="136" w:name="_Toc29308652"/>
      <w:r>
        <w:rPr>
          <w:rFonts w:hint="eastAsia"/>
          <w:color w:val="000000"/>
        </w:rPr>
        <w:t>1.9 环境功能区划分</w:t>
      </w:r>
      <w:bookmarkEnd w:id="135"/>
      <w:bookmarkEnd w:id="136"/>
    </w:p>
    <w:p>
      <w:pPr>
        <w:pStyle w:val="8"/>
        <w:spacing w:before="163"/>
        <w:rPr>
          <w:rFonts w:hint="eastAsia"/>
          <w:color w:val="000000"/>
          <w:u w:val="none"/>
        </w:rPr>
      </w:pPr>
      <w:r>
        <w:rPr>
          <w:rFonts w:hint="eastAsia"/>
          <w:color w:val="000000"/>
          <w:u w:val="none"/>
        </w:rPr>
        <w:t>1.9.1地表水环境功能区划</w:t>
      </w:r>
    </w:p>
    <w:p>
      <w:pPr>
        <w:widowControl w:val="0"/>
        <w:suppressAutoHyphens/>
        <w:wordWrap w:val="0"/>
        <w:topLinePunct/>
        <w:ind w:firstLine="480"/>
        <w:rPr>
          <w:rFonts w:hint="eastAsia"/>
          <w:u w:val="single"/>
        </w:rPr>
      </w:pPr>
      <w:r>
        <w:rPr>
          <w:rFonts w:hint="eastAsia" w:hAnsi="宋体"/>
          <w:szCs w:val="28"/>
          <w:u w:val="single"/>
        </w:rPr>
        <w:t>根据《湖南省水功能区划》、《湘西土家族苗族自治州水功能区划》可知，</w:t>
      </w:r>
      <w:r>
        <w:rPr>
          <w:rFonts w:hint="eastAsia" w:hAnsi="宋体"/>
          <w:szCs w:val="28"/>
          <w:u w:val="single"/>
          <w:lang w:eastAsia="zh-CN"/>
        </w:rPr>
        <w:t>项目涉及的地表水</w:t>
      </w:r>
      <w:r>
        <w:rPr>
          <w:rFonts w:hint="eastAsia" w:hAnsi="宋体"/>
          <w:szCs w:val="28"/>
          <w:u w:val="single"/>
        </w:rPr>
        <w:t>花垣河河段水功能区为“花垣河花垣至保靖保留区”，执行Ⅲ类标准</w:t>
      </w:r>
      <w:r>
        <w:rPr>
          <w:rFonts w:hint="eastAsia"/>
          <w:u w:val="single"/>
        </w:rPr>
        <w:t>。</w:t>
      </w:r>
    </w:p>
    <w:p>
      <w:pPr>
        <w:pStyle w:val="8"/>
        <w:spacing w:before="163"/>
        <w:rPr>
          <w:rFonts w:hint="eastAsia"/>
          <w:color w:val="000000"/>
        </w:rPr>
      </w:pPr>
      <w:r>
        <w:rPr>
          <w:rFonts w:hint="eastAsia"/>
          <w:color w:val="000000"/>
        </w:rPr>
        <w:t>1.9.2大气环境功能区划</w:t>
      </w:r>
    </w:p>
    <w:p>
      <w:pPr>
        <w:ind w:firstLine="480"/>
        <w:rPr>
          <w:rFonts w:hint="eastAsia"/>
          <w:bCs/>
          <w:color w:val="000000"/>
          <w:kern w:val="0"/>
        </w:rPr>
      </w:pPr>
      <w:r>
        <w:rPr>
          <w:rFonts w:hint="eastAsia"/>
          <w:bCs/>
          <w:color w:val="000000"/>
          <w:kern w:val="0"/>
        </w:rPr>
        <w:t>按《环境空气质量标准》（GB3095-2012）中规定一类区为自然保护区、风景名胜区，二类区属于居民区、文化区等人群较集中区域，项目属于人群较集中区域，因此项目所在地区域属二类功能区。</w:t>
      </w:r>
    </w:p>
    <w:p>
      <w:pPr>
        <w:pStyle w:val="8"/>
        <w:spacing w:before="163"/>
        <w:rPr>
          <w:rFonts w:hint="eastAsia"/>
          <w:color w:val="000000"/>
          <w:u w:val="none"/>
        </w:rPr>
      </w:pPr>
      <w:r>
        <w:rPr>
          <w:rFonts w:hint="eastAsia"/>
          <w:color w:val="000000"/>
          <w:u w:val="none"/>
        </w:rPr>
        <w:t>1.9.3声环境功能区划</w:t>
      </w:r>
    </w:p>
    <w:p>
      <w:pPr>
        <w:ind w:firstLine="480"/>
        <w:rPr>
          <w:rFonts w:hint="eastAsia"/>
          <w:color w:val="000000"/>
          <w:kern w:val="0"/>
          <w:u w:val="none"/>
        </w:rPr>
      </w:pPr>
      <w:r>
        <w:rPr>
          <w:rFonts w:hint="eastAsia"/>
          <w:color w:val="000000"/>
          <w:kern w:val="0"/>
          <w:u w:val="none"/>
        </w:rPr>
        <w:t>项目所在区域为</w:t>
      </w:r>
      <w:r>
        <w:rPr>
          <w:rFonts w:hint="eastAsia"/>
          <w:color w:val="000000"/>
          <w:kern w:val="0"/>
          <w:u w:val="none"/>
          <w:lang w:val="en-US" w:eastAsia="zh-CN"/>
        </w:rPr>
        <w:t>3</w:t>
      </w:r>
      <w:r>
        <w:rPr>
          <w:rFonts w:hint="eastAsia"/>
          <w:color w:val="000000"/>
          <w:kern w:val="0"/>
          <w:u w:val="none"/>
        </w:rPr>
        <w:t>类声环境功能区，执行《声环境质量标准》（GB3096-2008）的</w:t>
      </w:r>
      <w:r>
        <w:rPr>
          <w:rFonts w:hint="eastAsia"/>
          <w:color w:val="000000"/>
          <w:kern w:val="0"/>
          <w:u w:val="none"/>
          <w:lang w:val="en-US" w:eastAsia="zh-CN"/>
        </w:rPr>
        <w:t>3</w:t>
      </w:r>
      <w:r>
        <w:rPr>
          <w:rFonts w:hint="eastAsia"/>
          <w:color w:val="000000"/>
          <w:kern w:val="0"/>
          <w:u w:val="none"/>
        </w:rPr>
        <w:t>类标准。</w:t>
      </w:r>
    </w:p>
    <w:p>
      <w:pPr>
        <w:pStyle w:val="8"/>
        <w:spacing w:before="163"/>
        <w:rPr>
          <w:rFonts w:hint="eastAsia"/>
          <w:color w:val="000000"/>
        </w:rPr>
      </w:pPr>
      <w:r>
        <w:rPr>
          <w:rFonts w:hint="eastAsia"/>
          <w:color w:val="000000"/>
        </w:rPr>
        <w:t>1.9.4地下水环境功能区划</w:t>
      </w:r>
    </w:p>
    <w:p>
      <w:pPr>
        <w:ind w:firstLine="480"/>
        <w:rPr>
          <w:color w:val="000000"/>
          <w:kern w:val="0"/>
        </w:rPr>
      </w:pPr>
      <w:r>
        <w:rPr>
          <w:rFonts w:hint="eastAsia"/>
          <w:color w:val="000000"/>
          <w:kern w:val="0"/>
        </w:rPr>
        <w:t>根据现场调查，项目区域饮用水为</w:t>
      </w:r>
      <w:r>
        <w:rPr>
          <w:rFonts w:hint="eastAsia"/>
          <w:color w:val="000000"/>
          <w:kern w:val="0"/>
          <w:lang w:eastAsia="zh-CN"/>
        </w:rPr>
        <w:t>城市供水管网</w:t>
      </w:r>
      <w:r>
        <w:rPr>
          <w:rFonts w:hint="eastAsia"/>
          <w:color w:val="000000"/>
          <w:kern w:val="0"/>
        </w:rPr>
        <w:t>，区域地下水使用功能为生活杂用水</w:t>
      </w:r>
      <w:r>
        <w:rPr>
          <w:rFonts w:hint="eastAsia"/>
          <w:color w:val="000000"/>
          <w:kern w:val="0"/>
          <w:lang w:eastAsia="zh-CN"/>
        </w:rPr>
        <w:t>、工业用水</w:t>
      </w:r>
      <w:r>
        <w:rPr>
          <w:rFonts w:hint="eastAsia"/>
          <w:color w:val="000000"/>
          <w:kern w:val="0"/>
        </w:rPr>
        <w:t>，区域地下水尚未划分功能区，区域地下水水质参照《地下水质量标准》(GB/T14848-2017)III类标准执行</w:t>
      </w:r>
      <w:r>
        <w:rPr>
          <w:color w:val="000000"/>
          <w:kern w:val="0"/>
        </w:rPr>
        <w:t>。</w:t>
      </w:r>
    </w:p>
    <w:p>
      <w:pPr>
        <w:pStyle w:val="8"/>
        <w:spacing w:before="163"/>
        <w:rPr>
          <w:rFonts w:hint="eastAsia" w:ascii="Times New Roman" w:hAnsi="Times New Roman" w:eastAsia="宋体" w:cs="Times New Roman"/>
          <w:b/>
          <w:bCs/>
          <w:color w:val="000000"/>
        </w:rPr>
      </w:pPr>
      <w:r>
        <w:rPr>
          <w:rFonts w:hint="eastAsia" w:ascii="Times New Roman" w:hAnsi="Times New Roman" w:eastAsia="宋体" w:cs="Times New Roman"/>
          <w:b/>
          <w:bCs/>
          <w:color w:val="000000"/>
          <w:lang w:val="en-US" w:eastAsia="zh-CN"/>
        </w:rPr>
        <w:t xml:space="preserve">1.9.5 </w:t>
      </w:r>
      <w:r>
        <w:rPr>
          <w:rFonts w:hint="eastAsia" w:ascii="Times New Roman" w:hAnsi="Times New Roman" w:eastAsia="宋体" w:cs="Times New Roman"/>
          <w:b/>
          <w:bCs/>
          <w:color w:val="000000"/>
        </w:rPr>
        <w:t>区域环境功能区划</w:t>
      </w:r>
    </w:p>
    <w:p>
      <w:pPr>
        <w:pStyle w:val="2"/>
        <w:spacing w:line="360" w:lineRule="auto"/>
        <w:ind w:firstLine="480" w:firstLineChars="200"/>
        <w:rPr>
          <w:rFonts w:ascii="Times New Roman" w:hAnsi="Times New Roman" w:cs="Times New Roman"/>
          <w:color w:val="auto"/>
          <w:kern w:val="2"/>
        </w:rPr>
      </w:pPr>
      <w:r>
        <w:rPr>
          <w:rFonts w:hint="eastAsia" w:ascii="Times New Roman" w:hAnsi="Times New Roman" w:cs="Times New Roman"/>
          <w:color w:val="auto"/>
          <w:kern w:val="2"/>
        </w:rPr>
        <w:t>项目所在区域环</w:t>
      </w:r>
      <w:r>
        <w:rPr>
          <w:rFonts w:ascii="Times New Roman" w:hAnsi="Times New Roman" w:cs="Times New Roman"/>
          <w:color w:val="auto"/>
          <w:kern w:val="2"/>
        </w:rPr>
        <w:t>境功能区划见下表：</w:t>
      </w:r>
    </w:p>
    <w:p>
      <w:pPr>
        <w:ind w:firstLine="482"/>
        <w:jc w:val="center"/>
        <w:rPr>
          <w:rFonts w:ascii="Times New Roman" w:hAnsi="Times New Roman"/>
          <w:b/>
          <w:szCs w:val="21"/>
        </w:rPr>
      </w:pPr>
      <w:r>
        <w:rPr>
          <w:rFonts w:ascii="Times New Roman" w:hAnsi="Times New Roman"/>
          <w:b/>
          <w:szCs w:val="21"/>
        </w:rPr>
        <w:t>表1.</w:t>
      </w:r>
      <w:r>
        <w:rPr>
          <w:rFonts w:hint="eastAsia"/>
          <w:b/>
          <w:szCs w:val="21"/>
          <w:lang w:val="en-US" w:eastAsia="zh-CN"/>
        </w:rPr>
        <w:t>9</w:t>
      </w:r>
      <w:r>
        <w:rPr>
          <w:rFonts w:ascii="Times New Roman" w:hAnsi="Times New Roman"/>
          <w:b/>
          <w:szCs w:val="21"/>
        </w:rPr>
        <w:t>-1 建设项目所在区域环境功能区划表</w:t>
      </w:r>
    </w:p>
    <w:tbl>
      <w:tblPr>
        <w:tblStyle w:val="37"/>
        <w:tblW w:w="82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2537"/>
        <w:gridCol w:w="755"/>
        <w:gridCol w:w="1485"/>
        <w:gridCol w:w="28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02"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编号</w:t>
            </w:r>
          </w:p>
        </w:tc>
        <w:tc>
          <w:tcPr>
            <w:tcW w:w="2537"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项目</w:t>
            </w:r>
          </w:p>
        </w:tc>
        <w:tc>
          <w:tcPr>
            <w:tcW w:w="5059" w:type="dxa"/>
            <w:gridSpan w:val="3"/>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功能属性及执行标准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702" w:type="dxa"/>
            <w:vMerge w:val="restart"/>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1</w:t>
            </w:r>
          </w:p>
        </w:tc>
        <w:tc>
          <w:tcPr>
            <w:tcW w:w="2537"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地表水环境功能区</w:t>
            </w:r>
          </w:p>
        </w:tc>
        <w:tc>
          <w:tcPr>
            <w:tcW w:w="755" w:type="dxa"/>
            <w:noWrap w:val="0"/>
            <w:vAlign w:val="center"/>
          </w:tcPr>
          <w:p>
            <w:pPr>
              <w:pStyle w:val="62"/>
              <w:spacing w:line="240" w:lineRule="auto"/>
              <w:rPr>
                <w:rFonts w:hint="eastAsia" w:ascii="Times New Roman" w:hAnsi="Times New Roman" w:eastAsia="宋体"/>
                <w:bCs/>
                <w:sz w:val="21"/>
                <w:szCs w:val="21"/>
                <w:lang w:eastAsia="zh-CN"/>
              </w:rPr>
            </w:pPr>
            <w:r>
              <w:rPr>
                <w:rFonts w:hint="eastAsia" w:ascii="Times New Roman" w:hAnsi="Times New Roman"/>
                <w:bCs/>
                <w:sz w:val="21"/>
                <w:szCs w:val="21"/>
                <w:lang w:eastAsia="zh-CN"/>
              </w:rPr>
              <w:t>花垣河</w:t>
            </w:r>
          </w:p>
        </w:tc>
        <w:tc>
          <w:tcPr>
            <w:tcW w:w="1485" w:type="dxa"/>
            <w:noWrap w:val="0"/>
            <w:vAlign w:val="center"/>
          </w:tcPr>
          <w:p>
            <w:pPr>
              <w:pStyle w:val="62"/>
              <w:spacing w:line="240" w:lineRule="auto"/>
              <w:rPr>
                <w:rFonts w:hint="eastAsia" w:ascii="Times New Roman" w:hAnsi="Times New Roman" w:eastAsia="宋体"/>
                <w:bCs/>
                <w:sz w:val="21"/>
                <w:szCs w:val="21"/>
                <w:lang w:eastAsia="zh-CN"/>
              </w:rPr>
            </w:pPr>
            <w:r>
              <w:rPr>
                <w:rFonts w:hint="eastAsia" w:ascii="Times New Roman" w:hAnsi="Times New Roman"/>
                <w:bCs/>
                <w:sz w:val="21"/>
                <w:szCs w:val="21"/>
                <w:lang w:val="en-US" w:eastAsia="zh-CN"/>
              </w:rPr>
              <w:t>/</w:t>
            </w:r>
          </w:p>
        </w:tc>
        <w:tc>
          <w:tcPr>
            <w:tcW w:w="2819"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《地表水环境质量标准》（GB3838-2002）Ⅲ类标准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702" w:type="dxa"/>
            <w:vMerge w:val="continue"/>
            <w:noWrap w:val="0"/>
            <w:vAlign w:val="center"/>
          </w:tcPr>
          <w:p>
            <w:pPr>
              <w:pStyle w:val="62"/>
              <w:spacing w:line="240" w:lineRule="auto"/>
              <w:rPr>
                <w:rFonts w:ascii="Times New Roman" w:hAnsi="Times New Roman"/>
                <w:bCs/>
                <w:sz w:val="21"/>
                <w:szCs w:val="21"/>
              </w:rPr>
            </w:pPr>
          </w:p>
        </w:tc>
        <w:tc>
          <w:tcPr>
            <w:tcW w:w="2537"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地下水环境功能区</w:t>
            </w:r>
          </w:p>
        </w:tc>
        <w:tc>
          <w:tcPr>
            <w:tcW w:w="755"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地下水</w:t>
            </w:r>
          </w:p>
        </w:tc>
        <w:tc>
          <w:tcPr>
            <w:tcW w:w="1485" w:type="dxa"/>
            <w:noWrap w:val="0"/>
            <w:vAlign w:val="center"/>
          </w:tcPr>
          <w:p>
            <w:pPr>
              <w:pStyle w:val="62"/>
              <w:spacing w:line="240" w:lineRule="auto"/>
              <w:rPr>
                <w:rFonts w:hint="eastAsia" w:ascii="Times New Roman" w:hAnsi="Times New Roman" w:eastAsia="宋体"/>
                <w:bCs/>
                <w:sz w:val="21"/>
                <w:szCs w:val="21"/>
                <w:lang w:eastAsia="zh-CN"/>
              </w:rPr>
            </w:pPr>
            <w:r>
              <w:rPr>
                <w:rFonts w:ascii="Times New Roman" w:hAnsi="Times New Roman"/>
                <w:bCs/>
                <w:sz w:val="21"/>
                <w:szCs w:val="21"/>
              </w:rPr>
              <w:t>生活杂用水</w:t>
            </w:r>
            <w:r>
              <w:rPr>
                <w:rFonts w:hint="eastAsia" w:ascii="Times New Roman" w:hAnsi="Times New Roman"/>
                <w:bCs/>
                <w:sz w:val="21"/>
                <w:szCs w:val="21"/>
                <w:lang w:eastAsia="zh-CN"/>
              </w:rPr>
              <w:t>、工业用水</w:t>
            </w:r>
          </w:p>
        </w:tc>
        <w:tc>
          <w:tcPr>
            <w:tcW w:w="2819"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《地下水质量标准》（GB/T14848-2017）Ⅲ类标准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02"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2</w:t>
            </w:r>
          </w:p>
        </w:tc>
        <w:tc>
          <w:tcPr>
            <w:tcW w:w="2537"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环境空气质量功能区</w:t>
            </w:r>
          </w:p>
        </w:tc>
        <w:tc>
          <w:tcPr>
            <w:tcW w:w="5059" w:type="dxa"/>
            <w:gridSpan w:val="3"/>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二类，《环境空气质量标准》（GB3095-2012）及修改单中二级标准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02"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3</w:t>
            </w:r>
          </w:p>
        </w:tc>
        <w:tc>
          <w:tcPr>
            <w:tcW w:w="2537" w:type="dxa"/>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声环境功能区</w:t>
            </w:r>
          </w:p>
        </w:tc>
        <w:tc>
          <w:tcPr>
            <w:tcW w:w="5059" w:type="dxa"/>
            <w:gridSpan w:val="3"/>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lang w:val="en-US" w:eastAsia="zh-CN"/>
              </w:rPr>
              <w:t>3</w:t>
            </w:r>
            <w:r>
              <w:rPr>
                <w:rFonts w:hint="eastAsia" w:ascii="Times New Roman" w:hAnsi="Times New Roman"/>
                <w:bCs/>
                <w:sz w:val="21"/>
                <w:szCs w:val="21"/>
              </w:rPr>
              <w:t>类，《声环境质量标准》（GB3096-2008）的</w:t>
            </w:r>
            <w:r>
              <w:rPr>
                <w:rFonts w:hint="eastAsia" w:ascii="Times New Roman" w:hAnsi="Times New Roman"/>
                <w:bCs/>
                <w:sz w:val="21"/>
                <w:szCs w:val="21"/>
                <w:lang w:val="en-US" w:eastAsia="zh-CN"/>
              </w:rPr>
              <w:t>3</w:t>
            </w:r>
            <w:r>
              <w:rPr>
                <w:rFonts w:hint="eastAsia" w:ascii="Times New Roman" w:hAnsi="Times New Roman"/>
                <w:bCs/>
                <w:sz w:val="21"/>
                <w:szCs w:val="21"/>
              </w:rPr>
              <w:t>类区标准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2"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4</w:t>
            </w:r>
          </w:p>
        </w:tc>
        <w:tc>
          <w:tcPr>
            <w:tcW w:w="2537" w:type="dxa"/>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是否基本农田保护区</w:t>
            </w:r>
          </w:p>
        </w:tc>
        <w:tc>
          <w:tcPr>
            <w:tcW w:w="5059" w:type="dxa"/>
            <w:gridSpan w:val="3"/>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2"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5</w:t>
            </w:r>
          </w:p>
        </w:tc>
        <w:tc>
          <w:tcPr>
            <w:tcW w:w="2537" w:type="dxa"/>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是否森林、公园</w:t>
            </w:r>
          </w:p>
        </w:tc>
        <w:tc>
          <w:tcPr>
            <w:tcW w:w="5059" w:type="dxa"/>
            <w:gridSpan w:val="3"/>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2"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6</w:t>
            </w:r>
          </w:p>
        </w:tc>
        <w:tc>
          <w:tcPr>
            <w:tcW w:w="2537" w:type="dxa"/>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是否生态功能保护区</w:t>
            </w:r>
          </w:p>
        </w:tc>
        <w:tc>
          <w:tcPr>
            <w:tcW w:w="5059" w:type="dxa"/>
            <w:gridSpan w:val="3"/>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02"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7</w:t>
            </w:r>
          </w:p>
        </w:tc>
        <w:tc>
          <w:tcPr>
            <w:tcW w:w="2537" w:type="dxa"/>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是否水土流失重点防治区</w:t>
            </w:r>
          </w:p>
        </w:tc>
        <w:tc>
          <w:tcPr>
            <w:tcW w:w="5059" w:type="dxa"/>
            <w:gridSpan w:val="3"/>
            <w:noWrap w:val="0"/>
            <w:vAlign w:val="center"/>
          </w:tcPr>
          <w:p>
            <w:pPr>
              <w:pStyle w:val="62"/>
              <w:spacing w:line="240" w:lineRule="auto"/>
              <w:rPr>
                <w:rFonts w:hint="eastAsia" w:ascii="Times New Roman" w:hAnsi="Times New Roman" w:eastAsia="宋体"/>
                <w:bCs/>
                <w:sz w:val="21"/>
                <w:szCs w:val="21"/>
                <w:lang w:eastAsia="zh-CN"/>
              </w:rPr>
            </w:pPr>
            <w:r>
              <w:rPr>
                <w:rFonts w:hint="eastAsia"/>
                <w:bCs/>
                <w:sz w:val="21"/>
                <w:szCs w:val="21"/>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2"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8</w:t>
            </w:r>
          </w:p>
        </w:tc>
        <w:tc>
          <w:tcPr>
            <w:tcW w:w="2537" w:type="dxa"/>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是否人口密集区</w:t>
            </w:r>
          </w:p>
        </w:tc>
        <w:tc>
          <w:tcPr>
            <w:tcW w:w="5059" w:type="dxa"/>
            <w:gridSpan w:val="3"/>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2"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9</w:t>
            </w:r>
          </w:p>
        </w:tc>
        <w:tc>
          <w:tcPr>
            <w:tcW w:w="2537" w:type="dxa"/>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是否重点文物保护单位</w:t>
            </w:r>
          </w:p>
        </w:tc>
        <w:tc>
          <w:tcPr>
            <w:tcW w:w="5059" w:type="dxa"/>
            <w:gridSpan w:val="3"/>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02"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10</w:t>
            </w:r>
          </w:p>
        </w:tc>
        <w:tc>
          <w:tcPr>
            <w:tcW w:w="2537" w:type="dxa"/>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是否三河、三湖、两控区</w:t>
            </w:r>
          </w:p>
        </w:tc>
        <w:tc>
          <w:tcPr>
            <w:tcW w:w="5059" w:type="dxa"/>
            <w:gridSpan w:val="3"/>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702"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11</w:t>
            </w:r>
          </w:p>
        </w:tc>
        <w:tc>
          <w:tcPr>
            <w:tcW w:w="2537" w:type="dxa"/>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是否水库库区</w:t>
            </w:r>
          </w:p>
        </w:tc>
        <w:tc>
          <w:tcPr>
            <w:tcW w:w="5059" w:type="dxa"/>
            <w:gridSpan w:val="3"/>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702"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13</w:t>
            </w:r>
          </w:p>
        </w:tc>
        <w:tc>
          <w:tcPr>
            <w:tcW w:w="2537" w:type="dxa"/>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是否污水处理厂纳污范围</w:t>
            </w:r>
          </w:p>
        </w:tc>
        <w:tc>
          <w:tcPr>
            <w:tcW w:w="5059" w:type="dxa"/>
            <w:gridSpan w:val="3"/>
            <w:noWrap w:val="0"/>
            <w:vAlign w:val="center"/>
          </w:tcPr>
          <w:p>
            <w:pPr>
              <w:pStyle w:val="62"/>
              <w:spacing w:line="240" w:lineRule="auto"/>
              <w:rPr>
                <w:rFonts w:hint="eastAsia" w:ascii="Times New Roman" w:hAnsi="Times New Roman" w:eastAsia="宋体"/>
                <w:bCs/>
                <w:sz w:val="21"/>
                <w:szCs w:val="21"/>
                <w:lang w:eastAsia="zh-CN"/>
              </w:rPr>
            </w:pPr>
            <w:r>
              <w:rPr>
                <w:rFonts w:hint="eastAsia" w:ascii="Times New Roman" w:hAnsi="Times New Roman"/>
                <w:bCs/>
                <w:sz w:val="21"/>
                <w:szCs w:val="21"/>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02" w:type="dxa"/>
            <w:noWrap w:val="0"/>
            <w:vAlign w:val="center"/>
          </w:tcPr>
          <w:p>
            <w:pPr>
              <w:pStyle w:val="62"/>
              <w:spacing w:line="240" w:lineRule="auto"/>
              <w:rPr>
                <w:rFonts w:ascii="Times New Roman" w:hAnsi="Times New Roman"/>
                <w:bCs/>
                <w:sz w:val="21"/>
                <w:szCs w:val="21"/>
              </w:rPr>
            </w:pPr>
            <w:r>
              <w:rPr>
                <w:rFonts w:ascii="Times New Roman" w:hAnsi="Times New Roman"/>
                <w:bCs/>
                <w:sz w:val="21"/>
                <w:szCs w:val="21"/>
              </w:rPr>
              <w:t>14</w:t>
            </w:r>
          </w:p>
        </w:tc>
        <w:tc>
          <w:tcPr>
            <w:tcW w:w="2537" w:type="dxa"/>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是否属于生态敏感与脆弱区</w:t>
            </w:r>
          </w:p>
        </w:tc>
        <w:tc>
          <w:tcPr>
            <w:tcW w:w="5059" w:type="dxa"/>
            <w:gridSpan w:val="3"/>
            <w:noWrap w:val="0"/>
            <w:vAlign w:val="center"/>
          </w:tcPr>
          <w:p>
            <w:pPr>
              <w:pStyle w:val="62"/>
              <w:spacing w:line="240" w:lineRule="auto"/>
              <w:rPr>
                <w:rFonts w:ascii="Times New Roman" w:hAnsi="Times New Roman"/>
                <w:bCs/>
                <w:sz w:val="21"/>
                <w:szCs w:val="21"/>
              </w:rPr>
            </w:pPr>
            <w:r>
              <w:rPr>
                <w:rFonts w:hint="eastAsia" w:ascii="Times New Roman" w:hAnsi="Times New Roman"/>
                <w:bCs/>
                <w:sz w:val="21"/>
                <w:szCs w:val="21"/>
              </w:rPr>
              <w:t>否</w:t>
            </w:r>
          </w:p>
        </w:tc>
      </w:tr>
    </w:tbl>
    <w:p>
      <w:pPr>
        <w:pStyle w:val="86"/>
        <w:spacing w:before="163" w:after="163"/>
        <w:rPr>
          <w:rFonts w:hint="eastAsia"/>
          <w:color w:val="000000"/>
        </w:rPr>
      </w:pPr>
      <w:bookmarkStart w:id="137" w:name="_Toc19778"/>
      <w:bookmarkStart w:id="138" w:name="_Toc489350131"/>
      <w:bookmarkStart w:id="139" w:name="_Toc29308653"/>
      <w:r>
        <w:rPr>
          <w:rFonts w:hint="eastAsia"/>
          <w:color w:val="000000"/>
        </w:rPr>
        <w:t>1.10 污染控制及环境保护目标</w:t>
      </w:r>
      <w:bookmarkEnd w:id="137"/>
      <w:bookmarkEnd w:id="138"/>
      <w:bookmarkEnd w:id="139"/>
    </w:p>
    <w:p>
      <w:pPr>
        <w:pStyle w:val="8"/>
        <w:spacing w:before="163"/>
        <w:rPr>
          <w:rFonts w:hint="eastAsia"/>
          <w:color w:val="000000"/>
        </w:rPr>
      </w:pPr>
      <w:bookmarkStart w:id="140" w:name="_Toc489350233"/>
      <w:bookmarkStart w:id="141" w:name="_Toc489350132"/>
      <w:bookmarkStart w:id="142" w:name="_Toc489349973"/>
      <w:r>
        <w:rPr>
          <w:rFonts w:hint="eastAsia"/>
          <w:color w:val="000000"/>
        </w:rPr>
        <w:t>1.10.1 本项目污染控制</w:t>
      </w:r>
      <w:bookmarkEnd w:id="140"/>
      <w:bookmarkEnd w:id="141"/>
      <w:bookmarkEnd w:id="142"/>
    </w:p>
    <w:p>
      <w:pPr>
        <w:ind w:firstLine="480"/>
        <w:rPr>
          <w:color w:val="000000"/>
          <w:kern w:val="0"/>
        </w:rPr>
      </w:pPr>
      <w:r>
        <w:rPr>
          <w:rFonts w:hint="eastAsia"/>
          <w:color w:val="000000"/>
          <w:kern w:val="0"/>
        </w:rPr>
        <w:t>（</w:t>
      </w:r>
      <w:r>
        <w:rPr>
          <w:color w:val="000000"/>
          <w:kern w:val="0"/>
        </w:rPr>
        <w:t>1</w:t>
      </w:r>
      <w:r>
        <w:rPr>
          <w:rFonts w:hint="eastAsia"/>
          <w:color w:val="000000"/>
          <w:kern w:val="0"/>
        </w:rPr>
        <w:t>）废气污染控制</w:t>
      </w:r>
    </w:p>
    <w:p>
      <w:pPr>
        <w:ind w:firstLine="480"/>
        <w:rPr>
          <w:rFonts w:hint="eastAsia"/>
          <w:color w:val="000000"/>
          <w:kern w:val="0"/>
        </w:rPr>
      </w:pPr>
      <w:r>
        <w:rPr>
          <w:rFonts w:hint="eastAsia"/>
          <w:color w:val="000000"/>
          <w:kern w:val="0"/>
          <w:lang w:eastAsia="zh-CN"/>
        </w:rPr>
        <w:t>本项目属于重金属废水处理项目，运营期基本无废气产生</w:t>
      </w:r>
      <w:r>
        <w:rPr>
          <w:rFonts w:hint="eastAsia"/>
          <w:color w:val="000000"/>
          <w:kern w:val="0"/>
        </w:rPr>
        <w:t xml:space="preserve">。 </w:t>
      </w:r>
    </w:p>
    <w:p>
      <w:pPr>
        <w:ind w:firstLine="480"/>
        <w:rPr>
          <w:rFonts w:hint="eastAsia"/>
          <w:color w:val="000000"/>
          <w:kern w:val="0"/>
        </w:rPr>
      </w:pPr>
      <w:r>
        <w:rPr>
          <w:rFonts w:hint="eastAsia"/>
          <w:color w:val="000000"/>
          <w:kern w:val="0"/>
        </w:rPr>
        <w:t>（2）噪声污染控制</w:t>
      </w:r>
    </w:p>
    <w:p>
      <w:pPr>
        <w:ind w:firstLine="480"/>
        <w:rPr>
          <w:color w:val="000000"/>
          <w:kern w:val="0"/>
        </w:rPr>
      </w:pPr>
      <w:r>
        <w:rPr>
          <w:rFonts w:hint="eastAsia"/>
          <w:color w:val="000000"/>
          <w:kern w:val="0"/>
        </w:rPr>
        <w:t>采取有效的减噪措施，确保厂界噪声控制在《工业企业厂界噪声排放标准》（GB12348-2008）表1中</w:t>
      </w:r>
      <w:r>
        <w:rPr>
          <w:rFonts w:hint="eastAsia"/>
          <w:color w:val="000000"/>
          <w:kern w:val="0"/>
          <w:lang w:val="en-US" w:eastAsia="zh-CN"/>
        </w:rPr>
        <w:t>3</w:t>
      </w:r>
      <w:r>
        <w:rPr>
          <w:rFonts w:hint="eastAsia"/>
          <w:color w:val="000000"/>
          <w:kern w:val="0"/>
        </w:rPr>
        <w:t>类标准以内。</w:t>
      </w:r>
    </w:p>
    <w:p>
      <w:pPr>
        <w:ind w:firstLine="480"/>
        <w:rPr>
          <w:rFonts w:hint="eastAsia"/>
          <w:color w:val="000000"/>
          <w:kern w:val="0"/>
        </w:rPr>
      </w:pPr>
      <w:r>
        <w:rPr>
          <w:rFonts w:hint="eastAsia"/>
          <w:color w:val="000000"/>
          <w:kern w:val="0"/>
        </w:rPr>
        <w:t>（3）废水污染控制</w:t>
      </w:r>
    </w:p>
    <w:p>
      <w:pPr>
        <w:widowControl w:val="0"/>
        <w:wordWrap w:val="0"/>
        <w:ind w:firstLine="480"/>
        <w:rPr>
          <w:rFonts w:hint="eastAsia"/>
          <w:i w:val="0"/>
          <w:iCs w:val="0"/>
          <w:color w:val="000000"/>
          <w:kern w:val="0"/>
          <w:u w:val="none"/>
        </w:rPr>
      </w:pPr>
      <w:r>
        <w:rPr>
          <w:rFonts w:hint="eastAsia"/>
          <w:i w:val="0"/>
          <w:iCs w:val="0"/>
          <w:color w:val="000000"/>
          <w:u w:val="none"/>
          <w:lang w:eastAsia="zh-CN"/>
        </w:rPr>
        <w:t>控制接收的含一类污染物（铬、铅）的废水经处理在车间排口达到《污水综合排放标准》( GB8978-19</w:t>
      </w:r>
      <w:r>
        <w:rPr>
          <w:rFonts w:hint="eastAsia"/>
          <w:i w:val="0"/>
          <w:iCs w:val="0"/>
          <w:color w:val="auto"/>
          <w:u w:val="none"/>
          <w:lang w:eastAsia="zh-CN"/>
        </w:rPr>
        <w:t>96)表1最高允许排放浓度要求后方可接管，废水经处理后出水水质</w:t>
      </w:r>
      <w:r>
        <w:rPr>
          <w:rFonts w:hint="eastAsia"/>
          <w:i w:val="0"/>
          <w:iCs w:val="0"/>
          <w:color w:val="auto"/>
          <w:u w:val="none"/>
        </w:rPr>
        <w:t>总钒指标执行《钒工业污染物排放标准》（GB26452-2001</w:t>
      </w:r>
      <w:r>
        <w:rPr>
          <w:rFonts w:hint="eastAsia"/>
          <w:i w:val="0"/>
          <w:iCs w:val="0"/>
          <w:color w:val="auto"/>
          <w:u w:val="none"/>
          <w:lang w:eastAsia="zh-CN"/>
        </w:rPr>
        <w:t>）表</w:t>
      </w:r>
      <w:r>
        <w:rPr>
          <w:rFonts w:hint="eastAsia"/>
          <w:i w:val="0"/>
          <w:iCs w:val="0"/>
          <w:color w:val="auto"/>
          <w:u w:val="none"/>
          <w:lang w:val="en-US" w:eastAsia="zh-CN"/>
        </w:rPr>
        <w:t>2中标准限值</w:t>
      </w:r>
      <w:r>
        <w:rPr>
          <w:rFonts w:hint="eastAsia"/>
          <w:i w:val="0"/>
          <w:iCs w:val="0"/>
          <w:color w:val="auto"/>
          <w:u w:val="none"/>
          <w:lang w:eastAsia="zh-CN"/>
        </w:rPr>
        <w:t>，其他污染物指标达到《</w:t>
      </w:r>
      <w:r>
        <w:rPr>
          <w:rFonts w:hint="eastAsia"/>
          <w:i w:val="0"/>
          <w:iCs w:val="0"/>
          <w:color w:val="auto"/>
          <w:u w:val="none"/>
        </w:rPr>
        <w:t>城镇污水处理厂污染物排放标准》（GB18918-2002）表2、表3中标准限值</w:t>
      </w:r>
      <w:r>
        <w:rPr>
          <w:rFonts w:hint="eastAsia"/>
          <w:i w:val="0"/>
          <w:iCs w:val="0"/>
          <w:color w:val="auto"/>
          <w:kern w:val="0"/>
          <w:u w:val="none"/>
        </w:rPr>
        <w:t>，</w:t>
      </w:r>
      <w:r>
        <w:rPr>
          <w:rFonts w:hint="eastAsia"/>
          <w:i w:val="0"/>
          <w:iCs w:val="0"/>
          <w:color w:val="auto"/>
          <w:kern w:val="0"/>
          <w:u w:val="none"/>
          <w:lang w:eastAsia="zh-CN"/>
        </w:rPr>
        <w:t>后接入</w:t>
      </w:r>
      <w:r>
        <w:rPr>
          <w:rFonts w:hint="eastAsia"/>
          <w:i w:val="0"/>
          <w:iCs w:val="0"/>
          <w:color w:val="000000"/>
          <w:kern w:val="0"/>
          <w:u w:val="none"/>
          <w:lang w:eastAsia="zh-CN"/>
        </w:rPr>
        <w:t>花垣工业集中区污水处理厂</w:t>
      </w:r>
      <w:r>
        <w:rPr>
          <w:rFonts w:hint="eastAsia"/>
          <w:i w:val="0"/>
          <w:iCs w:val="0"/>
          <w:color w:val="000000"/>
          <w:kern w:val="0"/>
          <w:u w:val="none"/>
        </w:rPr>
        <w:t>。</w:t>
      </w:r>
    </w:p>
    <w:p>
      <w:pPr>
        <w:ind w:firstLine="480"/>
        <w:rPr>
          <w:rFonts w:hint="eastAsia"/>
          <w:color w:val="000000"/>
          <w:kern w:val="0"/>
        </w:rPr>
      </w:pPr>
      <w:r>
        <w:rPr>
          <w:rFonts w:hint="eastAsia"/>
          <w:color w:val="000000"/>
          <w:kern w:val="0"/>
        </w:rPr>
        <w:t>（4）固体废物控制</w:t>
      </w:r>
    </w:p>
    <w:p>
      <w:pPr>
        <w:ind w:firstLine="480"/>
        <w:rPr>
          <w:color w:val="000000"/>
          <w:kern w:val="0"/>
        </w:rPr>
      </w:pPr>
      <w:r>
        <w:rPr>
          <w:rFonts w:hint="eastAsia"/>
          <w:color w:val="000000"/>
          <w:kern w:val="0"/>
        </w:rPr>
        <w:t xml:space="preserve">妥善处置或综合利用固体废物，避免产生二次污染。 </w:t>
      </w:r>
    </w:p>
    <w:p>
      <w:pPr>
        <w:pStyle w:val="8"/>
        <w:spacing w:before="163"/>
        <w:rPr>
          <w:rFonts w:hint="eastAsia"/>
          <w:color w:val="000000"/>
        </w:rPr>
      </w:pPr>
      <w:bookmarkStart w:id="143" w:name="_Toc489350234"/>
      <w:bookmarkStart w:id="144" w:name="_Toc489350133"/>
      <w:bookmarkStart w:id="145" w:name="_Toc489349974"/>
      <w:r>
        <w:rPr>
          <w:rFonts w:hint="eastAsia"/>
          <w:color w:val="000000"/>
        </w:rPr>
        <w:t>1.10.2环境保护目标</w:t>
      </w:r>
      <w:bookmarkEnd w:id="143"/>
      <w:bookmarkEnd w:id="144"/>
      <w:bookmarkEnd w:id="145"/>
    </w:p>
    <w:p>
      <w:pPr>
        <w:ind w:firstLine="480"/>
        <w:rPr>
          <w:rFonts w:hint="eastAsia"/>
          <w:color w:val="000000"/>
          <w:kern w:val="0"/>
        </w:rPr>
      </w:pPr>
      <w:r>
        <w:rPr>
          <w:rFonts w:hint="eastAsia"/>
          <w:color w:val="000000"/>
          <w:kern w:val="0"/>
        </w:rPr>
        <w:t>在了解项目选址周边环境现状、发展规划及功能区划的基础上，结合项目工程特征，确定本次评价环境保护目标。</w:t>
      </w:r>
    </w:p>
    <w:p>
      <w:pPr>
        <w:ind w:firstLine="480"/>
        <w:rPr>
          <w:rFonts w:hint="eastAsia"/>
          <w:color w:val="000000"/>
          <w:kern w:val="0"/>
        </w:rPr>
      </w:pPr>
      <w:r>
        <w:rPr>
          <w:rFonts w:hint="eastAsia"/>
          <w:color w:val="000000"/>
          <w:kern w:val="0"/>
        </w:rPr>
        <w:t>评价区域内无重点保护的单位和动植物资源，根据工程性质及周围环境特征，确定环境保护目标主要为污水厂附近居民点和</w:t>
      </w:r>
      <w:r>
        <w:rPr>
          <w:rFonts w:hint="eastAsia"/>
          <w:color w:val="000000"/>
          <w:kern w:val="0"/>
          <w:lang w:eastAsia="zh-CN"/>
        </w:rPr>
        <w:t>管网</w:t>
      </w:r>
      <w:r>
        <w:rPr>
          <w:rFonts w:hint="eastAsia"/>
          <w:color w:val="000000"/>
          <w:kern w:val="0"/>
        </w:rPr>
        <w:t>铺设附近居民点以及区域地表水体</w:t>
      </w:r>
      <w:r>
        <w:rPr>
          <w:rFonts w:hint="eastAsia"/>
          <w:color w:val="000000"/>
          <w:kern w:val="0"/>
          <w:lang w:eastAsia="zh-CN"/>
        </w:rPr>
        <w:t>花垣河</w:t>
      </w:r>
      <w:r>
        <w:rPr>
          <w:rFonts w:hint="eastAsia"/>
          <w:color w:val="000000"/>
          <w:kern w:val="0"/>
        </w:rPr>
        <w:t>等。项目周边环境见附图：项目外环境保护关系图。</w:t>
      </w:r>
    </w:p>
    <w:p>
      <w:pPr>
        <w:ind w:firstLine="480"/>
        <w:rPr>
          <w:rFonts w:hint="eastAsia"/>
          <w:color w:val="000000"/>
          <w:kern w:val="0"/>
        </w:rPr>
      </w:pPr>
      <w:r>
        <w:rPr>
          <w:rFonts w:hint="eastAsia"/>
          <w:color w:val="000000"/>
          <w:kern w:val="0"/>
        </w:rPr>
        <w:t>主要环境保护目标和对象分布详见下表1.10-1</w:t>
      </w:r>
      <w:bookmarkStart w:id="146" w:name="_Toc489349975"/>
      <w:bookmarkStart w:id="147" w:name="_Toc489350134"/>
      <w:r>
        <w:rPr>
          <w:rFonts w:hint="eastAsia"/>
          <w:color w:val="000000"/>
          <w:kern w:val="0"/>
        </w:rPr>
        <w:t>。</w:t>
      </w:r>
    </w:p>
    <w:p>
      <w:pPr>
        <w:ind w:firstLine="422"/>
        <w:jc w:val="center"/>
        <w:rPr>
          <w:rFonts w:hint="eastAsia"/>
          <w:b/>
          <w:color w:val="auto"/>
          <w:kern w:val="0"/>
          <w:sz w:val="21"/>
          <w:szCs w:val="21"/>
          <w:u w:val="none"/>
        </w:rPr>
      </w:pPr>
      <w:r>
        <w:rPr>
          <w:rFonts w:hint="eastAsia"/>
          <w:b/>
          <w:color w:val="auto"/>
          <w:kern w:val="0"/>
          <w:sz w:val="21"/>
          <w:szCs w:val="21"/>
          <w:u w:val="none"/>
        </w:rPr>
        <w:t xml:space="preserve">表1.10-1 </w:t>
      </w:r>
      <w:r>
        <w:rPr>
          <w:rFonts w:hint="eastAsia"/>
          <w:b/>
          <w:color w:val="auto"/>
          <w:kern w:val="0"/>
          <w:sz w:val="21"/>
          <w:szCs w:val="21"/>
          <w:u w:val="none"/>
          <w:lang w:eastAsia="zh-CN"/>
        </w:rPr>
        <w:t>项目</w:t>
      </w:r>
      <w:r>
        <w:rPr>
          <w:rFonts w:hint="eastAsia"/>
          <w:b/>
          <w:color w:val="auto"/>
          <w:kern w:val="0"/>
          <w:sz w:val="21"/>
          <w:szCs w:val="21"/>
          <w:u w:val="none"/>
        </w:rPr>
        <w:t>环境保护一览表</w:t>
      </w:r>
    </w:p>
    <w:tbl>
      <w:tblPr>
        <w:tblStyle w:val="37"/>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935"/>
        <w:gridCol w:w="592"/>
        <w:gridCol w:w="765"/>
        <w:gridCol w:w="705"/>
        <w:gridCol w:w="558"/>
        <w:gridCol w:w="608"/>
        <w:gridCol w:w="555"/>
        <w:gridCol w:w="900"/>
        <w:gridCol w:w="324"/>
        <w:gridCol w:w="1073"/>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422" w:type="dxa"/>
            <w:vMerge w:val="restart"/>
            <w:noWrap w:val="0"/>
            <w:vAlign w:val="center"/>
          </w:tcPr>
          <w:p>
            <w:pPr>
              <w:pStyle w:val="79"/>
              <w:rPr>
                <w:rFonts w:hint="default" w:ascii="Times New Roman" w:hAnsi="Times New Roman" w:cs="Times New Roman"/>
                <w:b/>
                <w:bCs/>
                <w:u w:val="none"/>
              </w:rPr>
            </w:pPr>
            <w:r>
              <w:rPr>
                <w:rFonts w:hint="default" w:ascii="Times New Roman" w:hAnsi="Times New Roman" w:cs="Times New Roman"/>
                <w:b/>
                <w:bCs/>
                <w:u w:val="none"/>
              </w:rPr>
              <w:t>环境</w:t>
            </w:r>
          </w:p>
          <w:p>
            <w:pPr>
              <w:pStyle w:val="79"/>
              <w:rPr>
                <w:rFonts w:hint="default" w:ascii="Times New Roman" w:hAnsi="Times New Roman" w:cs="Times New Roman"/>
                <w:b/>
                <w:bCs/>
                <w:u w:val="none"/>
              </w:rPr>
            </w:pPr>
            <w:r>
              <w:rPr>
                <w:rFonts w:hint="default" w:ascii="Times New Roman" w:hAnsi="Times New Roman" w:cs="Times New Roman"/>
                <w:b/>
                <w:bCs/>
                <w:u w:val="none"/>
              </w:rPr>
              <w:t>要素</w:t>
            </w:r>
          </w:p>
        </w:tc>
        <w:tc>
          <w:tcPr>
            <w:tcW w:w="935" w:type="dxa"/>
            <w:vMerge w:val="restart"/>
            <w:noWrap w:val="0"/>
            <w:vAlign w:val="center"/>
          </w:tcPr>
          <w:p>
            <w:pPr>
              <w:pStyle w:val="79"/>
              <w:rPr>
                <w:rFonts w:hint="default" w:ascii="Times New Roman" w:hAnsi="Times New Roman" w:cs="Times New Roman"/>
                <w:b/>
                <w:bCs/>
                <w:u w:val="none"/>
              </w:rPr>
            </w:pPr>
            <w:r>
              <w:rPr>
                <w:rFonts w:hint="default" w:ascii="Times New Roman" w:hAnsi="Times New Roman" w:cs="Times New Roman"/>
                <w:b/>
                <w:bCs/>
                <w:u w:val="none"/>
              </w:rPr>
              <w:t>环境保护对象名称</w:t>
            </w:r>
          </w:p>
        </w:tc>
        <w:tc>
          <w:tcPr>
            <w:tcW w:w="1357" w:type="dxa"/>
            <w:gridSpan w:val="2"/>
            <w:noWrap w:val="0"/>
            <w:vAlign w:val="center"/>
          </w:tcPr>
          <w:p>
            <w:pPr>
              <w:pStyle w:val="79"/>
              <w:rPr>
                <w:rFonts w:hint="default" w:ascii="Times New Roman" w:hAnsi="Times New Roman" w:cs="Times New Roman"/>
                <w:b/>
                <w:bCs/>
                <w:u w:val="none"/>
              </w:rPr>
            </w:pPr>
            <w:r>
              <w:rPr>
                <w:rFonts w:hint="default" w:ascii="Times New Roman" w:hAnsi="Times New Roman" w:cs="Times New Roman"/>
                <w:b/>
                <w:bCs/>
                <w:u w:val="none"/>
              </w:rPr>
              <w:t>坐标（以项目场址中心为原点）</w:t>
            </w:r>
          </w:p>
        </w:tc>
        <w:tc>
          <w:tcPr>
            <w:tcW w:w="705" w:type="dxa"/>
            <w:vMerge w:val="restart"/>
            <w:noWrap w:val="0"/>
            <w:vAlign w:val="center"/>
          </w:tcPr>
          <w:p>
            <w:pPr>
              <w:pStyle w:val="79"/>
              <w:rPr>
                <w:rFonts w:hint="default" w:ascii="Times New Roman" w:hAnsi="Times New Roman" w:cs="Times New Roman"/>
                <w:b/>
                <w:bCs/>
                <w:u w:val="none"/>
              </w:rPr>
            </w:pPr>
            <w:r>
              <w:rPr>
                <w:rFonts w:hint="default" w:ascii="Times New Roman" w:hAnsi="Times New Roman" w:cs="Times New Roman"/>
                <w:b/>
                <w:bCs/>
                <w:u w:val="none"/>
              </w:rPr>
              <w:t>相对厂</w:t>
            </w:r>
          </w:p>
          <w:p>
            <w:pPr>
              <w:pStyle w:val="79"/>
              <w:rPr>
                <w:rFonts w:hint="default" w:ascii="Times New Roman" w:hAnsi="Times New Roman" w:cs="Times New Roman"/>
                <w:b/>
                <w:bCs/>
                <w:u w:val="none"/>
              </w:rPr>
            </w:pPr>
            <w:r>
              <w:rPr>
                <w:rFonts w:hint="default" w:ascii="Times New Roman" w:hAnsi="Times New Roman" w:cs="Times New Roman"/>
                <w:b/>
                <w:bCs/>
                <w:u w:val="none"/>
              </w:rPr>
              <w:t>址方位</w:t>
            </w:r>
          </w:p>
        </w:tc>
        <w:tc>
          <w:tcPr>
            <w:tcW w:w="558" w:type="dxa"/>
            <w:vMerge w:val="restart"/>
            <w:noWrap w:val="0"/>
            <w:vAlign w:val="center"/>
          </w:tcPr>
          <w:p>
            <w:pPr>
              <w:pStyle w:val="79"/>
              <w:rPr>
                <w:rFonts w:hint="default" w:ascii="Times New Roman" w:hAnsi="Times New Roman" w:cs="Times New Roman"/>
                <w:b/>
                <w:bCs/>
                <w:u w:val="none"/>
              </w:rPr>
            </w:pPr>
            <w:r>
              <w:rPr>
                <w:rFonts w:hint="default" w:ascii="Times New Roman" w:hAnsi="Times New Roman" w:cs="Times New Roman"/>
                <w:b/>
                <w:bCs/>
                <w:u w:val="none"/>
              </w:rPr>
              <w:t>厂界距离</w:t>
            </w:r>
          </w:p>
        </w:tc>
        <w:tc>
          <w:tcPr>
            <w:tcW w:w="608" w:type="dxa"/>
            <w:vMerge w:val="restart"/>
            <w:noWrap w:val="0"/>
            <w:vAlign w:val="center"/>
          </w:tcPr>
          <w:p>
            <w:pPr>
              <w:pStyle w:val="79"/>
              <w:rPr>
                <w:rFonts w:hint="default" w:ascii="Times New Roman" w:hAnsi="Times New Roman" w:cs="Times New Roman"/>
                <w:b/>
                <w:bCs/>
                <w:u w:val="none"/>
              </w:rPr>
            </w:pPr>
            <w:r>
              <w:rPr>
                <w:rFonts w:hint="default" w:ascii="Times New Roman" w:hAnsi="Times New Roman" w:cs="Times New Roman"/>
                <w:b/>
                <w:bCs/>
                <w:u w:val="none"/>
              </w:rPr>
              <w:t>有无山体阻隔</w:t>
            </w:r>
          </w:p>
        </w:tc>
        <w:tc>
          <w:tcPr>
            <w:tcW w:w="555" w:type="dxa"/>
            <w:vMerge w:val="restart"/>
            <w:noWrap w:val="0"/>
            <w:vAlign w:val="center"/>
          </w:tcPr>
          <w:p>
            <w:pPr>
              <w:pStyle w:val="79"/>
              <w:rPr>
                <w:rFonts w:hint="default" w:ascii="Times New Roman" w:hAnsi="Times New Roman" w:cs="Times New Roman"/>
                <w:b/>
                <w:bCs/>
                <w:u w:val="none"/>
              </w:rPr>
            </w:pPr>
            <w:r>
              <w:rPr>
                <w:rFonts w:hint="default" w:ascii="Times New Roman" w:hAnsi="Times New Roman" w:cs="Times New Roman"/>
                <w:b/>
                <w:bCs/>
                <w:u w:val="none"/>
              </w:rPr>
              <w:t>高差</w:t>
            </w:r>
          </w:p>
        </w:tc>
        <w:tc>
          <w:tcPr>
            <w:tcW w:w="900" w:type="dxa"/>
            <w:vMerge w:val="restart"/>
            <w:noWrap w:val="0"/>
            <w:vAlign w:val="center"/>
          </w:tcPr>
          <w:p>
            <w:pPr>
              <w:pStyle w:val="79"/>
              <w:rPr>
                <w:rFonts w:hint="default" w:ascii="Times New Roman" w:hAnsi="Times New Roman" w:cs="Times New Roman"/>
                <w:b/>
                <w:bCs/>
                <w:u w:val="none"/>
              </w:rPr>
            </w:pPr>
            <w:r>
              <w:rPr>
                <w:rFonts w:hint="default" w:ascii="Times New Roman" w:hAnsi="Times New Roman" w:cs="Times New Roman"/>
                <w:b/>
                <w:bCs/>
                <w:u w:val="none"/>
              </w:rPr>
              <w:t>环境</w:t>
            </w:r>
          </w:p>
          <w:p>
            <w:pPr>
              <w:pStyle w:val="79"/>
              <w:rPr>
                <w:rFonts w:hint="default" w:ascii="Times New Roman" w:hAnsi="Times New Roman" w:cs="Times New Roman"/>
                <w:b/>
                <w:bCs/>
                <w:u w:val="none"/>
              </w:rPr>
            </w:pPr>
            <w:r>
              <w:rPr>
                <w:rFonts w:hint="default" w:ascii="Times New Roman" w:hAnsi="Times New Roman" w:cs="Times New Roman"/>
                <w:b/>
                <w:bCs/>
                <w:u w:val="none"/>
              </w:rPr>
              <w:t>功能区</w:t>
            </w:r>
          </w:p>
        </w:tc>
        <w:tc>
          <w:tcPr>
            <w:tcW w:w="1397" w:type="dxa"/>
            <w:gridSpan w:val="2"/>
            <w:vMerge w:val="restart"/>
            <w:noWrap w:val="0"/>
            <w:vAlign w:val="center"/>
          </w:tcPr>
          <w:p>
            <w:pPr>
              <w:pStyle w:val="79"/>
              <w:rPr>
                <w:rFonts w:hint="default" w:ascii="Times New Roman" w:hAnsi="Times New Roman" w:cs="Times New Roman"/>
                <w:b/>
                <w:bCs/>
                <w:u w:val="none"/>
              </w:rPr>
            </w:pPr>
            <w:r>
              <w:rPr>
                <w:rFonts w:hint="default" w:ascii="Times New Roman" w:hAnsi="Times New Roman" w:cs="Times New Roman"/>
                <w:b/>
                <w:bCs/>
                <w:u w:val="none"/>
              </w:rPr>
              <w:t>保护对象</w:t>
            </w:r>
          </w:p>
        </w:tc>
        <w:tc>
          <w:tcPr>
            <w:tcW w:w="1167" w:type="dxa"/>
            <w:vMerge w:val="restart"/>
            <w:noWrap w:val="0"/>
            <w:vAlign w:val="center"/>
          </w:tcPr>
          <w:p>
            <w:pPr>
              <w:pStyle w:val="79"/>
              <w:rPr>
                <w:rFonts w:hint="default" w:ascii="Times New Roman" w:hAnsi="Times New Roman" w:cs="Times New Roman"/>
                <w:b/>
                <w:bCs/>
                <w:u w:val="none"/>
              </w:rPr>
            </w:pPr>
            <w:r>
              <w:rPr>
                <w:rFonts w:hint="default" w:ascii="Times New Roman" w:hAnsi="Times New Roman" w:cs="Times New Roman"/>
                <w:b/>
                <w:bCs/>
                <w:u w:val="none"/>
              </w:rPr>
              <w:t>保护内容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22" w:type="dxa"/>
            <w:vMerge w:val="continue"/>
            <w:noWrap w:val="0"/>
            <w:vAlign w:val="center"/>
          </w:tcPr>
          <w:p>
            <w:pPr>
              <w:pStyle w:val="79"/>
              <w:rPr>
                <w:rFonts w:hint="default" w:ascii="Times New Roman" w:hAnsi="Times New Roman" w:cs="Times New Roman"/>
                <w:b/>
                <w:bCs/>
                <w:u w:val="none"/>
              </w:rPr>
            </w:pPr>
          </w:p>
        </w:tc>
        <w:tc>
          <w:tcPr>
            <w:tcW w:w="935" w:type="dxa"/>
            <w:vMerge w:val="continue"/>
            <w:noWrap w:val="0"/>
            <w:vAlign w:val="center"/>
          </w:tcPr>
          <w:p>
            <w:pPr>
              <w:pStyle w:val="79"/>
              <w:rPr>
                <w:rFonts w:hint="default" w:ascii="Times New Roman" w:hAnsi="Times New Roman" w:cs="Times New Roman"/>
                <w:b/>
                <w:bCs/>
                <w:u w:val="none"/>
              </w:rPr>
            </w:pPr>
          </w:p>
        </w:tc>
        <w:tc>
          <w:tcPr>
            <w:tcW w:w="592" w:type="dxa"/>
            <w:noWrap w:val="0"/>
            <w:vAlign w:val="center"/>
          </w:tcPr>
          <w:p>
            <w:pPr>
              <w:pStyle w:val="79"/>
              <w:rPr>
                <w:rFonts w:hint="default" w:ascii="Times New Roman" w:hAnsi="Times New Roman" w:eastAsia="宋体" w:cs="Times New Roman"/>
                <w:b/>
                <w:bCs/>
                <w:u w:val="none"/>
                <w:lang w:eastAsia="zh-CN"/>
              </w:rPr>
            </w:pPr>
            <w:r>
              <w:rPr>
                <w:rFonts w:hint="default" w:ascii="Times New Roman" w:hAnsi="Times New Roman" w:cs="Times New Roman"/>
                <w:u w:val="none"/>
                <w:lang w:val="en-US" w:eastAsia="zh-CN"/>
              </w:rPr>
              <w:t>E</w:t>
            </w:r>
          </w:p>
        </w:tc>
        <w:tc>
          <w:tcPr>
            <w:tcW w:w="765" w:type="dxa"/>
            <w:noWrap w:val="0"/>
            <w:vAlign w:val="center"/>
          </w:tcPr>
          <w:p>
            <w:pPr>
              <w:pStyle w:val="79"/>
              <w:rPr>
                <w:rFonts w:hint="default" w:ascii="Times New Roman" w:hAnsi="Times New Roman" w:eastAsia="宋体" w:cs="Times New Roman"/>
                <w:b/>
                <w:bCs/>
                <w:u w:val="none"/>
                <w:lang w:eastAsia="zh-CN"/>
              </w:rPr>
            </w:pPr>
            <w:r>
              <w:rPr>
                <w:rFonts w:hint="default" w:ascii="Times New Roman" w:hAnsi="Times New Roman" w:cs="Times New Roman"/>
                <w:u w:val="none"/>
                <w:lang w:val="en-US" w:eastAsia="zh-CN"/>
              </w:rPr>
              <w:t>N</w:t>
            </w:r>
          </w:p>
        </w:tc>
        <w:tc>
          <w:tcPr>
            <w:tcW w:w="705" w:type="dxa"/>
            <w:vMerge w:val="continue"/>
            <w:noWrap w:val="0"/>
            <w:vAlign w:val="center"/>
          </w:tcPr>
          <w:p>
            <w:pPr>
              <w:pStyle w:val="79"/>
              <w:rPr>
                <w:rFonts w:hint="default" w:ascii="Times New Roman" w:hAnsi="Times New Roman" w:cs="Times New Roman"/>
                <w:b/>
                <w:bCs/>
                <w:u w:val="none"/>
              </w:rPr>
            </w:pPr>
          </w:p>
        </w:tc>
        <w:tc>
          <w:tcPr>
            <w:tcW w:w="558" w:type="dxa"/>
            <w:vMerge w:val="continue"/>
            <w:noWrap w:val="0"/>
            <w:vAlign w:val="center"/>
          </w:tcPr>
          <w:p>
            <w:pPr>
              <w:pStyle w:val="79"/>
              <w:rPr>
                <w:rFonts w:hint="default" w:ascii="Times New Roman" w:hAnsi="Times New Roman" w:cs="Times New Roman"/>
                <w:b/>
                <w:bCs/>
                <w:u w:val="none"/>
              </w:rPr>
            </w:pPr>
          </w:p>
        </w:tc>
        <w:tc>
          <w:tcPr>
            <w:tcW w:w="608" w:type="dxa"/>
            <w:vMerge w:val="continue"/>
            <w:noWrap w:val="0"/>
            <w:vAlign w:val="center"/>
          </w:tcPr>
          <w:p>
            <w:pPr>
              <w:pStyle w:val="79"/>
              <w:rPr>
                <w:rFonts w:hint="default" w:ascii="Times New Roman" w:hAnsi="Times New Roman" w:cs="Times New Roman"/>
                <w:b/>
                <w:bCs/>
                <w:u w:val="none"/>
              </w:rPr>
            </w:pPr>
          </w:p>
        </w:tc>
        <w:tc>
          <w:tcPr>
            <w:tcW w:w="555" w:type="dxa"/>
            <w:vMerge w:val="continue"/>
            <w:noWrap w:val="0"/>
            <w:vAlign w:val="center"/>
          </w:tcPr>
          <w:p>
            <w:pPr>
              <w:pStyle w:val="79"/>
              <w:rPr>
                <w:rFonts w:hint="default" w:ascii="Times New Roman" w:hAnsi="Times New Roman" w:cs="Times New Roman"/>
                <w:b/>
                <w:bCs/>
                <w:u w:val="none"/>
              </w:rPr>
            </w:pPr>
          </w:p>
        </w:tc>
        <w:tc>
          <w:tcPr>
            <w:tcW w:w="900" w:type="dxa"/>
            <w:vMerge w:val="continue"/>
            <w:noWrap w:val="0"/>
            <w:vAlign w:val="center"/>
          </w:tcPr>
          <w:p>
            <w:pPr>
              <w:pStyle w:val="79"/>
              <w:rPr>
                <w:rFonts w:hint="default" w:ascii="Times New Roman" w:hAnsi="Times New Roman" w:cs="Times New Roman"/>
                <w:b/>
                <w:bCs/>
                <w:u w:val="none"/>
              </w:rPr>
            </w:pPr>
          </w:p>
        </w:tc>
        <w:tc>
          <w:tcPr>
            <w:tcW w:w="1397" w:type="dxa"/>
            <w:gridSpan w:val="2"/>
            <w:vMerge w:val="continue"/>
            <w:noWrap w:val="0"/>
            <w:vAlign w:val="center"/>
          </w:tcPr>
          <w:p>
            <w:pPr>
              <w:pStyle w:val="79"/>
              <w:rPr>
                <w:rFonts w:hint="default" w:ascii="Times New Roman" w:hAnsi="Times New Roman" w:cs="Times New Roman"/>
                <w:b/>
                <w:bCs/>
                <w:u w:val="none"/>
              </w:rPr>
            </w:pPr>
          </w:p>
        </w:tc>
        <w:tc>
          <w:tcPr>
            <w:tcW w:w="1167" w:type="dxa"/>
            <w:vMerge w:val="continue"/>
            <w:noWrap w:val="0"/>
            <w:vAlign w:val="center"/>
          </w:tcPr>
          <w:p>
            <w:pPr>
              <w:pStyle w:val="79"/>
              <w:rPr>
                <w:rFonts w:hint="default" w:ascii="Times New Roman" w:hAnsi="Times New Roman" w:cs="Times New Roman"/>
                <w:b/>
                <w:bCs/>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Merge w:val="restart"/>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空气</w:t>
            </w:r>
          </w:p>
          <w:p>
            <w:pPr>
              <w:pStyle w:val="79"/>
              <w:rPr>
                <w:rFonts w:hint="default" w:ascii="Times New Roman" w:hAnsi="Times New Roman" w:cs="Times New Roman"/>
                <w:u w:val="none"/>
              </w:rPr>
            </w:pPr>
            <w:r>
              <w:rPr>
                <w:rFonts w:hint="default" w:ascii="Times New Roman" w:hAnsi="Times New Roman" w:cs="Times New Roman"/>
                <w:u w:val="none"/>
              </w:rPr>
              <w:t>环境</w:t>
            </w:r>
          </w:p>
        </w:tc>
        <w:tc>
          <w:tcPr>
            <w:tcW w:w="935" w:type="dxa"/>
            <w:noWrap w:val="0"/>
            <w:vAlign w:val="center"/>
          </w:tcPr>
          <w:p>
            <w:pPr>
              <w:pStyle w:val="79"/>
              <w:rPr>
                <w:rFonts w:hint="default" w:ascii="Times New Roman" w:hAnsi="Times New Roman" w:cs="Times New Roman"/>
                <w:u w:val="none"/>
              </w:rPr>
            </w:pPr>
            <w:bookmarkStart w:id="148" w:name="_Hlk90893190"/>
            <w:r>
              <w:rPr>
                <w:rFonts w:hint="default" w:ascii="Times New Roman" w:hAnsi="Times New Roman" w:cs="Times New Roman"/>
                <w:u w:val="none"/>
                <w:lang w:eastAsia="zh-CN"/>
              </w:rPr>
              <w:t>卡地村</w:t>
            </w:r>
            <w:r>
              <w:rPr>
                <w:rFonts w:hint="default" w:ascii="Times New Roman" w:hAnsi="Times New Roman" w:cs="Times New Roman"/>
                <w:u w:val="none"/>
              </w:rPr>
              <w:t>居民点</w:t>
            </w:r>
            <w:bookmarkEnd w:id="148"/>
          </w:p>
        </w:tc>
        <w:tc>
          <w:tcPr>
            <w:tcW w:w="592"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109.25</w:t>
            </w:r>
          </w:p>
        </w:tc>
        <w:tc>
          <w:tcPr>
            <w:tcW w:w="765"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28.35</w:t>
            </w:r>
          </w:p>
        </w:tc>
        <w:tc>
          <w:tcPr>
            <w:tcW w:w="705" w:type="dxa"/>
            <w:noWrap w:val="0"/>
            <w:vAlign w:val="center"/>
          </w:tcPr>
          <w:p>
            <w:pPr>
              <w:pStyle w:val="62"/>
              <w:rPr>
                <w:rFonts w:hint="default" w:ascii="Times New Roman" w:hAnsi="Times New Roman" w:eastAsia="宋体" w:cs="Times New Roman"/>
                <w:sz w:val="21"/>
                <w:szCs w:val="21"/>
                <w:u w:val="none"/>
                <w:lang w:eastAsia="zh-CN"/>
              </w:rPr>
            </w:pPr>
            <w:r>
              <w:rPr>
                <w:rFonts w:hint="default" w:ascii="Times New Roman" w:hAnsi="Times New Roman" w:cs="Times New Roman"/>
                <w:sz w:val="21"/>
                <w:szCs w:val="21"/>
                <w:u w:val="none"/>
                <w:lang w:eastAsia="zh-CN"/>
              </w:rPr>
              <w:t>西南</w:t>
            </w:r>
          </w:p>
        </w:tc>
        <w:tc>
          <w:tcPr>
            <w:tcW w:w="558" w:type="dxa"/>
            <w:noWrap w:val="0"/>
            <w:vAlign w:val="center"/>
          </w:tcPr>
          <w:p>
            <w:pPr>
              <w:pStyle w:val="62"/>
              <w:rPr>
                <w:rFonts w:hint="default" w:ascii="Times New Roman" w:hAnsi="Times New Roman" w:cs="Times New Roman"/>
                <w:sz w:val="21"/>
                <w:szCs w:val="21"/>
                <w:u w:val="none"/>
              </w:rPr>
            </w:pPr>
            <w:r>
              <w:rPr>
                <w:rFonts w:hint="default" w:ascii="Times New Roman" w:hAnsi="Times New Roman" w:cs="Times New Roman"/>
                <w:sz w:val="21"/>
                <w:szCs w:val="21"/>
                <w:u w:val="none"/>
                <w:lang w:val="en-US" w:eastAsia="zh-CN"/>
              </w:rPr>
              <w:t>600</w:t>
            </w:r>
            <w:r>
              <w:rPr>
                <w:rFonts w:hint="default" w:ascii="Times New Roman" w:hAnsi="Times New Roman" w:cs="Times New Roman"/>
                <w:sz w:val="21"/>
                <w:szCs w:val="21"/>
                <w:u w:val="none"/>
              </w:rPr>
              <w:t>m</w:t>
            </w:r>
          </w:p>
        </w:tc>
        <w:tc>
          <w:tcPr>
            <w:tcW w:w="608" w:type="dxa"/>
            <w:noWrap w:val="0"/>
            <w:vAlign w:val="center"/>
          </w:tcPr>
          <w:p>
            <w:pPr>
              <w:pStyle w:val="62"/>
              <w:rPr>
                <w:rFonts w:hint="default" w:ascii="Times New Roman" w:hAnsi="Times New Roman" w:cs="Times New Roman"/>
                <w:sz w:val="21"/>
                <w:szCs w:val="21"/>
                <w:u w:val="none"/>
              </w:rPr>
            </w:pPr>
            <w:r>
              <w:rPr>
                <w:rFonts w:hint="default" w:ascii="Times New Roman" w:hAnsi="Times New Roman" w:cs="Times New Roman"/>
                <w:sz w:val="21"/>
                <w:szCs w:val="21"/>
                <w:u w:val="none"/>
              </w:rPr>
              <w:t>无</w:t>
            </w:r>
          </w:p>
        </w:tc>
        <w:tc>
          <w:tcPr>
            <w:tcW w:w="555" w:type="dxa"/>
            <w:noWrap w:val="0"/>
            <w:vAlign w:val="center"/>
          </w:tcPr>
          <w:p>
            <w:pPr>
              <w:pStyle w:val="62"/>
              <w:rPr>
                <w:rFonts w:hint="default" w:ascii="Times New Roman" w:hAnsi="Times New Roman" w:cs="Times New Roman"/>
                <w:sz w:val="21"/>
                <w:szCs w:val="21"/>
                <w:u w:val="none"/>
              </w:rPr>
            </w:pPr>
            <w:r>
              <w:rPr>
                <w:rFonts w:hint="default" w:ascii="Times New Roman" w:hAnsi="Times New Roman" w:cs="Times New Roman"/>
                <w:sz w:val="21"/>
                <w:szCs w:val="21"/>
                <w:u w:val="none"/>
              </w:rPr>
              <w:t>+6</w:t>
            </w:r>
          </w:p>
        </w:tc>
        <w:tc>
          <w:tcPr>
            <w:tcW w:w="900" w:type="dxa"/>
            <w:noWrap w:val="0"/>
            <w:vAlign w:val="center"/>
          </w:tcPr>
          <w:p>
            <w:pPr>
              <w:pStyle w:val="132"/>
              <w:rPr>
                <w:rFonts w:hint="default" w:ascii="Times New Roman" w:hAnsi="Times New Roman" w:cs="Times New Roman"/>
                <w:szCs w:val="21"/>
                <w:u w:val="none"/>
              </w:rPr>
            </w:pPr>
            <w:r>
              <w:rPr>
                <w:rFonts w:hint="default" w:ascii="Times New Roman" w:hAnsi="Times New Roman" w:cs="Times New Roman"/>
                <w:szCs w:val="21"/>
                <w:u w:val="none"/>
              </w:rPr>
              <w:t>居住</w:t>
            </w:r>
          </w:p>
        </w:tc>
        <w:tc>
          <w:tcPr>
            <w:tcW w:w="1397" w:type="dxa"/>
            <w:gridSpan w:val="2"/>
            <w:noWrap w:val="0"/>
            <w:vAlign w:val="center"/>
          </w:tcPr>
          <w:p>
            <w:pPr>
              <w:pStyle w:val="62"/>
              <w:rPr>
                <w:rFonts w:hint="default" w:ascii="Times New Roman" w:hAnsi="Times New Roman" w:cs="Times New Roman"/>
                <w:sz w:val="21"/>
                <w:szCs w:val="21"/>
                <w:u w:val="none"/>
              </w:rPr>
            </w:pPr>
            <w:r>
              <w:rPr>
                <w:rFonts w:hint="default" w:ascii="Times New Roman" w:hAnsi="Times New Roman" w:cs="Times New Roman"/>
                <w:sz w:val="21"/>
                <w:szCs w:val="21"/>
                <w:u w:val="none"/>
              </w:rPr>
              <w:t>约</w:t>
            </w:r>
            <w:r>
              <w:rPr>
                <w:rFonts w:hint="default" w:ascii="Times New Roman" w:hAnsi="Times New Roman" w:cs="Times New Roman"/>
                <w:sz w:val="21"/>
                <w:szCs w:val="21"/>
                <w:u w:val="none"/>
                <w:lang w:val="en-US" w:eastAsia="zh-CN"/>
              </w:rPr>
              <w:t>18</w:t>
            </w:r>
            <w:r>
              <w:rPr>
                <w:rFonts w:hint="default" w:ascii="Times New Roman" w:hAnsi="Times New Roman" w:cs="Times New Roman"/>
                <w:sz w:val="21"/>
                <w:szCs w:val="21"/>
                <w:u w:val="none"/>
              </w:rPr>
              <w:t>户，</w:t>
            </w:r>
            <w:r>
              <w:rPr>
                <w:rFonts w:hint="default" w:ascii="Times New Roman" w:hAnsi="Times New Roman" w:cs="Times New Roman"/>
                <w:sz w:val="21"/>
                <w:szCs w:val="21"/>
                <w:u w:val="none"/>
                <w:lang w:val="en-US" w:eastAsia="zh-CN"/>
              </w:rPr>
              <w:t>72</w:t>
            </w:r>
            <w:r>
              <w:rPr>
                <w:rFonts w:hint="default" w:ascii="Times New Roman" w:hAnsi="Times New Roman" w:cs="Times New Roman"/>
                <w:sz w:val="21"/>
                <w:szCs w:val="21"/>
                <w:u w:val="none"/>
              </w:rPr>
              <w:t>人</w:t>
            </w:r>
          </w:p>
        </w:tc>
        <w:tc>
          <w:tcPr>
            <w:tcW w:w="1167" w:type="dxa"/>
            <w:vMerge w:val="restart"/>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《环境空气质量标准》（GB3095－2012）二级及其修改单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Merge w:val="continue"/>
            <w:noWrap w:val="0"/>
            <w:vAlign w:val="center"/>
          </w:tcPr>
          <w:p>
            <w:pPr>
              <w:pStyle w:val="79"/>
              <w:rPr>
                <w:rFonts w:hint="default" w:ascii="Times New Roman" w:hAnsi="Times New Roman" w:cs="Times New Roman"/>
                <w:u w:val="none"/>
              </w:rPr>
            </w:pPr>
          </w:p>
        </w:tc>
        <w:tc>
          <w:tcPr>
            <w:tcW w:w="935" w:type="dxa"/>
            <w:noWrap w:val="0"/>
            <w:vAlign w:val="center"/>
          </w:tcPr>
          <w:p>
            <w:pPr>
              <w:pStyle w:val="79"/>
              <w:rPr>
                <w:rFonts w:hint="default" w:ascii="Times New Roman" w:hAnsi="Times New Roman" w:eastAsia="宋体" w:cs="Times New Roman"/>
                <w:u w:val="none"/>
                <w:lang w:eastAsia="zh-CN"/>
              </w:rPr>
            </w:pPr>
            <w:r>
              <w:rPr>
                <w:rFonts w:hint="default" w:ascii="Times New Roman" w:hAnsi="Times New Roman" w:eastAsia="宋体" w:cs="Times New Roman"/>
                <w:u w:val="none"/>
                <w:lang w:val="en-US" w:eastAsia="zh-CN"/>
              </w:rPr>
              <w:t>兴龙社区</w:t>
            </w:r>
          </w:p>
        </w:tc>
        <w:tc>
          <w:tcPr>
            <w:tcW w:w="592" w:type="dxa"/>
            <w:noWrap w:val="0"/>
            <w:vAlign w:val="center"/>
          </w:tcPr>
          <w:p>
            <w:pPr>
              <w:pStyle w:val="79"/>
              <w:rPr>
                <w:rFonts w:hint="default" w:ascii="Times New Roman" w:hAnsi="Times New Roman" w:eastAsia="宋体" w:cs="Times New Roman"/>
                <w:u w:val="none"/>
                <w:lang w:eastAsia="zh-CN"/>
              </w:rPr>
            </w:pPr>
            <w:r>
              <w:rPr>
                <w:rFonts w:hint="default" w:ascii="Times New Roman" w:hAnsi="Times New Roman" w:eastAsia="宋体" w:cs="Times New Roman"/>
                <w:u w:val="none"/>
                <w:lang w:eastAsia="zh-CN"/>
              </w:rPr>
              <w:t>109.25</w:t>
            </w:r>
          </w:p>
        </w:tc>
        <w:tc>
          <w:tcPr>
            <w:tcW w:w="765" w:type="dxa"/>
            <w:noWrap w:val="0"/>
            <w:vAlign w:val="center"/>
          </w:tcPr>
          <w:p>
            <w:pPr>
              <w:pStyle w:val="79"/>
              <w:rPr>
                <w:rFonts w:hint="default" w:ascii="Times New Roman" w:hAnsi="Times New Roman" w:eastAsia="宋体" w:cs="Times New Roman"/>
                <w:u w:val="none"/>
                <w:lang w:eastAsia="zh-CN"/>
              </w:rPr>
            </w:pPr>
            <w:r>
              <w:rPr>
                <w:rFonts w:hint="default" w:ascii="Times New Roman" w:hAnsi="Times New Roman" w:eastAsia="宋体" w:cs="Times New Roman"/>
                <w:u w:val="none"/>
                <w:lang w:eastAsia="zh-CN"/>
              </w:rPr>
              <w:t>28.35</w:t>
            </w:r>
          </w:p>
        </w:tc>
        <w:tc>
          <w:tcPr>
            <w:tcW w:w="705" w:type="dxa"/>
            <w:noWrap w:val="0"/>
            <w:vAlign w:val="center"/>
          </w:tcPr>
          <w:p>
            <w:pPr>
              <w:pStyle w:val="79"/>
              <w:rPr>
                <w:rFonts w:hint="default" w:ascii="Times New Roman" w:hAnsi="Times New Roman" w:eastAsia="宋体" w:cs="Times New Roman"/>
                <w:u w:val="none"/>
                <w:lang w:eastAsia="zh-CN"/>
              </w:rPr>
            </w:pPr>
            <w:r>
              <w:rPr>
                <w:rFonts w:hint="default" w:ascii="Times New Roman" w:hAnsi="Times New Roman" w:eastAsia="宋体" w:cs="Times New Roman"/>
                <w:u w:val="none"/>
                <w:lang w:eastAsia="zh-CN"/>
              </w:rPr>
              <w:t>西南</w:t>
            </w:r>
          </w:p>
        </w:tc>
        <w:tc>
          <w:tcPr>
            <w:tcW w:w="558" w:type="dxa"/>
            <w:noWrap w:val="0"/>
            <w:vAlign w:val="center"/>
          </w:tcPr>
          <w:p>
            <w:pPr>
              <w:pStyle w:val="79"/>
              <w:rPr>
                <w:rFonts w:hint="default" w:ascii="Times New Roman" w:hAnsi="Times New Roman" w:eastAsia="宋体" w:cs="Times New Roman"/>
                <w:u w:val="none"/>
                <w:lang w:val="en-US" w:eastAsia="zh-CN"/>
              </w:rPr>
            </w:pPr>
            <w:r>
              <w:rPr>
                <w:rFonts w:hint="default" w:ascii="Times New Roman" w:hAnsi="Times New Roman" w:eastAsia="宋体" w:cs="Times New Roman"/>
                <w:u w:val="none"/>
                <w:lang w:val="en-US" w:eastAsia="zh-CN"/>
              </w:rPr>
              <w:t>1400m</w:t>
            </w:r>
          </w:p>
        </w:tc>
        <w:tc>
          <w:tcPr>
            <w:tcW w:w="608" w:type="dxa"/>
            <w:noWrap w:val="0"/>
            <w:vAlign w:val="center"/>
          </w:tcPr>
          <w:p>
            <w:pPr>
              <w:pStyle w:val="62"/>
              <w:rPr>
                <w:rFonts w:hint="default" w:ascii="Times New Roman" w:hAnsi="Times New Roman" w:eastAsia="宋体" w:cs="Times New Roman"/>
                <w:sz w:val="21"/>
                <w:szCs w:val="21"/>
                <w:u w:val="none"/>
                <w:lang w:eastAsia="zh-CN"/>
              </w:rPr>
            </w:pPr>
            <w:r>
              <w:rPr>
                <w:rFonts w:hint="default" w:ascii="Times New Roman" w:hAnsi="Times New Roman" w:cs="Times New Roman"/>
                <w:sz w:val="21"/>
                <w:szCs w:val="21"/>
                <w:u w:val="none"/>
                <w:lang w:eastAsia="zh-CN"/>
              </w:rPr>
              <w:t>无</w:t>
            </w:r>
          </w:p>
        </w:tc>
        <w:tc>
          <w:tcPr>
            <w:tcW w:w="555" w:type="dxa"/>
            <w:noWrap w:val="0"/>
            <w:vAlign w:val="center"/>
          </w:tcPr>
          <w:p>
            <w:pPr>
              <w:pStyle w:val="62"/>
              <w:rPr>
                <w:rFonts w:hint="default" w:ascii="Times New Roman" w:hAnsi="Times New Roman" w:eastAsia="宋体" w:cs="Times New Roman"/>
                <w:sz w:val="21"/>
                <w:szCs w:val="21"/>
                <w:u w:val="none"/>
                <w:lang w:eastAsia="zh-CN"/>
              </w:rPr>
            </w:pPr>
            <w:r>
              <w:rPr>
                <w:rFonts w:hint="default" w:ascii="Times New Roman" w:hAnsi="Times New Roman" w:cs="Times New Roman"/>
                <w:sz w:val="21"/>
                <w:szCs w:val="21"/>
                <w:u w:val="none"/>
              </w:rPr>
              <w:t>+</w:t>
            </w:r>
            <w:r>
              <w:rPr>
                <w:rFonts w:hint="default" w:ascii="Times New Roman" w:hAnsi="Times New Roman" w:cs="Times New Roman"/>
                <w:sz w:val="21"/>
                <w:szCs w:val="21"/>
                <w:u w:val="none"/>
                <w:lang w:val="en-US" w:eastAsia="zh-CN"/>
              </w:rPr>
              <w:t>8</w:t>
            </w:r>
          </w:p>
        </w:tc>
        <w:tc>
          <w:tcPr>
            <w:tcW w:w="900" w:type="dxa"/>
            <w:noWrap w:val="0"/>
            <w:vAlign w:val="center"/>
          </w:tcPr>
          <w:p>
            <w:pPr>
              <w:pStyle w:val="132"/>
              <w:rPr>
                <w:rFonts w:hint="default" w:ascii="Times New Roman" w:hAnsi="Times New Roman" w:cs="Times New Roman"/>
                <w:szCs w:val="21"/>
                <w:u w:val="none"/>
              </w:rPr>
            </w:pPr>
            <w:r>
              <w:rPr>
                <w:rFonts w:hint="default" w:ascii="Times New Roman" w:hAnsi="Times New Roman" w:cs="Times New Roman"/>
                <w:szCs w:val="21"/>
                <w:u w:val="none"/>
              </w:rPr>
              <w:t>居住</w:t>
            </w:r>
          </w:p>
        </w:tc>
        <w:tc>
          <w:tcPr>
            <w:tcW w:w="1397" w:type="dxa"/>
            <w:gridSpan w:val="2"/>
            <w:noWrap w:val="0"/>
            <w:vAlign w:val="center"/>
          </w:tcPr>
          <w:p>
            <w:pPr>
              <w:pStyle w:val="62"/>
              <w:rPr>
                <w:rFonts w:hint="default" w:ascii="Times New Roman" w:hAnsi="Times New Roman" w:cs="Times New Roman"/>
                <w:sz w:val="21"/>
                <w:szCs w:val="21"/>
                <w:u w:val="none"/>
              </w:rPr>
            </w:pPr>
            <w:r>
              <w:rPr>
                <w:rFonts w:hint="default" w:ascii="Times New Roman" w:hAnsi="Times New Roman" w:cs="Times New Roman"/>
                <w:sz w:val="21"/>
                <w:szCs w:val="21"/>
                <w:u w:val="none"/>
              </w:rPr>
              <w:t>约</w:t>
            </w:r>
            <w:r>
              <w:rPr>
                <w:rFonts w:hint="default" w:ascii="Times New Roman" w:hAnsi="Times New Roman" w:cs="Times New Roman"/>
                <w:sz w:val="21"/>
                <w:szCs w:val="21"/>
                <w:u w:val="none"/>
                <w:lang w:val="en-US" w:eastAsia="zh-CN"/>
              </w:rPr>
              <w:t>50</w:t>
            </w:r>
            <w:r>
              <w:rPr>
                <w:rFonts w:hint="default" w:ascii="Times New Roman" w:hAnsi="Times New Roman" w:cs="Times New Roman"/>
                <w:sz w:val="21"/>
                <w:szCs w:val="21"/>
                <w:u w:val="none"/>
              </w:rPr>
              <w:t>户，</w:t>
            </w:r>
            <w:r>
              <w:rPr>
                <w:rFonts w:hint="default" w:ascii="Times New Roman" w:hAnsi="Times New Roman" w:cs="Times New Roman"/>
                <w:sz w:val="21"/>
                <w:szCs w:val="21"/>
                <w:u w:val="none"/>
                <w:lang w:val="en-US" w:eastAsia="zh-CN"/>
              </w:rPr>
              <w:t>200</w:t>
            </w:r>
            <w:r>
              <w:rPr>
                <w:rFonts w:hint="default" w:ascii="Times New Roman" w:hAnsi="Times New Roman" w:cs="Times New Roman"/>
                <w:sz w:val="21"/>
                <w:szCs w:val="21"/>
                <w:u w:val="none"/>
              </w:rPr>
              <w:t>人</w:t>
            </w:r>
          </w:p>
        </w:tc>
        <w:tc>
          <w:tcPr>
            <w:tcW w:w="1167" w:type="dxa"/>
            <w:vMerge w:val="continue"/>
            <w:noWrap w:val="0"/>
            <w:vAlign w:val="center"/>
          </w:tcPr>
          <w:p>
            <w:pPr>
              <w:pStyle w:val="79"/>
              <w:rPr>
                <w:rFonts w:hint="default" w:ascii="Times New Roman" w:hAnsi="Times New Roman" w:cs="Times New Roman"/>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2" w:type="dxa"/>
            <w:vMerge w:val="continue"/>
            <w:noWrap w:val="0"/>
            <w:vAlign w:val="center"/>
          </w:tcPr>
          <w:p>
            <w:pPr>
              <w:pStyle w:val="79"/>
              <w:rPr>
                <w:rFonts w:hint="default" w:ascii="Times New Roman" w:hAnsi="Times New Roman" w:cs="Times New Roman"/>
                <w:u w:val="none"/>
              </w:rPr>
            </w:pPr>
          </w:p>
        </w:tc>
        <w:tc>
          <w:tcPr>
            <w:tcW w:w="935" w:type="dxa"/>
            <w:noWrap w:val="0"/>
            <w:vAlign w:val="center"/>
          </w:tcPr>
          <w:p>
            <w:pPr>
              <w:pStyle w:val="79"/>
              <w:rPr>
                <w:rFonts w:hint="default" w:ascii="Times New Roman" w:hAnsi="Times New Roman" w:eastAsia="宋体" w:cs="Times New Roman"/>
                <w:u w:val="none"/>
                <w:lang w:eastAsia="zh-CN"/>
              </w:rPr>
            </w:pPr>
            <w:r>
              <w:rPr>
                <w:rFonts w:hint="default" w:ascii="Times New Roman" w:hAnsi="Times New Roman" w:eastAsia="宋体" w:cs="Times New Roman"/>
                <w:u w:val="none"/>
                <w:lang w:val="en-US" w:eastAsia="zh-CN"/>
              </w:rPr>
              <w:t>黑岩塘居民点</w:t>
            </w:r>
          </w:p>
        </w:tc>
        <w:tc>
          <w:tcPr>
            <w:tcW w:w="592" w:type="dxa"/>
            <w:noWrap w:val="0"/>
            <w:vAlign w:val="center"/>
          </w:tcPr>
          <w:p>
            <w:pPr>
              <w:pStyle w:val="79"/>
              <w:rPr>
                <w:rFonts w:hint="default" w:ascii="Times New Roman" w:hAnsi="Times New Roman" w:eastAsia="宋体" w:cs="Times New Roman"/>
                <w:u w:val="none"/>
                <w:lang w:eastAsia="zh-CN"/>
              </w:rPr>
            </w:pPr>
            <w:r>
              <w:rPr>
                <w:rFonts w:hint="default" w:ascii="Times New Roman" w:hAnsi="Times New Roman" w:eastAsia="宋体" w:cs="Times New Roman"/>
                <w:u w:val="none"/>
                <w:lang w:eastAsia="zh-CN"/>
              </w:rPr>
              <w:t>109.26</w:t>
            </w:r>
          </w:p>
        </w:tc>
        <w:tc>
          <w:tcPr>
            <w:tcW w:w="765" w:type="dxa"/>
            <w:noWrap w:val="0"/>
            <w:vAlign w:val="center"/>
          </w:tcPr>
          <w:p>
            <w:pPr>
              <w:pStyle w:val="79"/>
              <w:rPr>
                <w:rFonts w:hint="default" w:ascii="Times New Roman" w:hAnsi="Times New Roman" w:eastAsia="宋体" w:cs="Times New Roman"/>
                <w:u w:val="none"/>
                <w:lang w:eastAsia="zh-CN"/>
              </w:rPr>
            </w:pPr>
            <w:r>
              <w:rPr>
                <w:rFonts w:hint="default" w:ascii="Times New Roman" w:hAnsi="Times New Roman" w:eastAsia="宋体" w:cs="Times New Roman"/>
                <w:u w:val="none"/>
                <w:lang w:eastAsia="zh-CN"/>
              </w:rPr>
              <w:t>28.35</w:t>
            </w:r>
          </w:p>
        </w:tc>
        <w:tc>
          <w:tcPr>
            <w:tcW w:w="705" w:type="dxa"/>
            <w:noWrap w:val="0"/>
            <w:vAlign w:val="center"/>
          </w:tcPr>
          <w:p>
            <w:pPr>
              <w:pStyle w:val="79"/>
              <w:rPr>
                <w:rFonts w:hint="default" w:ascii="Times New Roman" w:hAnsi="Times New Roman" w:eastAsia="宋体" w:cs="Times New Roman"/>
                <w:u w:val="none"/>
                <w:lang w:eastAsia="zh-CN"/>
              </w:rPr>
            </w:pPr>
            <w:r>
              <w:rPr>
                <w:rFonts w:hint="default" w:ascii="Times New Roman" w:hAnsi="Times New Roman" w:eastAsia="宋体" w:cs="Times New Roman"/>
                <w:u w:val="none"/>
                <w:lang w:eastAsia="zh-CN"/>
              </w:rPr>
              <w:t>东侧</w:t>
            </w:r>
          </w:p>
        </w:tc>
        <w:tc>
          <w:tcPr>
            <w:tcW w:w="558" w:type="dxa"/>
            <w:noWrap w:val="0"/>
            <w:vAlign w:val="center"/>
          </w:tcPr>
          <w:p>
            <w:pPr>
              <w:pStyle w:val="79"/>
              <w:rPr>
                <w:rFonts w:hint="default" w:ascii="Times New Roman" w:hAnsi="Times New Roman" w:eastAsia="宋体" w:cs="Times New Roman"/>
                <w:u w:val="none"/>
                <w:lang w:val="en-US" w:eastAsia="zh-CN"/>
              </w:rPr>
            </w:pPr>
            <w:r>
              <w:rPr>
                <w:rFonts w:hint="default" w:ascii="Times New Roman" w:hAnsi="Times New Roman" w:eastAsia="宋体" w:cs="Times New Roman"/>
                <w:u w:val="none"/>
                <w:lang w:val="en-US" w:eastAsia="zh-CN"/>
              </w:rPr>
              <w:t>500m</w:t>
            </w:r>
          </w:p>
        </w:tc>
        <w:tc>
          <w:tcPr>
            <w:tcW w:w="608" w:type="dxa"/>
            <w:noWrap w:val="0"/>
            <w:vAlign w:val="center"/>
          </w:tcPr>
          <w:p>
            <w:pPr>
              <w:pStyle w:val="62"/>
              <w:rPr>
                <w:rFonts w:hint="default" w:ascii="Times New Roman" w:hAnsi="Times New Roman" w:eastAsia="宋体" w:cs="Times New Roman"/>
                <w:sz w:val="21"/>
                <w:szCs w:val="21"/>
                <w:u w:val="none"/>
                <w:lang w:eastAsia="zh-CN"/>
              </w:rPr>
            </w:pPr>
            <w:r>
              <w:rPr>
                <w:rFonts w:hint="default" w:ascii="Times New Roman" w:hAnsi="Times New Roman" w:cs="Times New Roman"/>
                <w:sz w:val="21"/>
                <w:szCs w:val="21"/>
                <w:u w:val="none"/>
                <w:lang w:eastAsia="zh-CN"/>
              </w:rPr>
              <w:t>有</w:t>
            </w:r>
          </w:p>
        </w:tc>
        <w:tc>
          <w:tcPr>
            <w:tcW w:w="555" w:type="dxa"/>
            <w:noWrap w:val="0"/>
            <w:vAlign w:val="center"/>
          </w:tcPr>
          <w:p>
            <w:pPr>
              <w:pStyle w:val="62"/>
              <w:rPr>
                <w:rFonts w:hint="default" w:ascii="Times New Roman" w:hAnsi="Times New Roman" w:eastAsia="宋体" w:cs="Times New Roman"/>
                <w:sz w:val="21"/>
                <w:szCs w:val="21"/>
                <w:u w:val="none"/>
                <w:lang w:eastAsia="zh-CN"/>
              </w:rPr>
            </w:pPr>
            <w:r>
              <w:rPr>
                <w:rFonts w:hint="default" w:ascii="Times New Roman" w:hAnsi="Times New Roman" w:cs="Times New Roman"/>
                <w:sz w:val="21"/>
                <w:szCs w:val="21"/>
                <w:u w:val="none"/>
                <w:lang w:val="en-US" w:eastAsia="zh-CN"/>
              </w:rPr>
              <w:t>-3</w:t>
            </w:r>
          </w:p>
        </w:tc>
        <w:tc>
          <w:tcPr>
            <w:tcW w:w="900" w:type="dxa"/>
            <w:noWrap w:val="0"/>
            <w:vAlign w:val="center"/>
          </w:tcPr>
          <w:p>
            <w:pPr>
              <w:pStyle w:val="132"/>
              <w:rPr>
                <w:rFonts w:hint="default" w:ascii="Times New Roman" w:hAnsi="Times New Roman" w:cs="Times New Roman"/>
                <w:szCs w:val="21"/>
                <w:u w:val="none"/>
              </w:rPr>
            </w:pPr>
            <w:r>
              <w:rPr>
                <w:rFonts w:hint="default" w:ascii="Times New Roman" w:hAnsi="Times New Roman" w:cs="Times New Roman"/>
                <w:szCs w:val="21"/>
                <w:u w:val="none"/>
              </w:rPr>
              <w:t>居住</w:t>
            </w:r>
          </w:p>
        </w:tc>
        <w:tc>
          <w:tcPr>
            <w:tcW w:w="1397" w:type="dxa"/>
            <w:gridSpan w:val="2"/>
            <w:noWrap w:val="0"/>
            <w:vAlign w:val="center"/>
          </w:tcPr>
          <w:p>
            <w:pPr>
              <w:pStyle w:val="62"/>
              <w:rPr>
                <w:rFonts w:hint="default" w:ascii="Times New Roman" w:hAnsi="Times New Roman" w:cs="Times New Roman"/>
                <w:sz w:val="21"/>
                <w:szCs w:val="21"/>
                <w:u w:val="none"/>
              </w:rPr>
            </w:pPr>
            <w:r>
              <w:rPr>
                <w:rFonts w:hint="default" w:ascii="Times New Roman" w:hAnsi="Times New Roman" w:cs="Times New Roman"/>
                <w:sz w:val="21"/>
                <w:szCs w:val="21"/>
                <w:u w:val="none"/>
              </w:rPr>
              <w:t>约</w:t>
            </w:r>
            <w:r>
              <w:rPr>
                <w:rFonts w:hint="default" w:ascii="Times New Roman" w:hAnsi="Times New Roman" w:cs="Times New Roman"/>
                <w:sz w:val="21"/>
                <w:szCs w:val="21"/>
                <w:u w:val="none"/>
                <w:lang w:val="en-US" w:eastAsia="zh-CN"/>
              </w:rPr>
              <w:t>25</w:t>
            </w:r>
            <w:r>
              <w:rPr>
                <w:rFonts w:hint="default" w:ascii="Times New Roman" w:hAnsi="Times New Roman" w:cs="Times New Roman"/>
                <w:sz w:val="21"/>
                <w:szCs w:val="21"/>
                <w:u w:val="none"/>
              </w:rPr>
              <w:t>户，</w:t>
            </w:r>
            <w:r>
              <w:rPr>
                <w:rFonts w:hint="default" w:ascii="Times New Roman" w:hAnsi="Times New Roman" w:cs="Times New Roman"/>
                <w:sz w:val="21"/>
                <w:szCs w:val="21"/>
                <w:u w:val="none"/>
                <w:lang w:val="en-US" w:eastAsia="zh-CN"/>
              </w:rPr>
              <w:t>80</w:t>
            </w:r>
            <w:r>
              <w:rPr>
                <w:rFonts w:hint="default" w:ascii="Times New Roman" w:hAnsi="Times New Roman" w:cs="Times New Roman"/>
                <w:sz w:val="21"/>
                <w:szCs w:val="21"/>
                <w:u w:val="none"/>
              </w:rPr>
              <w:t>人</w:t>
            </w:r>
          </w:p>
        </w:tc>
        <w:tc>
          <w:tcPr>
            <w:tcW w:w="1167" w:type="dxa"/>
            <w:vMerge w:val="continue"/>
            <w:noWrap w:val="0"/>
            <w:vAlign w:val="center"/>
          </w:tcPr>
          <w:p>
            <w:pPr>
              <w:pStyle w:val="79"/>
              <w:rPr>
                <w:rFonts w:hint="default" w:ascii="Times New Roman" w:hAnsi="Times New Roman" w:cs="Times New Roman"/>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22" w:type="dxa"/>
            <w:vMerge w:val="restart"/>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声环境</w:t>
            </w:r>
          </w:p>
          <w:p>
            <w:pPr>
              <w:pStyle w:val="79"/>
              <w:rPr>
                <w:rFonts w:hint="default" w:ascii="Times New Roman" w:hAnsi="Times New Roman" w:cs="Times New Roman"/>
                <w:u w:val="none"/>
              </w:rPr>
            </w:pPr>
          </w:p>
          <w:p>
            <w:pPr>
              <w:pStyle w:val="79"/>
              <w:rPr>
                <w:rFonts w:hint="default" w:ascii="Times New Roman" w:hAnsi="Times New Roman" w:cs="Times New Roman"/>
                <w:szCs w:val="22"/>
                <w:u w:val="none"/>
              </w:rPr>
            </w:pPr>
          </w:p>
        </w:tc>
        <w:tc>
          <w:tcPr>
            <w:tcW w:w="7015" w:type="dxa"/>
            <w:gridSpan w:val="10"/>
            <w:noWrap w:val="0"/>
            <w:vAlign w:val="center"/>
          </w:tcPr>
          <w:p>
            <w:pPr>
              <w:pStyle w:val="62"/>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single"/>
                <w:lang w:eastAsia="zh-CN"/>
              </w:rPr>
              <w:t>项目</w:t>
            </w:r>
            <w:r>
              <w:rPr>
                <w:rFonts w:hint="eastAsia" w:cs="Times New Roman"/>
                <w:sz w:val="21"/>
                <w:szCs w:val="21"/>
                <w:u w:val="single"/>
                <w:lang w:eastAsia="zh-CN"/>
              </w:rPr>
              <w:t>污水处理站、污水泵站</w:t>
            </w:r>
            <w:r>
              <w:rPr>
                <w:rFonts w:hint="default" w:ascii="Times New Roman" w:hAnsi="Times New Roman" w:cs="Times New Roman"/>
                <w:sz w:val="21"/>
                <w:szCs w:val="21"/>
                <w:u w:val="single"/>
                <w:lang w:eastAsia="zh-CN"/>
              </w:rPr>
              <w:t>周边</w:t>
            </w:r>
            <w:r>
              <w:rPr>
                <w:rFonts w:hint="eastAsia" w:cs="Times New Roman"/>
                <w:sz w:val="21"/>
                <w:szCs w:val="21"/>
                <w:u w:val="single"/>
                <w:lang w:val="en-US" w:eastAsia="zh-CN"/>
              </w:rPr>
              <w:t>100</w:t>
            </w:r>
            <w:r>
              <w:rPr>
                <w:rFonts w:hint="default" w:ascii="Times New Roman" w:hAnsi="Times New Roman" w:cs="Times New Roman"/>
                <w:sz w:val="21"/>
                <w:szCs w:val="21"/>
                <w:u w:val="single"/>
                <w:lang w:val="en-US" w:eastAsia="zh-CN"/>
              </w:rPr>
              <w:t>米范围内无声环境保护目标</w:t>
            </w:r>
          </w:p>
        </w:tc>
        <w:tc>
          <w:tcPr>
            <w:tcW w:w="1167" w:type="dxa"/>
            <w:vMerge w:val="restart"/>
            <w:noWrap w:val="0"/>
            <w:vAlign w:val="center"/>
          </w:tcPr>
          <w:p>
            <w:pPr>
              <w:pStyle w:val="79"/>
              <w:rPr>
                <w:rFonts w:hint="default" w:ascii="Times New Roman" w:hAnsi="Times New Roman" w:cs="Times New Roman"/>
                <w:u w:val="none"/>
              </w:rPr>
            </w:pPr>
            <w:r>
              <w:rPr>
                <w:rFonts w:hint="default" w:ascii="Times New Roman" w:hAnsi="Times New Roman" w:cs="Times New Roman"/>
                <w:bCs/>
                <w:u w:val="none"/>
              </w:rPr>
              <w:t>《声环境质量标准》（GB3096-2008）中</w:t>
            </w:r>
            <w:r>
              <w:rPr>
                <w:rFonts w:hint="default" w:ascii="Times New Roman" w:hAnsi="Times New Roman" w:cs="Times New Roman"/>
                <w:bCs/>
                <w:u w:val="none"/>
                <w:lang w:val="en-US" w:eastAsia="zh-CN"/>
              </w:rPr>
              <w:t>3</w:t>
            </w:r>
            <w:r>
              <w:rPr>
                <w:rFonts w:hint="default" w:ascii="Times New Roman" w:hAnsi="Times New Roman" w:cs="Times New Roman"/>
                <w:bCs/>
                <w:u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Merge w:val="continue"/>
            <w:noWrap w:val="0"/>
            <w:vAlign w:val="center"/>
          </w:tcPr>
          <w:p>
            <w:pPr>
              <w:pStyle w:val="79"/>
              <w:rPr>
                <w:rFonts w:hint="default" w:ascii="Times New Roman" w:hAnsi="Times New Roman" w:cs="Times New Roman"/>
                <w:szCs w:val="22"/>
                <w:u w:val="none"/>
              </w:rPr>
            </w:pPr>
          </w:p>
        </w:tc>
        <w:tc>
          <w:tcPr>
            <w:tcW w:w="935" w:type="dxa"/>
            <w:noWrap w:val="0"/>
            <w:vAlign w:val="center"/>
          </w:tcPr>
          <w:p>
            <w:pPr>
              <w:pStyle w:val="79"/>
              <w:ind w:firstLine="0" w:firstLineChars="0"/>
              <w:rPr>
                <w:rFonts w:hint="default" w:ascii="Times New Roman" w:hAnsi="Times New Roman" w:cs="Times New Roman"/>
                <w:sz w:val="21"/>
                <w:szCs w:val="21"/>
                <w:u w:val="single"/>
                <w:lang w:eastAsia="zh-CN"/>
              </w:rPr>
            </w:pPr>
            <w:r>
              <w:rPr>
                <w:rFonts w:hint="default" w:ascii="Times New Roman" w:hAnsi="Times New Roman" w:cs="Times New Roman"/>
                <w:u w:val="single"/>
                <w:lang w:eastAsia="zh-CN"/>
              </w:rPr>
              <w:t>卡地村</w:t>
            </w:r>
            <w:r>
              <w:rPr>
                <w:rFonts w:hint="default" w:ascii="Times New Roman" w:hAnsi="Times New Roman" w:cs="Times New Roman"/>
                <w:u w:val="single"/>
              </w:rPr>
              <w:t>居民点</w:t>
            </w:r>
          </w:p>
        </w:tc>
        <w:tc>
          <w:tcPr>
            <w:tcW w:w="592" w:type="dxa"/>
            <w:noWrap w:val="0"/>
            <w:vAlign w:val="center"/>
          </w:tcPr>
          <w:p>
            <w:pPr>
              <w:pStyle w:val="79"/>
              <w:ind w:firstLine="0" w:firstLineChars="0"/>
              <w:rPr>
                <w:rFonts w:hint="eastAsia" w:cs="Times New Roman"/>
                <w:sz w:val="21"/>
                <w:szCs w:val="21"/>
                <w:u w:val="single"/>
                <w:lang w:eastAsia="zh-CN"/>
              </w:rPr>
            </w:pPr>
            <w:r>
              <w:rPr>
                <w:rFonts w:hint="default" w:ascii="Times New Roman" w:hAnsi="Times New Roman" w:cs="Times New Roman"/>
                <w:u w:val="single"/>
              </w:rPr>
              <w:t>109.25</w:t>
            </w:r>
          </w:p>
        </w:tc>
        <w:tc>
          <w:tcPr>
            <w:tcW w:w="765" w:type="dxa"/>
            <w:noWrap w:val="0"/>
            <w:vAlign w:val="center"/>
          </w:tcPr>
          <w:p>
            <w:pPr>
              <w:pStyle w:val="79"/>
              <w:ind w:firstLine="0" w:firstLineChars="0"/>
              <w:rPr>
                <w:rFonts w:hint="eastAsia" w:cs="Times New Roman"/>
                <w:sz w:val="21"/>
                <w:szCs w:val="21"/>
                <w:u w:val="single"/>
                <w:lang w:eastAsia="zh-CN"/>
              </w:rPr>
            </w:pPr>
            <w:r>
              <w:rPr>
                <w:rFonts w:hint="default" w:ascii="Times New Roman" w:hAnsi="Times New Roman" w:cs="Times New Roman"/>
                <w:u w:val="single"/>
              </w:rPr>
              <w:t>28.35</w:t>
            </w:r>
          </w:p>
        </w:tc>
        <w:tc>
          <w:tcPr>
            <w:tcW w:w="705" w:type="dxa"/>
            <w:noWrap w:val="0"/>
            <w:vAlign w:val="center"/>
          </w:tcPr>
          <w:p>
            <w:pPr>
              <w:pStyle w:val="62"/>
              <w:rPr>
                <w:rFonts w:hint="eastAsia" w:cs="Times New Roman"/>
                <w:sz w:val="21"/>
                <w:szCs w:val="21"/>
                <w:u w:val="single"/>
                <w:lang w:eastAsia="zh-CN"/>
              </w:rPr>
            </w:pPr>
            <w:r>
              <w:rPr>
                <w:rFonts w:hint="eastAsia" w:cs="Times New Roman"/>
                <w:sz w:val="21"/>
                <w:szCs w:val="21"/>
                <w:u w:val="single"/>
                <w:lang w:eastAsia="zh-CN"/>
              </w:rPr>
              <w:t>管道西侧</w:t>
            </w:r>
          </w:p>
        </w:tc>
        <w:tc>
          <w:tcPr>
            <w:tcW w:w="1166" w:type="dxa"/>
            <w:gridSpan w:val="2"/>
            <w:noWrap w:val="0"/>
            <w:vAlign w:val="center"/>
          </w:tcPr>
          <w:p>
            <w:pPr>
              <w:pStyle w:val="62"/>
              <w:rPr>
                <w:rFonts w:hint="default" w:cs="Times New Roman"/>
                <w:sz w:val="21"/>
                <w:szCs w:val="21"/>
                <w:u w:val="single"/>
                <w:lang w:val="en-US" w:eastAsia="zh-CN"/>
              </w:rPr>
            </w:pPr>
            <w:r>
              <w:rPr>
                <w:rFonts w:hint="eastAsia" w:cs="Times New Roman"/>
                <w:sz w:val="21"/>
                <w:szCs w:val="21"/>
                <w:u w:val="single"/>
                <w:lang w:val="en-US" w:eastAsia="zh-CN"/>
              </w:rPr>
              <w:t>80</w:t>
            </w:r>
            <w:r>
              <w:rPr>
                <w:rFonts w:hint="default" w:ascii="Times New Roman" w:hAnsi="Times New Roman" w:cs="Times New Roman"/>
                <w:sz w:val="21"/>
                <w:szCs w:val="21"/>
                <w:u w:val="single"/>
                <w:lang w:val="en-US" w:eastAsia="zh-CN"/>
              </w:rPr>
              <w:t>~</w:t>
            </w:r>
            <w:r>
              <w:rPr>
                <w:rFonts w:hint="eastAsia" w:cs="Times New Roman"/>
                <w:sz w:val="21"/>
                <w:szCs w:val="21"/>
                <w:u w:val="single"/>
                <w:lang w:val="en-US" w:eastAsia="zh-CN"/>
              </w:rPr>
              <w:t>200米</w:t>
            </w:r>
          </w:p>
        </w:tc>
        <w:tc>
          <w:tcPr>
            <w:tcW w:w="555" w:type="dxa"/>
            <w:noWrap w:val="0"/>
            <w:vAlign w:val="center"/>
          </w:tcPr>
          <w:p>
            <w:pPr>
              <w:pStyle w:val="62"/>
              <w:ind w:firstLine="0" w:firstLineChars="0"/>
              <w:rPr>
                <w:rFonts w:hint="eastAsia" w:cs="Times New Roman"/>
                <w:sz w:val="21"/>
                <w:szCs w:val="21"/>
                <w:u w:val="single"/>
                <w:lang w:eastAsia="zh-CN"/>
              </w:rPr>
            </w:pPr>
            <w:r>
              <w:rPr>
                <w:rFonts w:hint="default" w:ascii="Times New Roman" w:hAnsi="Times New Roman" w:cs="Times New Roman"/>
                <w:sz w:val="21"/>
                <w:szCs w:val="21"/>
                <w:u w:val="single"/>
              </w:rPr>
              <w:t>+6</w:t>
            </w:r>
          </w:p>
        </w:tc>
        <w:tc>
          <w:tcPr>
            <w:tcW w:w="1224" w:type="dxa"/>
            <w:gridSpan w:val="2"/>
            <w:noWrap w:val="0"/>
            <w:vAlign w:val="center"/>
          </w:tcPr>
          <w:p>
            <w:pPr>
              <w:pStyle w:val="132"/>
              <w:ind w:firstLine="0" w:firstLineChars="0"/>
              <w:rPr>
                <w:rFonts w:hint="eastAsia" w:cs="Times New Roman"/>
                <w:sz w:val="21"/>
                <w:szCs w:val="21"/>
                <w:u w:val="single"/>
                <w:lang w:eastAsia="zh-CN"/>
              </w:rPr>
            </w:pPr>
            <w:r>
              <w:rPr>
                <w:rFonts w:hint="default" w:ascii="Times New Roman" w:hAnsi="Times New Roman" w:cs="Times New Roman"/>
                <w:szCs w:val="21"/>
                <w:u w:val="single"/>
              </w:rPr>
              <w:t>居住</w:t>
            </w:r>
          </w:p>
        </w:tc>
        <w:tc>
          <w:tcPr>
            <w:tcW w:w="1073" w:type="dxa"/>
            <w:noWrap w:val="0"/>
            <w:vAlign w:val="center"/>
          </w:tcPr>
          <w:p>
            <w:pPr>
              <w:pStyle w:val="62"/>
              <w:rPr>
                <w:rFonts w:hint="eastAsia" w:cs="Times New Roman"/>
                <w:sz w:val="21"/>
                <w:szCs w:val="21"/>
                <w:u w:val="single"/>
                <w:lang w:eastAsia="zh-CN"/>
              </w:rPr>
            </w:pPr>
            <w:r>
              <w:rPr>
                <w:rFonts w:hint="default" w:ascii="Times New Roman" w:hAnsi="Times New Roman" w:cs="Times New Roman"/>
                <w:sz w:val="21"/>
                <w:szCs w:val="21"/>
                <w:u w:val="single"/>
              </w:rPr>
              <w:t>约</w:t>
            </w:r>
            <w:r>
              <w:rPr>
                <w:rFonts w:hint="default" w:ascii="Times New Roman" w:hAnsi="Times New Roman" w:cs="Times New Roman"/>
                <w:sz w:val="21"/>
                <w:szCs w:val="21"/>
                <w:u w:val="single"/>
                <w:lang w:val="en-US" w:eastAsia="zh-CN"/>
              </w:rPr>
              <w:t>18</w:t>
            </w:r>
            <w:r>
              <w:rPr>
                <w:rFonts w:hint="default" w:ascii="Times New Roman" w:hAnsi="Times New Roman" w:cs="Times New Roman"/>
                <w:sz w:val="21"/>
                <w:szCs w:val="21"/>
                <w:u w:val="single"/>
              </w:rPr>
              <w:t>户，</w:t>
            </w:r>
            <w:r>
              <w:rPr>
                <w:rFonts w:hint="default" w:ascii="Times New Roman" w:hAnsi="Times New Roman" w:cs="Times New Roman"/>
                <w:sz w:val="21"/>
                <w:szCs w:val="21"/>
                <w:u w:val="single"/>
                <w:lang w:val="en-US" w:eastAsia="zh-CN"/>
              </w:rPr>
              <w:t>72</w:t>
            </w:r>
            <w:r>
              <w:rPr>
                <w:rFonts w:hint="default" w:ascii="Times New Roman" w:hAnsi="Times New Roman" w:cs="Times New Roman"/>
                <w:sz w:val="21"/>
                <w:szCs w:val="21"/>
                <w:u w:val="single"/>
              </w:rPr>
              <w:t>人</w:t>
            </w:r>
          </w:p>
        </w:tc>
        <w:tc>
          <w:tcPr>
            <w:tcW w:w="1167" w:type="dxa"/>
            <w:vMerge w:val="continue"/>
            <w:noWrap w:val="0"/>
            <w:vAlign w:val="center"/>
          </w:tcPr>
          <w:p>
            <w:pPr>
              <w:pStyle w:val="79"/>
              <w:rPr>
                <w:rFonts w:hint="default" w:ascii="Times New Roman" w:hAnsi="Times New Roman" w:cs="Times New Roman"/>
                <w:bCs/>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2" w:type="dxa"/>
            <w:noWrap w:val="0"/>
            <w:vAlign w:val="center"/>
          </w:tcPr>
          <w:p>
            <w:pPr>
              <w:pStyle w:val="79"/>
              <w:rPr>
                <w:rFonts w:hint="default" w:ascii="Times New Roman" w:hAnsi="Times New Roman" w:cs="Times New Roman"/>
                <w:szCs w:val="22"/>
                <w:u w:val="single"/>
              </w:rPr>
            </w:pPr>
            <w:r>
              <w:rPr>
                <w:rFonts w:hint="default" w:ascii="Times New Roman" w:hAnsi="Times New Roman" w:cs="Times New Roman"/>
                <w:szCs w:val="22"/>
                <w:u w:val="single"/>
              </w:rPr>
              <w:t>地表水环境</w:t>
            </w:r>
          </w:p>
        </w:tc>
        <w:tc>
          <w:tcPr>
            <w:tcW w:w="935" w:type="dxa"/>
            <w:noWrap w:val="0"/>
            <w:vAlign w:val="center"/>
          </w:tcPr>
          <w:p>
            <w:pPr>
              <w:pStyle w:val="79"/>
              <w:rPr>
                <w:rFonts w:hint="default" w:ascii="Times New Roman" w:hAnsi="Times New Roman" w:eastAsia="宋体" w:cs="Times New Roman"/>
                <w:u w:val="single"/>
                <w:lang w:eastAsia="zh-CN"/>
              </w:rPr>
            </w:pPr>
            <w:r>
              <w:rPr>
                <w:rFonts w:hint="default" w:ascii="Times New Roman" w:hAnsi="Times New Roman" w:cs="Times New Roman"/>
                <w:u w:val="single"/>
                <w:lang w:eastAsia="zh-CN"/>
              </w:rPr>
              <w:t>花垣河</w:t>
            </w:r>
          </w:p>
        </w:tc>
        <w:tc>
          <w:tcPr>
            <w:tcW w:w="6080" w:type="dxa"/>
            <w:gridSpan w:val="9"/>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color w:val="000000"/>
                <w:sz w:val="21"/>
                <w:szCs w:val="21"/>
                <w:u w:val="single"/>
                <w:lang w:val="en-US" w:eastAsia="zh-CN"/>
              </w:rPr>
            </w:pPr>
            <w:r>
              <w:rPr>
                <w:rFonts w:hint="default" w:ascii="Times New Roman" w:hAnsi="Times New Roman" w:cs="Times New Roman"/>
                <w:kern w:val="0"/>
                <w:sz w:val="21"/>
                <w:szCs w:val="21"/>
                <w:u w:val="single"/>
                <w:lang w:val="en-US" w:eastAsia="zh-CN" w:bidi="ar-SA"/>
              </w:rPr>
              <w:t>两河乡至竹篙滩段</w:t>
            </w:r>
            <w:r>
              <w:rPr>
                <w:rFonts w:hint="eastAsia" w:ascii="Times New Roman" w:hAnsi="Times New Roman" w:cs="Times New Roman"/>
                <w:kern w:val="0"/>
                <w:sz w:val="21"/>
                <w:szCs w:val="21"/>
                <w:u w:val="single"/>
                <w:lang w:val="en-US" w:eastAsia="zh-CN" w:bidi="ar-SA"/>
              </w:rPr>
              <w:t>，中</w:t>
            </w:r>
            <w:r>
              <w:rPr>
                <w:rFonts w:hint="default" w:ascii="Times New Roman" w:hAnsi="Times New Roman" w:cs="Times New Roman"/>
                <w:kern w:val="0"/>
                <w:sz w:val="21"/>
                <w:szCs w:val="21"/>
                <w:u w:val="single"/>
                <w:lang w:val="en-US" w:eastAsia="zh-CN" w:bidi="ar-SA"/>
              </w:rPr>
              <w:t>河</w:t>
            </w:r>
            <w:r>
              <w:rPr>
                <w:rFonts w:hint="eastAsia" w:ascii="Times New Roman" w:hAnsi="Times New Roman" w:cs="Times New Roman"/>
                <w:kern w:val="0"/>
                <w:sz w:val="21"/>
                <w:szCs w:val="21"/>
                <w:u w:val="single"/>
                <w:lang w:val="en-US" w:eastAsia="zh-CN" w:bidi="ar-SA"/>
              </w:rPr>
              <w:t>，GB3838-2002 III类</w:t>
            </w:r>
          </w:p>
        </w:tc>
        <w:tc>
          <w:tcPr>
            <w:tcW w:w="1167" w:type="dxa"/>
            <w:noWrap w:val="0"/>
            <w:vAlign w:val="center"/>
          </w:tcPr>
          <w:p>
            <w:pPr>
              <w:pStyle w:val="62"/>
              <w:rPr>
                <w:rFonts w:hint="default" w:ascii="Times New Roman" w:hAnsi="Times New Roman" w:cs="Times New Roman"/>
                <w:color w:val="000000"/>
                <w:u w:val="single"/>
              </w:rPr>
            </w:pPr>
            <w:r>
              <w:rPr>
                <w:rFonts w:hint="default" w:ascii="Times New Roman" w:hAnsi="Times New Roman" w:cs="Times New Roman"/>
                <w:bCs/>
                <w:color w:val="000000"/>
                <w:sz w:val="21"/>
                <w:szCs w:val="21"/>
                <w:u w:val="single"/>
              </w:rPr>
              <w:t>《地表水环境质量标准》（GB3838-2002）Ⅲ类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jc w:val="center"/>
        </w:trPr>
        <w:tc>
          <w:tcPr>
            <w:tcW w:w="422" w:type="dxa"/>
            <w:noWrap w:val="0"/>
            <w:vAlign w:val="center"/>
          </w:tcPr>
          <w:p>
            <w:pPr>
              <w:pStyle w:val="79"/>
              <w:rPr>
                <w:rFonts w:hint="default" w:ascii="Times New Roman" w:hAnsi="Times New Roman" w:cs="Times New Roman"/>
                <w:szCs w:val="22"/>
                <w:u w:val="none"/>
              </w:rPr>
            </w:pPr>
            <w:r>
              <w:rPr>
                <w:rFonts w:hint="default" w:ascii="Times New Roman" w:hAnsi="Times New Roman" w:cs="Times New Roman"/>
                <w:szCs w:val="22"/>
                <w:u w:val="none"/>
              </w:rPr>
              <w:t>地下水井</w:t>
            </w:r>
          </w:p>
        </w:tc>
        <w:tc>
          <w:tcPr>
            <w:tcW w:w="4718" w:type="dxa"/>
            <w:gridSpan w:val="7"/>
            <w:noWrap w:val="0"/>
            <w:vAlign w:val="center"/>
          </w:tcPr>
          <w:p>
            <w:pPr>
              <w:pStyle w:val="132"/>
              <w:rPr>
                <w:rFonts w:hint="default" w:ascii="Times New Roman" w:hAnsi="Times New Roman" w:cs="Times New Roman"/>
                <w:szCs w:val="21"/>
                <w:u w:val="none"/>
              </w:rPr>
            </w:pPr>
            <w:r>
              <w:rPr>
                <w:rFonts w:hint="default" w:ascii="Times New Roman" w:hAnsi="Times New Roman" w:cs="Times New Roman"/>
                <w:szCs w:val="21"/>
                <w:u w:val="none"/>
              </w:rPr>
              <w:t>地下含水层及水井（包括龙洞村、卡地村、兴龙社区、老鸦塘、新生屯村、下腊尔铺、南门村、洞溪坪村水井等）</w:t>
            </w:r>
          </w:p>
        </w:tc>
        <w:tc>
          <w:tcPr>
            <w:tcW w:w="900" w:type="dxa"/>
            <w:noWrap w:val="0"/>
            <w:vAlign w:val="center"/>
          </w:tcPr>
          <w:p>
            <w:pPr>
              <w:pStyle w:val="62"/>
              <w:rPr>
                <w:rFonts w:hint="default" w:ascii="Times New Roman" w:hAnsi="Times New Roman" w:cs="Times New Roman"/>
                <w:sz w:val="21"/>
                <w:szCs w:val="21"/>
                <w:u w:val="none"/>
              </w:rPr>
            </w:pPr>
            <w:r>
              <w:rPr>
                <w:rFonts w:hint="default" w:ascii="Times New Roman" w:hAnsi="Times New Roman" w:cs="Times New Roman"/>
                <w:sz w:val="21"/>
                <w:szCs w:val="21"/>
                <w:u w:val="none"/>
              </w:rPr>
              <w:t>Ⅲ类</w:t>
            </w:r>
          </w:p>
        </w:tc>
        <w:tc>
          <w:tcPr>
            <w:tcW w:w="1397" w:type="dxa"/>
            <w:gridSpan w:val="2"/>
            <w:noWrap w:val="0"/>
            <w:vAlign w:val="center"/>
          </w:tcPr>
          <w:p>
            <w:pPr>
              <w:pStyle w:val="62"/>
              <w:rPr>
                <w:rFonts w:hint="default" w:ascii="Times New Roman" w:hAnsi="Times New Roman" w:cs="Times New Roman"/>
                <w:sz w:val="21"/>
                <w:szCs w:val="21"/>
                <w:u w:val="none"/>
              </w:rPr>
            </w:pPr>
            <w:r>
              <w:rPr>
                <w:rFonts w:hint="default" w:ascii="Times New Roman" w:hAnsi="Times New Roman" w:cs="Times New Roman"/>
                <w:sz w:val="21"/>
                <w:szCs w:val="21"/>
                <w:u w:val="none"/>
              </w:rPr>
              <w:t>主要用途为生活用水</w:t>
            </w:r>
            <w:r>
              <w:rPr>
                <w:rFonts w:hint="default" w:ascii="Times New Roman" w:hAnsi="Times New Roman" w:cs="Times New Roman"/>
                <w:sz w:val="21"/>
                <w:szCs w:val="21"/>
                <w:u w:val="none"/>
                <w:lang w:eastAsia="zh-CN"/>
              </w:rPr>
              <w:t>杂用水、工业用水</w:t>
            </w:r>
            <w:r>
              <w:rPr>
                <w:rFonts w:hint="default" w:ascii="Times New Roman" w:hAnsi="Times New Roman" w:cs="Times New Roman"/>
                <w:sz w:val="21"/>
                <w:szCs w:val="21"/>
                <w:u w:val="none"/>
              </w:rPr>
              <w:t>，不作为饮用水功能</w:t>
            </w:r>
          </w:p>
        </w:tc>
        <w:tc>
          <w:tcPr>
            <w:tcW w:w="1167" w:type="dxa"/>
            <w:noWrap w:val="0"/>
            <w:vAlign w:val="center"/>
          </w:tcPr>
          <w:p>
            <w:pPr>
              <w:pStyle w:val="132"/>
              <w:rPr>
                <w:rFonts w:hint="default" w:ascii="Times New Roman" w:hAnsi="Times New Roman" w:cs="Times New Roman"/>
                <w:u w:val="none"/>
              </w:rPr>
            </w:pPr>
            <w:r>
              <w:rPr>
                <w:rFonts w:hint="default" w:ascii="Times New Roman" w:hAnsi="Times New Roman" w:cs="Times New Roman"/>
                <w:u w:val="none"/>
              </w:rPr>
              <w:t>《地下水质量标准》（GB14848-2017）Ⅲ类标准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noWrap w:val="0"/>
            <w:vAlign w:val="center"/>
          </w:tcPr>
          <w:p>
            <w:pPr>
              <w:pStyle w:val="79"/>
              <w:rPr>
                <w:rFonts w:hint="default" w:ascii="Times New Roman" w:hAnsi="Times New Roman" w:cs="Times New Roman"/>
                <w:szCs w:val="22"/>
                <w:u w:val="none"/>
              </w:rPr>
            </w:pPr>
            <w:r>
              <w:rPr>
                <w:rFonts w:hint="default" w:ascii="Times New Roman" w:hAnsi="Times New Roman" w:cs="Times New Roman"/>
                <w:u w:val="none"/>
              </w:rPr>
              <w:t>土壤环境</w:t>
            </w:r>
          </w:p>
        </w:tc>
        <w:tc>
          <w:tcPr>
            <w:tcW w:w="7015" w:type="dxa"/>
            <w:gridSpan w:val="10"/>
            <w:noWrap w:val="0"/>
            <w:vAlign w:val="center"/>
          </w:tcPr>
          <w:p>
            <w:pPr>
              <w:pStyle w:val="79"/>
              <w:rPr>
                <w:rFonts w:hint="default" w:ascii="Times New Roman" w:hAnsi="Times New Roman" w:eastAsia="宋体" w:cs="Times New Roman"/>
                <w:u w:val="none"/>
                <w:lang w:eastAsia="zh-CN"/>
              </w:rPr>
            </w:pPr>
            <w:r>
              <w:rPr>
                <w:rFonts w:hint="default" w:ascii="Times New Roman" w:hAnsi="Times New Roman" w:cs="Times New Roman"/>
                <w:u w:val="none"/>
              </w:rPr>
              <w:t>本项目</w:t>
            </w:r>
            <w:r>
              <w:rPr>
                <w:rFonts w:hint="eastAsia" w:ascii="Times New Roman" w:hAnsi="Times New Roman" w:cs="Times New Roman"/>
                <w:u w:val="none"/>
                <w:lang w:eastAsia="zh-CN"/>
              </w:rPr>
              <w:t>污水处理站、管道铺设</w:t>
            </w:r>
            <w:r>
              <w:rPr>
                <w:rFonts w:hint="default" w:ascii="Times New Roman" w:hAnsi="Times New Roman" w:cs="Times New Roman"/>
                <w:u w:val="none"/>
              </w:rPr>
              <w:t>范围外50m</w:t>
            </w:r>
            <w:r>
              <w:rPr>
                <w:rFonts w:hint="eastAsia" w:ascii="Times New Roman" w:hAnsi="Times New Roman" w:cs="Times New Roman"/>
                <w:u w:val="none"/>
                <w:lang w:eastAsia="zh-CN"/>
              </w:rPr>
              <w:t>，</w:t>
            </w:r>
            <w:r>
              <w:rPr>
                <w:rFonts w:hint="default" w:ascii="Times New Roman" w:hAnsi="Times New Roman" w:cs="Times New Roman"/>
                <w:u w:val="none"/>
                <w:lang w:eastAsia="zh-CN"/>
              </w:rPr>
              <w:t>建设用地</w:t>
            </w:r>
          </w:p>
        </w:tc>
        <w:tc>
          <w:tcPr>
            <w:tcW w:w="1167"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《土壤环境质量 建设用地土壤污染风险管控标准（试行）》（GB36600-2018）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生态环境</w:t>
            </w:r>
          </w:p>
        </w:tc>
        <w:tc>
          <w:tcPr>
            <w:tcW w:w="935" w:type="dxa"/>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项目周边植被</w:t>
            </w:r>
          </w:p>
        </w:tc>
        <w:tc>
          <w:tcPr>
            <w:tcW w:w="7247" w:type="dxa"/>
            <w:gridSpan w:val="10"/>
            <w:noWrap w:val="0"/>
            <w:vAlign w:val="center"/>
          </w:tcPr>
          <w:p>
            <w:pPr>
              <w:pStyle w:val="79"/>
              <w:rPr>
                <w:rFonts w:hint="default" w:ascii="Times New Roman" w:hAnsi="Times New Roman" w:cs="Times New Roman"/>
                <w:u w:val="none"/>
              </w:rPr>
            </w:pPr>
            <w:r>
              <w:rPr>
                <w:rFonts w:hint="default" w:ascii="Times New Roman" w:hAnsi="Times New Roman" w:cs="Times New Roman"/>
                <w:u w:val="none"/>
              </w:rPr>
              <w:t>不得越过用地红线随意破坏周边植被</w:t>
            </w:r>
          </w:p>
        </w:tc>
      </w:tr>
    </w:tbl>
    <w:p>
      <w:pPr>
        <w:ind w:firstLine="422"/>
        <w:jc w:val="center"/>
        <w:rPr>
          <w:rFonts w:hint="default"/>
          <w:b/>
          <w:color w:val="auto"/>
          <w:kern w:val="0"/>
          <w:sz w:val="21"/>
          <w:szCs w:val="21"/>
          <w:u w:val="none"/>
          <w:lang w:val="en-US" w:eastAsia="zh-CN"/>
        </w:rPr>
      </w:pPr>
      <w:r>
        <w:rPr>
          <w:rFonts w:hint="eastAsia"/>
          <w:b/>
          <w:color w:val="auto"/>
          <w:kern w:val="0"/>
          <w:sz w:val="21"/>
          <w:szCs w:val="21"/>
          <w:u w:val="none"/>
          <w:lang w:eastAsia="zh-CN"/>
        </w:rPr>
        <w:t>表</w:t>
      </w:r>
      <w:r>
        <w:rPr>
          <w:rFonts w:hint="eastAsia"/>
          <w:b/>
          <w:color w:val="auto"/>
          <w:kern w:val="0"/>
          <w:sz w:val="21"/>
          <w:szCs w:val="21"/>
          <w:u w:val="none"/>
          <w:lang w:val="en-US" w:eastAsia="zh-CN"/>
        </w:rPr>
        <w:t xml:space="preserve"> 1.10.2 提升泵站周边环保目标一览表</w:t>
      </w:r>
    </w:p>
    <w:tbl>
      <w:tblPr>
        <w:tblStyle w:val="37"/>
        <w:tblW w:w="86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935"/>
        <w:gridCol w:w="592"/>
        <w:gridCol w:w="621"/>
        <w:gridCol w:w="735"/>
        <w:gridCol w:w="585"/>
        <w:gridCol w:w="7"/>
        <w:gridCol w:w="593"/>
        <w:gridCol w:w="510"/>
        <w:gridCol w:w="1040"/>
        <w:gridCol w:w="970"/>
        <w:gridCol w:w="1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422" w:type="dxa"/>
            <w:vMerge w:val="restart"/>
            <w:noWrap w:val="0"/>
            <w:vAlign w:val="center"/>
          </w:tcPr>
          <w:p>
            <w:pPr>
              <w:pStyle w:val="79"/>
              <w:rPr>
                <w:rFonts w:hint="default" w:ascii="Times New Roman" w:hAnsi="Times New Roman" w:cs="Times New Roman"/>
                <w:b/>
                <w:bCs/>
                <w:color w:val="auto"/>
                <w:u w:val="none"/>
              </w:rPr>
            </w:pPr>
            <w:r>
              <w:rPr>
                <w:rFonts w:hint="default" w:ascii="Times New Roman" w:hAnsi="Times New Roman" w:cs="Times New Roman"/>
                <w:b/>
                <w:bCs/>
                <w:color w:val="auto"/>
                <w:u w:val="none"/>
              </w:rPr>
              <w:t>环境</w:t>
            </w:r>
          </w:p>
          <w:p>
            <w:pPr>
              <w:pStyle w:val="79"/>
              <w:rPr>
                <w:rFonts w:hint="default" w:ascii="Times New Roman" w:hAnsi="Times New Roman" w:cs="Times New Roman"/>
                <w:b/>
                <w:bCs/>
                <w:color w:val="auto"/>
                <w:u w:val="none"/>
              </w:rPr>
            </w:pPr>
            <w:r>
              <w:rPr>
                <w:rFonts w:hint="default" w:ascii="Times New Roman" w:hAnsi="Times New Roman" w:cs="Times New Roman"/>
                <w:b/>
                <w:bCs/>
                <w:color w:val="auto"/>
                <w:u w:val="none"/>
              </w:rPr>
              <w:t>要素</w:t>
            </w:r>
          </w:p>
        </w:tc>
        <w:tc>
          <w:tcPr>
            <w:tcW w:w="935" w:type="dxa"/>
            <w:vMerge w:val="restart"/>
            <w:noWrap w:val="0"/>
            <w:vAlign w:val="center"/>
          </w:tcPr>
          <w:p>
            <w:pPr>
              <w:pStyle w:val="79"/>
              <w:rPr>
                <w:rFonts w:hint="default" w:ascii="Times New Roman" w:hAnsi="Times New Roman" w:cs="Times New Roman"/>
                <w:b/>
                <w:bCs/>
                <w:color w:val="auto"/>
                <w:u w:val="none"/>
              </w:rPr>
            </w:pPr>
            <w:r>
              <w:rPr>
                <w:rFonts w:hint="default" w:ascii="Times New Roman" w:hAnsi="Times New Roman" w:cs="Times New Roman"/>
                <w:b/>
                <w:bCs/>
                <w:color w:val="auto"/>
                <w:u w:val="none"/>
              </w:rPr>
              <w:t>环境保护对象名称</w:t>
            </w:r>
          </w:p>
        </w:tc>
        <w:tc>
          <w:tcPr>
            <w:tcW w:w="1213" w:type="dxa"/>
            <w:gridSpan w:val="2"/>
            <w:noWrap w:val="0"/>
            <w:vAlign w:val="center"/>
          </w:tcPr>
          <w:p>
            <w:pPr>
              <w:pStyle w:val="79"/>
              <w:rPr>
                <w:rFonts w:hint="default" w:ascii="Times New Roman" w:hAnsi="Times New Roman" w:cs="Times New Roman"/>
                <w:b/>
                <w:bCs/>
                <w:color w:val="auto"/>
                <w:u w:val="none"/>
              </w:rPr>
            </w:pPr>
            <w:r>
              <w:rPr>
                <w:rFonts w:hint="default" w:ascii="Times New Roman" w:hAnsi="Times New Roman" w:cs="Times New Roman"/>
                <w:b/>
                <w:bCs/>
                <w:color w:val="auto"/>
                <w:u w:val="none"/>
              </w:rPr>
              <w:t>坐标（以项目场址中心为原点）</w:t>
            </w:r>
          </w:p>
        </w:tc>
        <w:tc>
          <w:tcPr>
            <w:tcW w:w="735" w:type="dxa"/>
            <w:vMerge w:val="restart"/>
            <w:noWrap w:val="0"/>
            <w:vAlign w:val="center"/>
          </w:tcPr>
          <w:p>
            <w:pPr>
              <w:pStyle w:val="79"/>
              <w:rPr>
                <w:rFonts w:hint="default" w:ascii="Times New Roman" w:hAnsi="Times New Roman" w:cs="Times New Roman"/>
                <w:b/>
                <w:bCs/>
                <w:color w:val="auto"/>
                <w:u w:val="none"/>
              </w:rPr>
            </w:pPr>
            <w:r>
              <w:rPr>
                <w:rFonts w:hint="default" w:ascii="Times New Roman" w:hAnsi="Times New Roman" w:cs="Times New Roman"/>
                <w:b/>
                <w:bCs/>
                <w:color w:val="auto"/>
                <w:u w:val="none"/>
              </w:rPr>
              <w:t>相对厂</w:t>
            </w:r>
          </w:p>
          <w:p>
            <w:pPr>
              <w:pStyle w:val="79"/>
              <w:rPr>
                <w:rFonts w:hint="default" w:ascii="Times New Roman" w:hAnsi="Times New Roman" w:cs="Times New Roman"/>
                <w:b/>
                <w:bCs/>
                <w:color w:val="auto"/>
                <w:u w:val="none"/>
              </w:rPr>
            </w:pPr>
            <w:r>
              <w:rPr>
                <w:rFonts w:hint="default" w:ascii="Times New Roman" w:hAnsi="Times New Roman" w:cs="Times New Roman"/>
                <w:b/>
                <w:bCs/>
                <w:color w:val="auto"/>
                <w:u w:val="none"/>
              </w:rPr>
              <w:t>址方位</w:t>
            </w:r>
          </w:p>
        </w:tc>
        <w:tc>
          <w:tcPr>
            <w:tcW w:w="585" w:type="dxa"/>
            <w:vMerge w:val="restart"/>
            <w:noWrap w:val="0"/>
            <w:vAlign w:val="center"/>
          </w:tcPr>
          <w:p>
            <w:pPr>
              <w:pStyle w:val="79"/>
              <w:rPr>
                <w:rFonts w:hint="default" w:ascii="Times New Roman" w:hAnsi="Times New Roman" w:cs="Times New Roman"/>
                <w:b/>
                <w:bCs/>
                <w:color w:val="auto"/>
                <w:u w:val="none"/>
              </w:rPr>
            </w:pPr>
            <w:r>
              <w:rPr>
                <w:rFonts w:hint="default" w:ascii="Times New Roman" w:hAnsi="Times New Roman" w:cs="Times New Roman"/>
                <w:b/>
                <w:bCs/>
                <w:color w:val="auto"/>
                <w:u w:val="none"/>
              </w:rPr>
              <w:t>厂界距离</w:t>
            </w:r>
          </w:p>
        </w:tc>
        <w:tc>
          <w:tcPr>
            <w:tcW w:w="600" w:type="dxa"/>
            <w:gridSpan w:val="2"/>
            <w:vMerge w:val="restart"/>
            <w:noWrap w:val="0"/>
            <w:vAlign w:val="center"/>
          </w:tcPr>
          <w:p>
            <w:pPr>
              <w:pStyle w:val="79"/>
              <w:rPr>
                <w:rFonts w:hint="default" w:ascii="Times New Roman" w:hAnsi="Times New Roman" w:cs="Times New Roman"/>
                <w:b/>
                <w:bCs/>
                <w:color w:val="auto"/>
                <w:u w:val="none"/>
              </w:rPr>
            </w:pPr>
            <w:r>
              <w:rPr>
                <w:rFonts w:hint="default" w:ascii="Times New Roman" w:hAnsi="Times New Roman" w:cs="Times New Roman"/>
                <w:b/>
                <w:bCs/>
                <w:color w:val="auto"/>
                <w:u w:val="none"/>
              </w:rPr>
              <w:t>有无山体阻隔</w:t>
            </w:r>
          </w:p>
        </w:tc>
        <w:tc>
          <w:tcPr>
            <w:tcW w:w="510" w:type="dxa"/>
            <w:vMerge w:val="restart"/>
            <w:noWrap w:val="0"/>
            <w:vAlign w:val="center"/>
          </w:tcPr>
          <w:p>
            <w:pPr>
              <w:pStyle w:val="79"/>
              <w:rPr>
                <w:rFonts w:hint="default" w:ascii="Times New Roman" w:hAnsi="Times New Roman" w:cs="Times New Roman"/>
                <w:b/>
                <w:bCs/>
                <w:color w:val="auto"/>
                <w:u w:val="none"/>
              </w:rPr>
            </w:pPr>
            <w:r>
              <w:rPr>
                <w:rFonts w:hint="default" w:ascii="Times New Roman" w:hAnsi="Times New Roman" w:cs="Times New Roman"/>
                <w:b/>
                <w:bCs/>
                <w:color w:val="auto"/>
                <w:u w:val="none"/>
              </w:rPr>
              <w:t>高差</w:t>
            </w:r>
          </w:p>
        </w:tc>
        <w:tc>
          <w:tcPr>
            <w:tcW w:w="1040" w:type="dxa"/>
            <w:vMerge w:val="restart"/>
            <w:noWrap w:val="0"/>
            <w:vAlign w:val="center"/>
          </w:tcPr>
          <w:p>
            <w:pPr>
              <w:pStyle w:val="79"/>
              <w:rPr>
                <w:rFonts w:hint="default" w:ascii="Times New Roman" w:hAnsi="Times New Roman" w:cs="Times New Roman"/>
                <w:b/>
                <w:bCs/>
                <w:color w:val="auto"/>
                <w:u w:val="none"/>
              </w:rPr>
            </w:pPr>
            <w:r>
              <w:rPr>
                <w:rFonts w:hint="default" w:ascii="Times New Roman" w:hAnsi="Times New Roman" w:cs="Times New Roman"/>
                <w:b/>
                <w:bCs/>
                <w:color w:val="auto"/>
                <w:u w:val="none"/>
              </w:rPr>
              <w:t>环境</w:t>
            </w:r>
          </w:p>
          <w:p>
            <w:pPr>
              <w:pStyle w:val="79"/>
              <w:rPr>
                <w:rFonts w:hint="default" w:ascii="Times New Roman" w:hAnsi="Times New Roman" w:cs="Times New Roman"/>
                <w:b/>
                <w:bCs/>
                <w:color w:val="auto"/>
                <w:u w:val="none"/>
              </w:rPr>
            </w:pPr>
            <w:r>
              <w:rPr>
                <w:rFonts w:hint="default" w:ascii="Times New Roman" w:hAnsi="Times New Roman" w:cs="Times New Roman"/>
                <w:b/>
                <w:bCs/>
                <w:color w:val="auto"/>
                <w:u w:val="none"/>
              </w:rPr>
              <w:t>功能区</w:t>
            </w:r>
          </w:p>
        </w:tc>
        <w:tc>
          <w:tcPr>
            <w:tcW w:w="970" w:type="dxa"/>
            <w:vMerge w:val="restart"/>
            <w:noWrap w:val="0"/>
            <w:vAlign w:val="center"/>
          </w:tcPr>
          <w:p>
            <w:pPr>
              <w:pStyle w:val="79"/>
              <w:rPr>
                <w:rFonts w:hint="default" w:ascii="Times New Roman" w:hAnsi="Times New Roman" w:cs="Times New Roman"/>
                <w:b/>
                <w:bCs/>
                <w:color w:val="auto"/>
                <w:u w:val="none"/>
              </w:rPr>
            </w:pPr>
            <w:r>
              <w:rPr>
                <w:rFonts w:hint="default" w:ascii="Times New Roman" w:hAnsi="Times New Roman" w:cs="Times New Roman"/>
                <w:b/>
                <w:bCs/>
                <w:color w:val="auto"/>
                <w:u w:val="none"/>
              </w:rPr>
              <w:t>保护对象</w:t>
            </w:r>
          </w:p>
        </w:tc>
        <w:tc>
          <w:tcPr>
            <w:tcW w:w="1594" w:type="dxa"/>
            <w:vMerge w:val="restart"/>
            <w:noWrap w:val="0"/>
            <w:vAlign w:val="center"/>
          </w:tcPr>
          <w:p>
            <w:pPr>
              <w:pStyle w:val="79"/>
              <w:rPr>
                <w:rFonts w:hint="default" w:ascii="Times New Roman" w:hAnsi="Times New Roman" w:cs="Times New Roman"/>
                <w:b/>
                <w:bCs/>
                <w:color w:val="auto"/>
                <w:u w:val="none"/>
              </w:rPr>
            </w:pPr>
            <w:r>
              <w:rPr>
                <w:rFonts w:hint="default" w:ascii="Times New Roman" w:hAnsi="Times New Roman" w:cs="Times New Roman"/>
                <w:b/>
                <w:bCs/>
                <w:color w:val="auto"/>
                <w:u w:val="none"/>
              </w:rPr>
              <w:t>保护内容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422" w:type="dxa"/>
            <w:vMerge w:val="continue"/>
            <w:noWrap w:val="0"/>
            <w:vAlign w:val="center"/>
          </w:tcPr>
          <w:p>
            <w:pPr>
              <w:pStyle w:val="79"/>
              <w:rPr>
                <w:rFonts w:hint="default" w:ascii="Times New Roman" w:hAnsi="Times New Roman" w:cs="Times New Roman"/>
                <w:b/>
                <w:bCs/>
                <w:color w:val="auto"/>
                <w:u w:val="none"/>
              </w:rPr>
            </w:pPr>
          </w:p>
        </w:tc>
        <w:tc>
          <w:tcPr>
            <w:tcW w:w="935" w:type="dxa"/>
            <w:vMerge w:val="continue"/>
            <w:noWrap w:val="0"/>
            <w:vAlign w:val="center"/>
          </w:tcPr>
          <w:p>
            <w:pPr>
              <w:pStyle w:val="79"/>
              <w:rPr>
                <w:rFonts w:hint="default" w:ascii="Times New Roman" w:hAnsi="Times New Roman" w:cs="Times New Roman"/>
                <w:b/>
                <w:bCs/>
                <w:color w:val="auto"/>
                <w:u w:val="none"/>
              </w:rPr>
            </w:pPr>
          </w:p>
        </w:tc>
        <w:tc>
          <w:tcPr>
            <w:tcW w:w="592" w:type="dxa"/>
            <w:noWrap w:val="0"/>
            <w:vAlign w:val="center"/>
          </w:tcPr>
          <w:p>
            <w:pPr>
              <w:pStyle w:val="79"/>
              <w:rPr>
                <w:rFonts w:hint="default" w:ascii="Times New Roman" w:hAnsi="Times New Roman" w:eastAsia="宋体" w:cs="Times New Roman"/>
                <w:b/>
                <w:bCs/>
                <w:color w:val="auto"/>
                <w:u w:val="none"/>
                <w:lang w:eastAsia="zh-CN"/>
              </w:rPr>
            </w:pPr>
            <w:r>
              <w:rPr>
                <w:rFonts w:hint="default" w:ascii="Times New Roman" w:hAnsi="Times New Roman" w:cs="Times New Roman"/>
                <w:color w:val="auto"/>
                <w:u w:val="none"/>
                <w:lang w:val="en-US" w:eastAsia="zh-CN"/>
              </w:rPr>
              <w:t>E</w:t>
            </w:r>
          </w:p>
        </w:tc>
        <w:tc>
          <w:tcPr>
            <w:tcW w:w="621" w:type="dxa"/>
            <w:noWrap w:val="0"/>
            <w:vAlign w:val="center"/>
          </w:tcPr>
          <w:p>
            <w:pPr>
              <w:pStyle w:val="79"/>
              <w:rPr>
                <w:rFonts w:hint="default" w:ascii="Times New Roman" w:hAnsi="Times New Roman" w:eastAsia="宋体" w:cs="Times New Roman"/>
                <w:b/>
                <w:bCs/>
                <w:color w:val="auto"/>
                <w:u w:val="none"/>
                <w:lang w:eastAsia="zh-CN"/>
              </w:rPr>
            </w:pPr>
            <w:r>
              <w:rPr>
                <w:rFonts w:hint="default" w:ascii="Times New Roman" w:hAnsi="Times New Roman" w:cs="Times New Roman"/>
                <w:color w:val="auto"/>
                <w:u w:val="none"/>
                <w:lang w:val="en-US" w:eastAsia="zh-CN"/>
              </w:rPr>
              <w:t>N</w:t>
            </w:r>
          </w:p>
        </w:tc>
        <w:tc>
          <w:tcPr>
            <w:tcW w:w="735" w:type="dxa"/>
            <w:vMerge w:val="continue"/>
            <w:noWrap w:val="0"/>
            <w:vAlign w:val="center"/>
          </w:tcPr>
          <w:p>
            <w:pPr>
              <w:pStyle w:val="79"/>
              <w:rPr>
                <w:rFonts w:hint="default" w:ascii="Times New Roman" w:hAnsi="Times New Roman" w:cs="Times New Roman"/>
                <w:b/>
                <w:bCs/>
                <w:color w:val="auto"/>
                <w:u w:val="none"/>
              </w:rPr>
            </w:pPr>
          </w:p>
        </w:tc>
        <w:tc>
          <w:tcPr>
            <w:tcW w:w="585" w:type="dxa"/>
            <w:vMerge w:val="continue"/>
            <w:noWrap w:val="0"/>
            <w:vAlign w:val="center"/>
          </w:tcPr>
          <w:p>
            <w:pPr>
              <w:pStyle w:val="79"/>
              <w:rPr>
                <w:rFonts w:hint="default" w:ascii="Times New Roman" w:hAnsi="Times New Roman" w:cs="Times New Roman"/>
                <w:b/>
                <w:bCs/>
                <w:color w:val="auto"/>
                <w:u w:val="none"/>
              </w:rPr>
            </w:pPr>
          </w:p>
        </w:tc>
        <w:tc>
          <w:tcPr>
            <w:tcW w:w="600" w:type="dxa"/>
            <w:gridSpan w:val="2"/>
            <w:vMerge w:val="continue"/>
            <w:noWrap w:val="0"/>
            <w:vAlign w:val="center"/>
          </w:tcPr>
          <w:p>
            <w:pPr>
              <w:pStyle w:val="79"/>
              <w:rPr>
                <w:rFonts w:hint="default" w:ascii="Times New Roman" w:hAnsi="Times New Roman" w:cs="Times New Roman"/>
                <w:b/>
                <w:bCs/>
                <w:color w:val="auto"/>
                <w:u w:val="none"/>
              </w:rPr>
            </w:pPr>
          </w:p>
        </w:tc>
        <w:tc>
          <w:tcPr>
            <w:tcW w:w="510" w:type="dxa"/>
            <w:vMerge w:val="continue"/>
            <w:noWrap w:val="0"/>
            <w:vAlign w:val="center"/>
          </w:tcPr>
          <w:p>
            <w:pPr>
              <w:pStyle w:val="79"/>
              <w:rPr>
                <w:rFonts w:hint="default" w:ascii="Times New Roman" w:hAnsi="Times New Roman" w:cs="Times New Roman"/>
                <w:b/>
                <w:bCs/>
                <w:color w:val="auto"/>
                <w:u w:val="none"/>
              </w:rPr>
            </w:pPr>
          </w:p>
        </w:tc>
        <w:tc>
          <w:tcPr>
            <w:tcW w:w="1040" w:type="dxa"/>
            <w:vMerge w:val="continue"/>
            <w:noWrap w:val="0"/>
            <w:vAlign w:val="center"/>
          </w:tcPr>
          <w:p>
            <w:pPr>
              <w:pStyle w:val="79"/>
              <w:rPr>
                <w:rFonts w:hint="default" w:ascii="Times New Roman" w:hAnsi="Times New Roman" w:cs="Times New Roman"/>
                <w:b/>
                <w:bCs/>
                <w:color w:val="auto"/>
                <w:u w:val="none"/>
              </w:rPr>
            </w:pPr>
          </w:p>
        </w:tc>
        <w:tc>
          <w:tcPr>
            <w:tcW w:w="970" w:type="dxa"/>
            <w:vMerge w:val="continue"/>
            <w:noWrap w:val="0"/>
            <w:vAlign w:val="center"/>
          </w:tcPr>
          <w:p>
            <w:pPr>
              <w:pStyle w:val="79"/>
              <w:rPr>
                <w:rFonts w:hint="default" w:ascii="Times New Roman" w:hAnsi="Times New Roman" w:cs="Times New Roman"/>
                <w:b/>
                <w:bCs/>
                <w:color w:val="auto"/>
                <w:u w:val="none"/>
              </w:rPr>
            </w:pPr>
          </w:p>
        </w:tc>
        <w:tc>
          <w:tcPr>
            <w:tcW w:w="1594" w:type="dxa"/>
            <w:vMerge w:val="continue"/>
            <w:noWrap w:val="0"/>
            <w:vAlign w:val="center"/>
          </w:tcPr>
          <w:p>
            <w:pPr>
              <w:pStyle w:val="79"/>
              <w:rPr>
                <w:rFonts w:hint="default" w:ascii="Times New Roman" w:hAnsi="Times New Roman" w:cs="Times New Roman"/>
                <w:b/>
                <w:bCs/>
                <w:color w:val="auto"/>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2" w:type="dxa"/>
            <w:noWrap w:val="0"/>
            <w:vAlign w:val="center"/>
          </w:tcPr>
          <w:p>
            <w:pPr>
              <w:pStyle w:val="79"/>
              <w:rPr>
                <w:rFonts w:hint="default" w:ascii="Times New Roman" w:hAnsi="Times New Roman" w:cs="Times New Roman"/>
                <w:color w:val="auto"/>
                <w:u w:val="none"/>
              </w:rPr>
            </w:pPr>
            <w:r>
              <w:rPr>
                <w:rFonts w:hint="default" w:ascii="Times New Roman" w:hAnsi="Times New Roman" w:cs="Times New Roman"/>
                <w:color w:val="auto"/>
                <w:u w:val="none"/>
              </w:rPr>
              <w:t>空气</w:t>
            </w:r>
          </w:p>
          <w:p>
            <w:pPr>
              <w:pStyle w:val="79"/>
              <w:rPr>
                <w:rFonts w:hint="default" w:ascii="Times New Roman" w:hAnsi="Times New Roman" w:cs="Times New Roman"/>
                <w:color w:val="auto"/>
                <w:u w:val="none"/>
              </w:rPr>
            </w:pPr>
            <w:r>
              <w:rPr>
                <w:rFonts w:hint="default" w:ascii="Times New Roman" w:hAnsi="Times New Roman" w:cs="Times New Roman"/>
                <w:color w:val="auto"/>
                <w:u w:val="none"/>
              </w:rPr>
              <w:t>环境</w:t>
            </w:r>
          </w:p>
        </w:tc>
        <w:tc>
          <w:tcPr>
            <w:tcW w:w="935" w:type="dxa"/>
            <w:noWrap w:val="0"/>
            <w:vAlign w:val="center"/>
          </w:tcPr>
          <w:p>
            <w:pPr>
              <w:pStyle w:val="79"/>
              <w:ind w:firstLine="0" w:firstLineChars="0"/>
              <w:rPr>
                <w:rFonts w:hint="default" w:ascii="Times New Roman" w:hAnsi="Times New Roman" w:cs="Times New Roman"/>
                <w:color w:val="auto"/>
                <w:u w:val="none"/>
              </w:rPr>
            </w:pPr>
            <w:r>
              <w:rPr>
                <w:rFonts w:hint="default" w:ascii="Times New Roman" w:hAnsi="Times New Roman" w:cs="Times New Roman"/>
                <w:color w:val="auto"/>
                <w:u w:val="single"/>
                <w:lang w:eastAsia="zh-CN"/>
              </w:rPr>
              <w:t>卡地村</w:t>
            </w:r>
            <w:r>
              <w:rPr>
                <w:rFonts w:hint="default" w:ascii="Times New Roman" w:hAnsi="Times New Roman" w:cs="Times New Roman"/>
                <w:color w:val="auto"/>
                <w:u w:val="single"/>
              </w:rPr>
              <w:t>居民点</w:t>
            </w:r>
          </w:p>
        </w:tc>
        <w:tc>
          <w:tcPr>
            <w:tcW w:w="592" w:type="dxa"/>
            <w:noWrap w:val="0"/>
            <w:vAlign w:val="center"/>
          </w:tcPr>
          <w:p>
            <w:pPr>
              <w:pStyle w:val="79"/>
              <w:ind w:firstLine="0" w:firstLineChars="0"/>
              <w:rPr>
                <w:rFonts w:hint="default" w:ascii="Times New Roman" w:hAnsi="Times New Roman" w:cs="Times New Roman"/>
                <w:color w:val="auto"/>
                <w:u w:val="none"/>
              </w:rPr>
            </w:pPr>
            <w:r>
              <w:rPr>
                <w:rFonts w:hint="default" w:ascii="Times New Roman" w:hAnsi="Times New Roman" w:cs="Times New Roman"/>
                <w:color w:val="auto"/>
                <w:u w:val="single"/>
              </w:rPr>
              <w:t>109.25</w:t>
            </w:r>
          </w:p>
        </w:tc>
        <w:tc>
          <w:tcPr>
            <w:tcW w:w="621" w:type="dxa"/>
            <w:noWrap w:val="0"/>
            <w:vAlign w:val="center"/>
          </w:tcPr>
          <w:p>
            <w:pPr>
              <w:pStyle w:val="79"/>
              <w:ind w:firstLine="0" w:firstLineChars="0"/>
              <w:rPr>
                <w:rFonts w:hint="default" w:ascii="Times New Roman" w:hAnsi="Times New Roman" w:cs="Times New Roman"/>
                <w:color w:val="auto"/>
                <w:u w:val="none"/>
              </w:rPr>
            </w:pPr>
            <w:r>
              <w:rPr>
                <w:rFonts w:hint="default" w:ascii="Times New Roman" w:hAnsi="Times New Roman" w:cs="Times New Roman"/>
                <w:color w:val="auto"/>
                <w:u w:val="single"/>
              </w:rPr>
              <w:t>28.35</w:t>
            </w:r>
          </w:p>
        </w:tc>
        <w:tc>
          <w:tcPr>
            <w:tcW w:w="735" w:type="dxa"/>
            <w:noWrap w:val="0"/>
            <w:vAlign w:val="center"/>
          </w:tcPr>
          <w:p>
            <w:pPr>
              <w:pStyle w:val="62"/>
              <w:ind w:firstLine="0" w:firstLineChars="0"/>
              <w:rPr>
                <w:rFonts w:hint="default" w:ascii="Times New Roman" w:hAnsi="Times New Roman" w:eastAsia="宋体" w:cs="Times New Roman"/>
                <w:color w:val="auto"/>
                <w:sz w:val="21"/>
                <w:szCs w:val="21"/>
                <w:u w:val="none"/>
                <w:lang w:eastAsia="zh-CN"/>
              </w:rPr>
            </w:pPr>
            <w:r>
              <w:rPr>
                <w:rFonts w:hint="eastAsia" w:cs="Times New Roman"/>
                <w:color w:val="auto"/>
                <w:sz w:val="21"/>
                <w:szCs w:val="21"/>
                <w:u w:val="single"/>
                <w:lang w:eastAsia="zh-CN"/>
              </w:rPr>
              <w:t>北侧</w:t>
            </w:r>
          </w:p>
        </w:tc>
        <w:tc>
          <w:tcPr>
            <w:tcW w:w="585" w:type="dxa"/>
            <w:noWrap w:val="0"/>
            <w:vAlign w:val="center"/>
          </w:tcPr>
          <w:p>
            <w:pPr>
              <w:pStyle w:val="62"/>
              <w:ind w:firstLine="0" w:firstLineChars="0"/>
              <w:rPr>
                <w:rFonts w:hint="default" w:ascii="Times New Roman" w:hAnsi="Times New Roman" w:cs="Times New Roman"/>
                <w:color w:val="auto"/>
                <w:sz w:val="21"/>
                <w:szCs w:val="21"/>
                <w:u w:val="none"/>
              </w:rPr>
            </w:pPr>
            <w:r>
              <w:rPr>
                <w:rFonts w:hint="eastAsia" w:cs="Times New Roman"/>
                <w:color w:val="auto"/>
                <w:sz w:val="21"/>
                <w:szCs w:val="21"/>
                <w:u w:val="single"/>
                <w:lang w:val="en-US" w:eastAsia="zh-CN"/>
              </w:rPr>
              <w:t>200</w:t>
            </w:r>
            <w:r>
              <w:rPr>
                <w:rFonts w:hint="default" w:ascii="Times New Roman" w:hAnsi="Times New Roman" w:cs="Times New Roman"/>
                <w:color w:val="auto"/>
                <w:sz w:val="21"/>
                <w:szCs w:val="21"/>
                <w:u w:val="single"/>
                <w:lang w:val="en-US" w:eastAsia="zh-CN"/>
              </w:rPr>
              <w:t>~</w:t>
            </w:r>
            <w:r>
              <w:rPr>
                <w:rFonts w:hint="eastAsia" w:cs="Times New Roman"/>
                <w:color w:val="auto"/>
                <w:sz w:val="21"/>
                <w:szCs w:val="21"/>
                <w:u w:val="single"/>
                <w:lang w:val="en-US" w:eastAsia="zh-CN"/>
              </w:rPr>
              <w:t>250米</w:t>
            </w:r>
          </w:p>
        </w:tc>
        <w:tc>
          <w:tcPr>
            <w:tcW w:w="600" w:type="dxa"/>
            <w:gridSpan w:val="2"/>
            <w:noWrap w:val="0"/>
            <w:vAlign w:val="center"/>
          </w:tcPr>
          <w:p>
            <w:pPr>
              <w:pStyle w:val="62"/>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single"/>
              </w:rPr>
              <w:t>+6</w:t>
            </w:r>
          </w:p>
        </w:tc>
        <w:tc>
          <w:tcPr>
            <w:tcW w:w="510" w:type="dxa"/>
            <w:noWrap w:val="0"/>
            <w:vAlign w:val="center"/>
          </w:tcPr>
          <w:p>
            <w:pPr>
              <w:pStyle w:val="132"/>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szCs w:val="21"/>
                <w:u w:val="single"/>
              </w:rPr>
              <w:t>居住</w:t>
            </w:r>
          </w:p>
        </w:tc>
        <w:tc>
          <w:tcPr>
            <w:tcW w:w="1040" w:type="dxa"/>
            <w:noWrap w:val="0"/>
            <w:vAlign w:val="center"/>
          </w:tcPr>
          <w:p>
            <w:pPr>
              <w:pStyle w:val="62"/>
              <w:ind w:firstLine="0" w:firstLineChars="0"/>
              <w:rPr>
                <w:rFonts w:hint="default" w:ascii="Times New Roman" w:hAnsi="Times New Roman" w:cs="Times New Roman"/>
                <w:color w:val="auto"/>
                <w:szCs w:val="21"/>
                <w:u w:val="none"/>
              </w:rPr>
            </w:pPr>
            <w:r>
              <w:rPr>
                <w:rFonts w:hint="default" w:ascii="Times New Roman" w:hAnsi="Times New Roman" w:cs="Times New Roman"/>
                <w:color w:val="auto"/>
                <w:sz w:val="21"/>
                <w:szCs w:val="21"/>
                <w:u w:val="single"/>
              </w:rPr>
              <w:t>约</w:t>
            </w:r>
            <w:r>
              <w:rPr>
                <w:rFonts w:hint="default" w:ascii="Times New Roman" w:hAnsi="Times New Roman" w:cs="Times New Roman"/>
                <w:color w:val="auto"/>
                <w:sz w:val="21"/>
                <w:szCs w:val="21"/>
                <w:u w:val="single"/>
                <w:lang w:val="en-US" w:eastAsia="zh-CN"/>
              </w:rPr>
              <w:t>18</w:t>
            </w:r>
            <w:r>
              <w:rPr>
                <w:rFonts w:hint="default" w:ascii="Times New Roman" w:hAnsi="Times New Roman" w:cs="Times New Roman"/>
                <w:color w:val="auto"/>
                <w:sz w:val="21"/>
                <w:szCs w:val="21"/>
                <w:u w:val="single"/>
              </w:rPr>
              <w:t>户，</w:t>
            </w:r>
            <w:r>
              <w:rPr>
                <w:rFonts w:hint="default" w:ascii="Times New Roman" w:hAnsi="Times New Roman" w:cs="Times New Roman"/>
                <w:color w:val="auto"/>
                <w:sz w:val="21"/>
                <w:szCs w:val="21"/>
                <w:u w:val="single"/>
                <w:lang w:val="en-US" w:eastAsia="zh-CN"/>
              </w:rPr>
              <w:t>72</w:t>
            </w:r>
            <w:r>
              <w:rPr>
                <w:rFonts w:hint="default" w:ascii="Times New Roman" w:hAnsi="Times New Roman" w:cs="Times New Roman"/>
                <w:color w:val="auto"/>
                <w:sz w:val="21"/>
                <w:szCs w:val="21"/>
                <w:u w:val="single"/>
              </w:rPr>
              <w:t>人</w:t>
            </w:r>
          </w:p>
        </w:tc>
        <w:tc>
          <w:tcPr>
            <w:tcW w:w="970" w:type="dxa"/>
            <w:noWrap w:val="0"/>
            <w:vAlign w:val="center"/>
          </w:tcPr>
          <w:p>
            <w:pPr>
              <w:pStyle w:val="79"/>
              <w:ind w:firstLine="0" w:firstLineChars="0"/>
              <w:rPr>
                <w:rFonts w:hint="default" w:ascii="Times New Roman" w:hAnsi="Times New Roman" w:cs="Times New Roman"/>
                <w:color w:val="auto"/>
                <w:sz w:val="21"/>
                <w:szCs w:val="21"/>
                <w:u w:val="none"/>
              </w:rPr>
            </w:pPr>
            <w:r>
              <w:rPr>
                <w:rFonts w:hint="default" w:ascii="Times New Roman" w:hAnsi="Times New Roman" w:cs="Times New Roman"/>
                <w:color w:val="auto"/>
                <w:u w:val="single"/>
              </w:rPr>
              <w:t>居民点</w:t>
            </w:r>
          </w:p>
        </w:tc>
        <w:tc>
          <w:tcPr>
            <w:tcW w:w="1594" w:type="dxa"/>
            <w:noWrap w:val="0"/>
            <w:vAlign w:val="center"/>
          </w:tcPr>
          <w:p>
            <w:pPr>
              <w:pStyle w:val="79"/>
              <w:rPr>
                <w:rFonts w:hint="default" w:ascii="Times New Roman" w:hAnsi="Times New Roman" w:cs="Times New Roman"/>
                <w:color w:val="auto"/>
                <w:u w:val="none"/>
              </w:rPr>
            </w:pPr>
            <w:r>
              <w:rPr>
                <w:rFonts w:hint="default" w:ascii="Times New Roman" w:hAnsi="Times New Roman" w:cs="Times New Roman"/>
                <w:color w:val="auto"/>
                <w:u w:val="none"/>
              </w:rPr>
              <w:t>《环境空气质量标准》（GB3095－2012）二级及其修改单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422" w:type="dxa"/>
            <w:noWrap w:val="0"/>
            <w:vAlign w:val="center"/>
          </w:tcPr>
          <w:p>
            <w:pPr>
              <w:pStyle w:val="79"/>
              <w:rPr>
                <w:rFonts w:hint="default" w:ascii="Times New Roman" w:hAnsi="Times New Roman" w:cs="Times New Roman"/>
                <w:color w:val="auto"/>
                <w:u w:val="none"/>
              </w:rPr>
            </w:pPr>
            <w:r>
              <w:rPr>
                <w:rFonts w:hint="default" w:ascii="Times New Roman" w:hAnsi="Times New Roman" w:cs="Times New Roman"/>
                <w:color w:val="auto"/>
                <w:u w:val="none"/>
              </w:rPr>
              <w:t>声环境</w:t>
            </w:r>
          </w:p>
          <w:p>
            <w:pPr>
              <w:pStyle w:val="79"/>
              <w:rPr>
                <w:rFonts w:hint="default" w:ascii="Times New Roman" w:hAnsi="Times New Roman" w:cs="Times New Roman"/>
                <w:color w:val="auto"/>
                <w:u w:val="none"/>
              </w:rPr>
            </w:pPr>
          </w:p>
          <w:p>
            <w:pPr>
              <w:pStyle w:val="79"/>
              <w:rPr>
                <w:rFonts w:hint="default" w:ascii="Times New Roman" w:hAnsi="Times New Roman" w:cs="Times New Roman"/>
                <w:color w:val="auto"/>
                <w:szCs w:val="22"/>
                <w:u w:val="none"/>
              </w:rPr>
            </w:pPr>
          </w:p>
        </w:tc>
        <w:tc>
          <w:tcPr>
            <w:tcW w:w="935" w:type="dxa"/>
            <w:noWrap w:val="0"/>
            <w:vAlign w:val="center"/>
          </w:tcPr>
          <w:p>
            <w:pPr>
              <w:pStyle w:val="79"/>
              <w:ind w:firstLine="0" w:firstLineChars="0"/>
              <w:rPr>
                <w:rFonts w:hint="default" w:ascii="Times New Roman" w:hAnsi="Times New Roman" w:cs="Times New Roman"/>
                <w:color w:val="auto"/>
                <w:sz w:val="21"/>
                <w:szCs w:val="21"/>
                <w:u w:val="single"/>
                <w:lang w:eastAsia="zh-CN"/>
              </w:rPr>
            </w:pPr>
            <w:r>
              <w:rPr>
                <w:rFonts w:hint="default" w:ascii="Times New Roman" w:hAnsi="Times New Roman" w:cs="Times New Roman"/>
                <w:color w:val="auto"/>
                <w:u w:val="single"/>
                <w:lang w:eastAsia="zh-CN"/>
              </w:rPr>
              <w:t>卡地村</w:t>
            </w:r>
            <w:r>
              <w:rPr>
                <w:rFonts w:hint="default" w:ascii="Times New Roman" w:hAnsi="Times New Roman" w:cs="Times New Roman"/>
                <w:color w:val="auto"/>
                <w:u w:val="single"/>
              </w:rPr>
              <w:t>居民点</w:t>
            </w:r>
          </w:p>
        </w:tc>
        <w:tc>
          <w:tcPr>
            <w:tcW w:w="592" w:type="dxa"/>
            <w:noWrap w:val="0"/>
            <w:vAlign w:val="center"/>
          </w:tcPr>
          <w:p>
            <w:pPr>
              <w:pStyle w:val="79"/>
              <w:ind w:firstLine="0" w:firstLineChars="0"/>
              <w:rPr>
                <w:rFonts w:hint="eastAsia" w:cs="Times New Roman"/>
                <w:color w:val="auto"/>
                <w:sz w:val="21"/>
                <w:szCs w:val="21"/>
                <w:u w:val="single"/>
                <w:lang w:eastAsia="zh-CN"/>
              </w:rPr>
            </w:pPr>
            <w:r>
              <w:rPr>
                <w:rFonts w:hint="default" w:ascii="Times New Roman" w:hAnsi="Times New Roman" w:cs="Times New Roman"/>
                <w:color w:val="auto"/>
                <w:u w:val="single"/>
              </w:rPr>
              <w:t>109.25</w:t>
            </w:r>
          </w:p>
        </w:tc>
        <w:tc>
          <w:tcPr>
            <w:tcW w:w="621" w:type="dxa"/>
            <w:noWrap w:val="0"/>
            <w:vAlign w:val="center"/>
          </w:tcPr>
          <w:p>
            <w:pPr>
              <w:pStyle w:val="79"/>
              <w:ind w:firstLine="0" w:firstLineChars="0"/>
              <w:rPr>
                <w:rFonts w:hint="eastAsia" w:cs="Times New Roman"/>
                <w:color w:val="auto"/>
                <w:sz w:val="21"/>
                <w:szCs w:val="21"/>
                <w:u w:val="single"/>
                <w:lang w:eastAsia="zh-CN"/>
              </w:rPr>
            </w:pPr>
            <w:r>
              <w:rPr>
                <w:rFonts w:hint="default" w:ascii="Times New Roman" w:hAnsi="Times New Roman" w:cs="Times New Roman"/>
                <w:color w:val="auto"/>
                <w:u w:val="single"/>
              </w:rPr>
              <w:t>28.35</w:t>
            </w:r>
          </w:p>
        </w:tc>
        <w:tc>
          <w:tcPr>
            <w:tcW w:w="735" w:type="dxa"/>
            <w:noWrap w:val="0"/>
            <w:vAlign w:val="center"/>
          </w:tcPr>
          <w:p>
            <w:pPr>
              <w:pStyle w:val="62"/>
              <w:rPr>
                <w:rFonts w:hint="eastAsia" w:cs="Times New Roman"/>
                <w:color w:val="auto"/>
                <w:sz w:val="21"/>
                <w:szCs w:val="21"/>
                <w:u w:val="single"/>
                <w:lang w:eastAsia="zh-CN"/>
              </w:rPr>
            </w:pPr>
            <w:r>
              <w:rPr>
                <w:rFonts w:hint="eastAsia" w:cs="Times New Roman"/>
                <w:color w:val="auto"/>
                <w:sz w:val="21"/>
                <w:szCs w:val="21"/>
                <w:u w:val="single"/>
                <w:lang w:eastAsia="zh-CN"/>
              </w:rPr>
              <w:t>北侧</w:t>
            </w:r>
          </w:p>
        </w:tc>
        <w:tc>
          <w:tcPr>
            <w:tcW w:w="592" w:type="dxa"/>
            <w:gridSpan w:val="2"/>
            <w:noWrap w:val="0"/>
            <w:vAlign w:val="center"/>
          </w:tcPr>
          <w:p>
            <w:pPr>
              <w:pStyle w:val="62"/>
              <w:rPr>
                <w:rFonts w:hint="default" w:cs="Times New Roman"/>
                <w:color w:val="auto"/>
                <w:sz w:val="21"/>
                <w:szCs w:val="21"/>
                <w:u w:val="single"/>
                <w:lang w:val="en-US" w:eastAsia="zh-CN"/>
              </w:rPr>
            </w:pPr>
            <w:r>
              <w:rPr>
                <w:rFonts w:hint="eastAsia" w:cs="Times New Roman"/>
                <w:color w:val="auto"/>
                <w:sz w:val="21"/>
                <w:szCs w:val="21"/>
                <w:u w:val="single"/>
                <w:lang w:val="en-US" w:eastAsia="zh-CN"/>
              </w:rPr>
              <w:t>200</w:t>
            </w:r>
            <w:r>
              <w:rPr>
                <w:rFonts w:hint="default" w:ascii="Times New Roman" w:hAnsi="Times New Roman" w:cs="Times New Roman"/>
                <w:color w:val="auto"/>
                <w:sz w:val="21"/>
                <w:szCs w:val="21"/>
                <w:u w:val="single"/>
                <w:lang w:val="en-US" w:eastAsia="zh-CN"/>
              </w:rPr>
              <w:t>~</w:t>
            </w:r>
            <w:r>
              <w:rPr>
                <w:rFonts w:hint="eastAsia" w:cs="Times New Roman"/>
                <w:color w:val="auto"/>
                <w:sz w:val="21"/>
                <w:szCs w:val="21"/>
                <w:u w:val="single"/>
                <w:lang w:val="en-US" w:eastAsia="zh-CN"/>
              </w:rPr>
              <w:t>250米</w:t>
            </w:r>
          </w:p>
        </w:tc>
        <w:tc>
          <w:tcPr>
            <w:tcW w:w="593" w:type="dxa"/>
            <w:noWrap w:val="0"/>
            <w:vAlign w:val="center"/>
          </w:tcPr>
          <w:p>
            <w:pPr>
              <w:pStyle w:val="62"/>
              <w:rPr>
                <w:rFonts w:hint="eastAsia" w:cs="Times New Roman"/>
                <w:color w:val="auto"/>
                <w:sz w:val="21"/>
                <w:szCs w:val="21"/>
                <w:u w:val="single"/>
                <w:lang w:val="en-US" w:eastAsia="zh-CN"/>
              </w:rPr>
            </w:pPr>
            <w:r>
              <w:rPr>
                <w:rFonts w:hint="default" w:ascii="Times New Roman" w:hAnsi="Times New Roman" w:cs="Times New Roman"/>
                <w:color w:val="auto"/>
                <w:sz w:val="21"/>
                <w:szCs w:val="21"/>
                <w:u w:val="single"/>
              </w:rPr>
              <w:t>+6</w:t>
            </w:r>
          </w:p>
        </w:tc>
        <w:tc>
          <w:tcPr>
            <w:tcW w:w="510" w:type="dxa"/>
            <w:noWrap w:val="0"/>
            <w:vAlign w:val="center"/>
          </w:tcPr>
          <w:p>
            <w:pPr>
              <w:pStyle w:val="62"/>
              <w:ind w:firstLine="0" w:firstLineChars="0"/>
              <w:rPr>
                <w:rFonts w:hint="eastAsia" w:cs="Times New Roman"/>
                <w:color w:val="auto"/>
                <w:sz w:val="21"/>
                <w:szCs w:val="21"/>
                <w:u w:val="single"/>
                <w:lang w:eastAsia="zh-CN"/>
              </w:rPr>
            </w:pPr>
            <w:r>
              <w:rPr>
                <w:rFonts w:hint="default" w:ascii="Times New Roman" w:hAnsi="Times New Roman" w:cs="Times New Roman"/>
                <w:color w:val="auto"/>
                <w:szCs w:val="21"/>
                <w:u w:val="single"/>
              </w:rPr>
              <w:t>居住</w:t>
            </w:r>
          </w:p>
        </w:tc>
        <w:tc>
          <w:tcPr>
            <w:tcW w:w="1040" w:type="dxa"/>
            <w:noWrap w:val="0"/>
            <w:vAlign w:val="center"/>
          </w:tcPr>
          <w:p>
            <w:pPr>
              <w:pStyle w:val="132"/>
              <w:ind w:firstLine="0" w:firstLineChars="0"/>
              <w:rPr>
                <w:rFonts w:hint="eastAsia" w:cs="Times New Roman"/>
                <w:color w:val="auto"/>
                <w:sz w:val="21"/>
                <w:szCs w:val="21"/>
                <w:u w:val="single"/>
                <w:lang w:eastAsia="zh-CN"/>
              </w:rPr>
            </w:pPr>
            <w:r>
              <w:rPr>
                <w:rFonts w:hint="default" w:ascii="Times New Roman" w:hAnsi="Times New Roman" w:cs="Times New Roman"/>
                <w:color w:val="auto"/>
                <w:sz w:val="21"/>
                <w:szCs w:val="21"/>
                <w:u w:val="single"/>
              </w:rPr>
              <w:t>约</w:t>
            </w:r>
            <w:r>
              <w:rPr>
                <w:rFonts w:hint="default" w:ascii="Times New Roman" w:hAnsi="Times New Roman" w:cs="Times New Roman"/>
                <w:color w:val="auto"/>
                <w:sz w:val="21"/>
                <w:szCs w:val="21"/>
                <w:u w:val="single"/>
                <w:lang w:val="en-US" w:eastAsia="zh-CN"/>
              </w:rPr>
              <w:t>18</w:t>
            </w:r>
            <w:r>
              <w:rPr>
                <w:rFonts w:hint="default" w:ascii="Times New Roman" w:hAnsi="Times New Roman" w:cs="Times New Roman"/>
                <w:color w:val="auto"/>
                <w:sz w:val="21"/>
                <w:szCs w:val="21"/>
                <w:u w:val="single"/>
              </w:rPr>
              <w:t>户，</w:t>
            </w:r>
            <w:r>
              <w:rPr>
                <w:rFonts w:hint="default" w:ascii="Times New Roman" w:hAnsi="Times New Roman" w:cs="Times New Roman"/>
                <w:color w:val="auto"/>
                <w:sz w:val="21"/>
                <w:szCs w:val="21"/>
                <w:u w:val="single"/>
                <w:lang w:val="en-US" w:eastAsia="zh-CN"/>
              </w:rPr>
              <w:t>72</w:t>
            </w:r>
            <w:r>
              <w:rPr>
                <w:rFonts w:hint="default" w:ascii="Times New Roman" w:hAnsi="Times New Roman" w:cs="Times New Roman"/>
                <w:color w:val="auto"/>
                <w:sz w:val="21"/>
                <w:szCs w:val="21"/>
                <w:u w:val="single"/>
              </w:rPr>
              <w:t>人</w:t>
            </w:r>
          </w:p>
        </w:tc>
        <w:tc>
          <w:tcPr>
            <w:tcW w:w="970" w:type="dxa"/>
            <w:noWrap w:val="0"/>
            <w:vAlign w:val="center"/>
          </w:tcPr>
          <w:p>
            <w:pPr>
              <w:pStyle w:val="62"/>
              <w:rPr>
                <w:rFonts w:hint="eastAsia" w:cs="Times New Roman"/>
                <w:color w:val="auto"/>
                <w:sz w:val="21"/>
                <w:szCs w:val="21"/>
                <w:u w:val="single"/>
                <w:lang w:eastAsia="zh-CN"/>
              </w:rPr>
            </w:pPr>
            <w:r>
              <w:rPr>
                <w:rFonts w:hint="default" w:ascii="Times New Roman" w:hAnsi="Times New Roman" w:cs="Times New Roman"/>
                <w:color w:val="auto"/>
                <w:u w:val="single"/>
              </w:rPr>
              <w:t>居民点</w:t>
            </w:r>
          </w:p>
        </w:tc>
        <w:tc>
          <w:tcPr>
            <w:tcW w:w="1594" w:type="dxa"/>
            <w:noWrap w:val="0"/>
            <w:vAlign w:val="center"/>
          </w:tcPr>
          <w:p>
            <w:pPr>
              <w:pStyle w:val="79"/>
              <w:rPr>
                <w:rFonts w:hint="default" w:ascii="Times New Roman" w:hAnsi="Times New Roman" w:cs="Times New Roman"/>
                <w:color w:val="auto"/>
                <w:u w:val="none"/>
              </w:rPr>
            </w:pPr>
            <w:r>
              <w:rPr>
                <w:rFonts w:hint="default" w:ascii="Times New Roman" w:hAnsi="Times New Roman" w:cs="Times New Roman"/>
                <w:bCs/>
                <w:color w:val="auto"/>
                <w:u w:val="none"/>
              </w:rPr>
              <w:t>《声环境质量标准》（GB3096-2008）中</w:t>
            </w:r>
            <w:r>
              <w:rPr>
                <w:rFonts w:hint="default" w:ascii="Times New Roman" w:hAnsi="Times New Roman" w:cs="Times New Roman"/>
                <w:bCs/>
                <w:color w:val="auto"/>
                <w:u w:val="none"/>
                <w:lang w:val="en-US" w:eastAsia="zh-CN"/>
              </w:rPr>
              <w:t>3</w:t>
            </w:r>
            <w:r>
              <w:rPr>
                <w:rFonts w:hint="default" w:ascii="Times New Roman" w:hAnsi="Times New Roman" w:cs="Times New Roman"/>
                <w:bCs/>
                <w:color w:val="auto"/>
                <w:u w:val="none"/>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2" w:type="dxa"/>
            <w:noWrap w:val="0"/>
            <w:vAlign w:val="center"/>
          </w:tcPr>
          <w:p>
            <w:pPr>
              <w:pStyle w:val="79"/>
              <w:rPr>
                <w:rFonts w:hint="default" w:ascii="Times New Roman" w:hAnsi="Times New Roman" w:cs="Times New Roman"/>
                <w:color w:val="auto"/>
                <w:u w:val="none"/>
              </w:rPr>
            </w:pPr>
            <w:r>
              <w:rPr>
                <w:rFonts w:hint="default" w:ascii="Times New Roman" w:hAnsi="Times New Roman" w:cs="Times New Roman"/>
                <w:color w:val="auto"/>
                <w:u w:val="none"/>
              </w:rPr>
              <w:t>生态环境</w:t>
            </w:r>
          </w:p>
        </w:tc>
        <w:tc>
          <w:tcPr>
            <w:tcW w:w="8182" w:type="dxa"/>
            <w:gridSpan w:val="11"/>
            <w:noWrap w:val="0"/>
            <w:vAlign w:val="center"/>
          </w:tcPr>
          <w:p>
            <w:pPr>
              <w:pStyle w:val="79"/>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eastAsia="zh-CN"/>
              </w:rPr>
              <w:t>不破坏管网铺设两侧</w:t>
            </w:r>
            <w:r>
              <w:rPr>
                <w:rFonts w:hint="eastAsia" w:ascii="Times New Roman" w:hAnsi="Times New Roman" w:cs="Times New Roman"/>
                <w:color w:val="auto"/>
                <w:u w:val="none"/>
                <w:lang w:val="en-US" w:eastAsia="zh-CN"/>
              </w:rPr>
              <w:t>100米范围内植被</w:t>
            </w:r>
          </w:p>
        </w:tc>
      </w:tr>
    </w:tbl>
    <w:p>
      <w:pPr>
        <w:pStyle w:val="4"/>
        <w:rPr>
          <w:rFonts w:hint="eastAsia"/>
        </w:rPr>
        <w:sectPr>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pStyle w:val="79"/>
        <w:rPr>
          <w:rFonts w:hint="eastAsia"/>
        </w:rPr>
      </w:pPr>
    </w:p>
    <w:p>
      <w:pPr>
        <w:pStyle w:val="7"/>
        <w:ind w:firstLine="643"/>
        <w:rPr>
          <w:rFonts w:hint="eastAsia"/>
          <w:color w:val="000000"/>
          <w:kern w:val="0"/>
        </w:rPr>
      </w:pPr>
      <w:bookmarkStart w:id="149" w:name="_Toc29308654"/>
      <w:bookmarkStart w:id="150" w:name="_Toc11794"/>
      <w:r>
        <w:rPr>
          <w:rFonts w:hint="eastAsia"/>
          <w:color w:val="000000"/>
          <w:kern w:val="0"/>
        </w:rPr>
        <w:t>第</w:t>
      </w:r>
      <w:r>
        <w:rPr>
          <w:color w:val="000000"/>
          <w:kern w:val="0"/>
        </w:rPr>
        <w:t>2</w:t>
      </w:r>
      <w:r>
        <w:rPr>
          <w:rFonts w:hint="eastAsia"/>
          <w:color w:val="000000"/>
          <w:kern w:val="0"/>
        </w:rPr>
        <w:t xml:space="preserve">章  </w:t>
      </w:r>
      <w:bookmarkEnd w:id="146"/>
      <w:bookmarkEnd w:id="147"/>
      <w:r>
        <w:rPr>
          <w:rFonts w:hint="eastAsia"/>
          <w:color w:val="000000"/>
          <w:kern w:val="0"/>
        </w:rPr>
        <w:t>项目工程分析</w:t>
      </w:r>
      <w:bookmarkEnd w:id="149"/>
      <w:bookmarkEnd w:id="150"/>
    </w:p>
    <w:p>
      <w:pPr>
        <w:pStyle w:val="86"/>
        <w:spacing w:before="120" w:after="120"/>
        <w:rPr>
          <w:rFonts w:hint="eastAsia"/>
          <w:color w:val="000000"/>
          <w:kern w:val="0"/>
        </w:rPr>
      </w:pPr>
      <w:bookmarkStart w:id="151" w:name="_Toc29067"/>
      <w:bookmarkStart w:id="152" w:name="_Toc29308655"/>
      <w:bookmarkStart w:id="153" w:name="_Toc489350135"/>
      <w:r>
        <w:rPr>
          <w:color w:val="000000"/>
          <w:kern w:val="0"/>
        </w:rPr>
        <w:t>2</w:t>
      </w:r>
      <w:r>
        <w:rPr>
          <w:rFonts w:hint="eastAsia"/>
          <w:color w:val="000000"/>
          <w:kern w:val="0"/>
        </w:rPr>
        <w:t>.</w:t>
      </w:r>
      <w:r>
        <w:rPr>
          <w:color w:val="000000"/>
          <w:kern w:val="0"/>
        </w:rPr>
        <w:t>1</w:t>
      </w:r>
      <w:r>
        <w:rPr>
          <w:rFonts w:hint="eastAsia"/>
          <w:color w:val="000000"/>
          <w:kern w:val="0"/>
        </w:rPr>
        <w:t>项目概况</w:t>
      </w:r>
      <w:bookmarkEnd w:id="151"/>
      <w:bookmarkEnd w:id="152"/>
      <w:bookmarkEnd w:id="153"/>
    </w:p>
    <w:p>
      <w:pPr>
        <w:pStyle w:val="8"/>
        <w:spacing w:before="120"/>
        <w:rPr>
          <w:rFonts w:hint="eastAsia"/>
          <w:color w:val="000000"/>
          <w:kern w:val="0"/>
        </w:rPr>
      </w:pPr>
      <w:bookmarkStart w:id="154" w:name="_Toc489349976"/>
      <w:bookmarkStart w:id="155" w:name="_Toc489350237"/>
      <w:bookmarkStart w:id="156" w:name="_Toc489350136"/>
      <w:r>
        <w:rPr>
          <w:color w:val="000000"/>
          <w:kern w:val="0"/>
        </w:rPr>
        <w:t>2</w:t>
      </w:r>
      <w:r>
        <w:rPr>
          <w:rFonts w:hint="eastAsia"/>
          <w:color w:val="000000"/>
          <w:kern w:val="0"/>
        </w:rPr>
        <w:t>.</w:t>
      </w:r>
      <w:r>
        <w:rPr>
          <w:color w:val="000000"/>
          <w:kern w:val="0"/>
        </w:rPr>
        <w:t>1</w:t>
      </w:r>
      <w:r>
        <w:rPr>
          <w:rFonts w:hint="eastAsia"/>
          <w:color w:val="000000"/>
          <w:kern w:val="0"/>
        </w:rPr>
        <w:t>.1项目基本情况简介</w:t>
      </w:r>
      <w:bookmarkEnd w:id="154"/>
      <w:bookmarkEnd w:id="155"/>
      <w:bookmarkEnd w:id="156"/>
    </w:p>
    <w:p>
      <w:pPr>
        <w:ind w:firstLine="480"/>
      </w:pPr>
      <w:r>
        <w:rPr>
          <w:rFonts w:hint="eastAsia"/>
          <w:color w:val="000000"/>
          <w:kern w:val="0"/>
        </w:rPr>
        <w:t>（1）项目名称：</w:t>
      </w:r>
      <w:r>
        <w:rPr>
          <w:rFonts w:hint="eastAsia"/>
        </w:rPr>
        <w:t>花垣县工业集中区重金属废水处理工程</w:t>
      </w:r>
    </w:p>
    <w:p>
      <w:pPr>
        <w:ind w:firstLine="480"/>
        <w:rPr>
          <w:color w:val="000000"/>
          <w:kern w:val="0"/>
          <w:szCs w:val="21"/>
        </w:rPr>
      </w:pPr>
      <w:r>
        <w:rPr>
          <w:rFonts w:hint="eastAsia"/>
          <w:color w:val="000000"/>
          <w:kern w:val="0"/>
        </w:rPr>
        <w:t>（2）项目所在地：</w:t>
      </w:r>
      <w:r>
        <w:rPr>
          <w:rFonts w:hint="eastAsia"/>
          <w:color w:val="000000"/>
          <w:kern w:val="0"/>
          <w:szCs w:val="21"/>
        </w:rPr>
        <w:t>位于</w:t>
      </w:r>
      <w:bookmarkStart w:id="157" w:name="_Hlk90648196"/>
      <w:r>
        <w:rPr>
          <w:rFonts w:hint="eastAsia"/>
          <w:color w:val="000000"/>
          <w:kern w:val="0"/>
          <w:szCs w:val="21"/>
          <w:lang w:eastAsia="zh-CN"/>
        </w:rPr>
        <w:t>湘西州花垣县花垣产业开发区</w:t>
      </w:r>
    </w:p>
    <w:bookmarkEnd w:id="157"/>
    <w:p>
      <w:pPr>
        <w:ind w:firstLine="480"/>
        <w:rPr>
          <w:rFonts w:hint="eastAsia"/>
          <w:color w:val="000000"/>
          <w:kern w:val="0"/>
          <w:lang w:eastAsia="zh-CN"/>
        </w:rPr>
      </w:pPr>
      <w:r>
        <w:rPr>
          <w:rFonts w:hint="eastAsia"/>
          <w:color w:val="000000"/>
          <w:kern w:val="0"/>
        </w:rPr>
        <w:t>（3）建设单位：</w:t>
      </w:r>
      <w:r>
        <w:rPr>
          <w:rFonts w:hint="eastAsia"/>
          <w:color w:val="000000"/>
          <w:kern w:val="0"/>
          <w:lang w:eastAsia="zh-CN"/>
        </w:rPr>
        <w:t>花垣县城乡农业综合开发投资有限公司</w:t>
      </w:r>
    </w:p>
    <w:p>
      <w:pPr>
        <w:ind w:firstLine="480"/>
        <w:rPr>
          <w:rFonts w:hint="eastAsia"/>
          <w:color w:val="000000"/>
          <w:kern w:val="0"/>
        </w:rPr>
      </w:pPr>
      <w:r>
        <w:rPr>
          <w:rFonts w:hint="eastAsia"/>
          <w:color w:val="000000"/>
          <w:kern w:val="0"/>
        </w:rPr>
        <w:t>（4）建设性质：新建</w:t>
      </w:r>
    </w:p>
    <w:p>
      <w:pPr>
        <w:ind w:firstLine="480"/>
        <w:rPr>
          <w:rFonts w:hint="eastAsia"/>
          <w:color w:val="0F1EDB"/>
          <w:kern w:val="0"/>
        </w:rPr>
      </w:pPr>
      <w:r>
        <w:rPr>
          <w:rFonts w:hint="eastAsia"/>
          <w:color w:val="000000"/>
          <w:kern w:val="0"/>
        </w:rPr>
        <w:t>（5）</w:t>
      </w:r>
      <w:r>
        <w:rPr>
          <w:rFonts w:hint="eastAsia"/>
          <w:color w:val="auto"/>
          <w:kern w:val="0"/>
        </w:rPr>
        <w:t>总投资：1284.83万元</w:t>
      </w:r>
    </w:p>
    <w:p>
      <w:pPr>
        <w:ind w:firstLine="480"/>
        <w:rPr>
          <w:color w:val="000000"/>
          <w:kern w:val="0"/>
        </w:rPr>
      </w:pPr>
      <w:r>
        <w:rPr>
          <w:rFonts w:hint="eastAsia"/>
          <w:color w:val="000000"/>
          <w:kern w:val="0"/>
        </w:rPr>
        <w:t>（</w:t>
      </w:r>
      <w:r>
        <w:rPr>
          <w:rFonts w:hint="eastAsia"/>
          <w:color w:val="000000"/>
          <w:kern w:val="0"/>
          <w:lang w:val="en-US" w:eastAsia="zh-CN"/>
        </w:rPr>
        <w:t>6</w:t>
      </w:r>
      <w:r>
        <w:rPr>
          <w:rFonts w:hint="eastAsia"/>
          <w:color w:val="000000"/>
          <w:kern w:val="0"/>
        </w:rPr>
        <w:t>）建设工期：开工时间为2017年5月，2019年12月底竣工</w:t>
      </w:r>
    </w:p>
    <w:p>
      <w:pPr>
        <w:ind w:firstLine="480"/>
        <w:rPr>
          <w:rFonts w:hint="eastAsia"/>
          <w:color w:val="auto"/>
          <w:kern w:val="0"/>
        </w:rPr>
      </w:pPr>
      <w:r>
        <w:rPr>
          <w:rFonts w:hint="eastAsia"/>
          <w:color w:val="000000"/>
          <w:kern w:val="0"/>
        </w:rPr>
        <w:t>（8）劳动</w:t>
      </w:r>
      <w:r>
        <w:rPr>
          <w:rFonts w:hint="eastAsia"/>
          <w:color w:val="auto"/>
          <w:kern w:val="0"/>
        </w:rPr>
        <w:t>定员：</w:t>
      </w:r>
      <w:r>
        <w:rPr>
          <w:rFonts w:hint="eastAsia"/>
          <w:color w:val="auto"/>
          <w:kern w:val="0"/>
          <w:lang w:val="en-US" w:eastAsia="zh-CN"/>
        </w:rPr>
        <w:t>4</w:t>
      </w:r>
      <w:r>
        <w:rPr>
          <w:rFonts w:hint="eastAsia"/>
          <w:color w:val="auto"/>
          <w:kern w:val="0"/>
        </w:rPr>
        <w:t>人</w:t>
      </w:r>
    </w:p>
    <w:p>
      <w:pPr>
        <w:pStyle w:val="6"/>
        <w:rPr>
          <w:rFonts w:hint="default" w:eastAsia="宋体"/>
          <w:lang w:val="en-US" w:eastAsia="zh-CN"/>
        </w:rPr>
      </w:pPr>
      <w:r>
        <w:rPr>
          <w:rFonts w:hint="eastAsia"/>
          <w:color w:val="auto"/>
          <w:kern w:val="0"/>
          <w:lang w:eastAsia="zh-CN"/>
        </w:rPr>
        <w:t>（</w:t>
      </w:r>
      <w:r>
        <w:rPr>
          <w:rFonts w:hint="eastAsia"/>
          <w:color w:val="auto"/>
          <w:kern w:val="0"/>
          <w:lang w:val="en-US" w:eastAsia="zh-CN"/>
        </w:rPr>
        <w:t>9</w:t>
      </w:r>
      <w:r>
        <w:rPr>
          <w:rFonts w:hint="eastAsia"/>
          <w:color w:val="auto"/>
          <w:kern w:val="0"/>
          <w:lang w:eastAsia="zh-CN"/>
        </w:rPr>
        <w:t>）</w:t>
      </w:r>
      <w:r>
        <w:rPr>
          <w:rFonts w:hint="eastAsia"/>
          <w:color w:val="auto"/>
          <w:kern w:val="0"/>
          <w:lang w:val="en-US" w:eastAsia="zh-CN"/>
        </w:rPr>
        <w:t>总占地面积：7473m</w:t>
      </w:r>
      <w:r>
        <w:rPr>
          <w:rFonts w:hint="eastAsia"/>
          <w:color w:val="auto"/>
          <w:kern w:val="0"/>
          <w:vertAlign w:val="superscript"/>
          <w:lang w:val="en-US" w:eastAsia="zh-CN"/>
        </w:rPr>
        <w:t>2</w:t>
      </w:r>
    </w:p>
    <w:p>
      <w:pPr>
        <w:pStyle w:val="8"/>
        <w:spacing w:before="120"/>
        <w:rPr>
          <w:rFonts w:hint="eastAsia"/>
        </w:rPr>
      </w:pPr>
      <w:bookmarkStart w:id="158" w:name="_Toc489350137"/>
      <w:bookmarkStart w:id="159" w:name="_Toc489350238"/>
      <w:bookmarkStart w:id="160" w:name="_Toc489349977"/>
      <w:r>
        <w:t>2</w:t>
      </w:r>
      <w:r>
        <w:rPr>
          <w:rFonts w:hint="eastAsia"/>
        </w:rPr>
        <w:t>.</w:t>
      </w:r>
      <w:r>
        <w:t>1</w:t>
      </w:r>
      <w:r>
        <w:rPr>
          <w:rFonts w:hint="eastAsia"/>
        </w:rPr>
        <w:t>.2项目主要工程建设内容</w:t>
      </w:r>
      <w:bookmarkEnd w:id="158"/>
      <w:bookmarkEnd w:id="159"/>
      <w:bookmarkEnd w:id="160"/>
    </w:p>
    <w:p>
      <w:pPr>
        <w:ind w:firstLine="480"/>
        <w:rPr>
          <w:color w:val="000000"/>
        </w:rPr>
      </w:pPr>
      <w:r>
        <w:rPr>
          <w:rFonts w:hint="eastAsia"/>
          <w:color w:val="000000"/>
          <w:lang w:eastAsia="zh-CN"/>
        </w:rPr>
        <w:t>项目</w:t>
      </w:r>
      <w:r>
        <w:rPr>
          <w:rFonts w:hint="eastAsia"/>
          <w:color w:val="000000"/>
        </w:rPr>
        <w:t>采用“化学混凝沉淀分离+石英砂过滤”</w:t>
      </w:r>
      <w:r>
        <w:rPr>
          <w:rFonts w:hint="eastAsia"/>
          <w:color w:val="000000"/>
          <w:lang w:eastAsia="zh-CN"/>
        </w:rPr>
        <w:t>的处理</w:t>
      </w:r>
      <w:r>
        <w:rPr>
          <w:rFonts w:hint="eastAsia"/>
          <w:color w:val="000000"/>
        </w:rPr>
        <w:t>工艺</w:t>
      </w:r>
      <w:r>
        <w:rPr>
          <w:rFonts w:hint="eastAsia"/>
          <w:color w:val="000000"/>
          <w:lang w:eastAsia="zh-CN"/>
        </w:rPr>
        <w:t>，项目设计处理规模为</w:t>
      </w:r>
      <w:r>
        <w:rPr>
          <w:rFonts w:hint="eastAsia"/>
          <w:color w:val="000000"/>
          <w:lang w:val="en-US" w:eastAsia="zh-CN"/>
        </w:rPr>
        <w:t>3000t/d，建设配套污水管网为2100</w:t>
      </w:r>
      <w:r>
        <w:rPr>
          <w:rFonts w:hint="eastAsia"/>
          <w:color w:val="000000"/>
        </w:rPr>
        <w:t>m</w:t>
      </w:r>
      <w:r>
        <w:rPr>
          <w:rFonts w:hint="eastAsia"/>
          <w:color w:val="000000"/>
          <w:lang w:eastAsia="zh-CN"/>
        </w:rPr>
        <w:t>。含主要构筑物：格栅、调节池、反应池1、反应池2、混凝反应池1、絮凝反应池1、絮凝沉淀池、中间水池、反应池3、反应池4、混凝反应池2、絮凝反应池2、二沉池、缓冲池、石英砂过滤器、清水池、污泥池、电控间、加药间、鼓风机房、污泥脱水房。</w:t>
      </w:r>
      <w:r>
        <w:rPr>
          <w:rFonts w:hint="eastAsia"/>
          <w:color w:val="000000"/>
        </w:rPr>
        <w:t>本次建设内容如下所示：</w:t>
      </w:r>
    </w:p>
    <w:p>
      <w:pPr>
        <w:ind w:firstLine="422"/>
        <w:jc w:val="center"/>
        <w:rPr>
          <w:b/>
          <w:color w:val="000000"/>
          <w:kern w:val="0"/>
          <w:sz w:val="21"/>
          <w:szCs w:val="21"/>
        </w:rPr>
      </w:pPr>
      <w:r>
        <w:rPr>
          <w:rFonts w:hint="eastAsia"/>
          <w:b/>
          <w:color w:val="000000"/>
          <w:kern w:val="0"/>
          <w:sz w:val="21"/>
          <w:szCs w:val="21"/>
        </w:rPr>
        <w:t>表</w:t>
      </w:r>
      <w:r>
        <w:rPr>
          <w:b/>
          <w:color w:val="000000"/>
          <w:kern w:val="0"/>
          <w:sz w:val="21"/>
          <w:szCs w:val="21"/>
        </w:rPr>
        <w:t>2</w:t>
      </w:r>
      <w:r>
        <w:rPr>
          <w:rFonts w:hint="eastAsia"/>
          <w:b/>
          <w:color w:val="000000"/>
          <w:kern w:val="0"/>
          <w:sz w:val="21"/>
          <w:szCs w:val="21"/>
        </w:rPr>
        <w:t>.</w:t>
      </w:r>
      <w:r>
        <w:rPr>
          <w:b/>
          <w:color w:val="000000"/>
          <w:kern w:val="0"/>
          <w:sz w:val="21"/>
          <w:szCs w:val="21"/>
        </w:rPr>
        <w:t>1</w:t>
      </w:r>
      <w:r>
        <w:rPr>
          <w:rFonts w:hint="eastAsia"/>
          <w:b/>
          <w:color w:val="000000"/>
          <w:kern w:val="0"/>
          <w:sz w:val="21"/>
          <w:szCs w:val="21"/>
        </w:rPr>
        <w:t>-</w:t>
      </w:r>
      <w:r>
        <w:rPr>
          <w:rFonts w:hint="eastAsia"/>
          <w:b/>
          <w:color w:val="000000"/>
          <w:kern w:val="0"/>
          <w:sz w:val="21"/>
          <w:szCs w:val="21"/>
          <w:lang w:val="en-US" w:eastAsia="zh-CN"/>
        </w:rPr>
        <w:t>1</w:t>
      </w:r>
      <w:r>
        <w:rPr>
          <w:rFonts w:hint="eastAsia"/>
          <w:b/>
          <w:color w:val="000000"/>
          <w:kern w:val="0"/>
          <w:sz w:val="21"/>
          <w:szCs w:val="21"/>
        </w:rPr>
        <w:t xml:space="preserve"> 项目主要工程建设内容</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1470"/>
        <w:gridCol w:w="5181"/>
        <w:gridCol w:w="7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b/>
                <w:bCs/>
                <w:sz w:val="21"/>
                <w:szCs w:val="21"/>
              </w:rPr>
            </w:pPr>
            <w:r>
              <w:rPr>
                <w:rFonts w:hint="eastAsia"/>
                <w:b/>
                <w:bCs/>
                <w:sz w:val="21"/>
                <w:szCs w:val="21"/>
              </w:rPr>
              <w:t>工程类别</w:t>
            </w: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b/>
                <w:bCs/>
                <w:sz w:val="21"/>
                <w:szCs w:val="21"/>
              </w:rPr>
            </w:pPr>
            <w:r>
              <w:rPr>
                <w:rFonts w:hint="eastAsia"/>
                <w:b/>
                <w:bCs/>
                <w:sz w:val="21"/>
                <w:szCs w:val="21"/>
              </w:rPr>
              <w:t>工程内容</w:t>
            </w: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b/>
                <w:bCs/>
                <w:sz w:val="21"/>
                <w:szCs w:val="21"/>
              </w:rPr>
            </w:pPr>
            <w:r>
              <w:rPr>
                <w:rFonts w:hint="eastAsia"/>
                <w:b/>
                <w:bCs/>
                <w:sz w:val="21"/>
                <w:szCs w:val="21"/>
              </w:rPr>
              <w:t>规模</w:t>
            </w:r>
          </w:p>
        </w:tc>
        <w:tc>
          <w:tcPr>
            <w:tcW w:w="444"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b/>
                <w:bCs/>
                <w:sz w:val="21"/>
                <w:szCs w:val="21"/>
              </w:rPr>
            </w:pPr>
            <w:r>
              <w:rPr>
                <w:rFonts w:hint="eastAsia"/>
                <w:b/>
                <w:bCs/>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restar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主体工程</w:t>
            </w: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r>
              <w:rPr>
                <w:rFonts w:hint="eastAsia"/>
                <w:sz w:val="21"/>
                <w:szCs w:val="21"/>
              </w:rPr>
              <w:t>粗格栅</w:t>
            </w:r>
          </w:p>
        </w:tc>
        <w:tc>
          <w:tcPr>
            <w:tcW w:w="3059" w:type="pct"/>
            <w:tcBorders>
              <w:tl2br w:val="nil"/>
              <w:tr2bl w:val="nil"/>
            </w:tcBorders>
            <w:noWrap w:val="0"/>
            <w:vAlign w:val="top"/>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结构尺寸：1.6×0.6×3.0m；数量：1座；结构形式：钢砼地下式</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调节池</w:t>
            </w:r>
          </w:p>
        </w:tc>
        <w:tc>
          <w:tcPr>
            <w:tcW w:w="3059" w:type="pct"/>
            <w:tcBorders>
              <w:tl2br w:val="nil"/>
              <w:tr2bl w:val="nil"/>
            </w:tcBorders>
            <w:noWrap w:val="0"/>
            <w:vAlign w:val="top"/>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结构尺寸：1000m</w:t>
            </w:r>
            <w:r>
              <w:rPr>
                <w:rFonts w:hint="eastAsia"/>
                <w:sz w:val="21"/>
                <w:szCs w:val="21"/>
                <w:vertAlign w:val="superscript"/>
              </w:rPr>
              <w:t>3</w:t>
            </w:r>
            <w:r>
              <w:rPr>
                <w:rFonts w:hint="eastAsia"/>
                <w:sz w:val="21"/>
                <w:szCs w:val="21"/>
              </w:rPr>
              <w:t>数量：1座；结构形式：钢砼地下式</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spacing w:line="240" w:lineRule="auto"/>
              <w:ind w:firstLine="0" w:firstLineChars="0"/>
              <w:jc w:val="center"/>
              <w:rPr>
                <w:sz w:val="21"/>
                <w:szCs w:val="21"/>
              </w:rPr>
            </w:pPr>
            <w:r>
              <w:rPr>
                <w:sz w:val="21"/>
                <w:szCs w:val="21"/>
                <w:highlight w:val="none"/>
              </w:rPr>
              <w:t>反应池1</w:t>
            </w:r>
            <w:r>
              <w:rPr>
                <w:rFonts w:hint="eastAsia"/>
                <w:sz w:val="21"/>
                <w:szCs w:val="21"/>
                <w:highlight w:val="none"/>
                <w:lang w:val="en-US" w:eastAsia="zh-CN"/>
              </w:rPr>
              <w:t>#</w:t>
            </w:r>
          </w:p>
        </w:tc>
        <w:tc>
          <w:tcPr>
            <w:tcW w:w="3059"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rFonts w:hint="eastAsia"/>
                <w:sz w:val="21"/>
                <w:szCs w:val="21"/>
                <w:highlight w:val="none"/>
                <w:lang w:eastAsia="zh-CN"/>
              </w:rPr>
              <w:t>结构尺寸：</w:t>
            </w:r>
            <w:r>
              <w:rPr>
                <w:sz w:val="21"/>
                <w:szCs w:val="21"/>
                <w:highlight w:val="none"/>
              </w:rPr>
              <w:t>6.0×1.6×3.0</w:t>
            </w:r>
            <w:r>
              <w:rPr>
                <w:rFonts w:hint="eastAsia"/>
                <w:sz w:val="21"/>
                <w:szCs w:val="21"/>
                <w:highlight w:val="none"/>
                <w:lang w:val="en-US" w:eastAsia="zh-CN"/>
              </w:rPr>
              <w:t>m</w:t>
            </w:r>
            <w:r>
              <w:rPr>
                <w:rFonts w:hint="eastAsia"/>
                <w:sz w:val="21"/>
                <w:szCs w:val="21"/>
                <w:highlight w:val="none"/>
                <w:lang w:eastAsia="zh-CN"/>
              </w:rPr>
              <w:t>；</w:t>
            </w:r>
            <w:r>
              <w:rPr>
                <w:rFonts w:hint="eastAsia"/>
                <w:sz w:val="21"/>
                <w:szCs w:val="21"/>
                <w:highlight w:val="none"/>
                <w:lang w:val="en-US" w:eastAsia="zh-CN"/>
              </w:rPr>
              <w:t>数量：1座；结构形式：</w:t>
            </w:r>
            <w:r>
              <w:rPr>
                <w:kern w:val="0"/>
                <w:sz w:val="21"/>
                <w:szCs w:val="21"/>
                <w:highlight w:val="none"/>
              </w:rPr>
              <w:t>钢砼地下式</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spacing w:line="240" w:lineRule="auto"/>
              <w:ind w:firstLine="0" w:firstLineChars="0"/>
              <w:jc w:val="center"/>
              <w:rPr>
                <w:sz w:val="21"/>
                <w:szCs w:val="21"/>
              </w:rPr>
            </w:pPr>
            <w:r>
              <w:rPr>
                <w:sz w:val="21"/>
                <w:szCs w:val="21"/>
                <w:highlight w:val="none"/>
              </w:rPr>
              <w:t>反应池2</w:t>
            </w:r>
            <w:r>
              <w:rPr>
                <w:rFonts w:hint="eastAsia"/>
                <w:sz w:val="21"/>
                <w:szCs w:val="21"/>
                <w:highlight w:val="none"/>
                <w:lang w:val="en-US" w:eastAsia="zh-CN"/>
              </w:rPr>
              <w:t>#</w:t>
            </w:r>
          </w:p>
        </w:tc>
        <w:tc>
          <w:tcPr>
            <w:tcW w:w="3059"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rFonts w:hint="eastAsia"/>
                <w:sz w:val="21"/>
                <w:szCs w:val="21"/>
                <w:highlight w:val="none"/>
                <w:lang w:eastAsia="zh-CN"/>
              </w:rPr>
              <w:t>结构尺寸：</w:t>
            </w:r>
            <w:r>
              <w:rPr>
                <w:sz w:val="21"/>
                <w:szCs w:val="21"/>
                <w:highlight w:val="none"/>
              </w:rPr>
              <w:t>6.0×4.4×3.0</w:t>
            </w:r>
            <w:r>
              <w:rPr>
                <w:rFonts w:hint="eastAsia"/>
                <w:sz w:val="21"/>
                <w:szCs w:val="21"/>
                <w:highlight w:val="none"/>
                <w:lang w:val="en-US" w:eastAsia="zh-CN"/>
              </w:rPr>
              <w:t>m；数量：1座；结构形式：</w:t>
            </w:r>
            <w:r>
              <w:rPr>
                <w:kern w:val="0"/>
                <w:sz w:val="21"/>
                <w:szCs w:val="21"/>
                <w:highlight w:val="none"/>
              </w:rPr>
              <w:t>钢砼地下式</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sz w:val="21"/>
                <w:szCs w:val="21"/>
                <w:highlight w:val="none"/>
              </w:rPr>
              <w:t>混凝反应池1</w:t>
            </w:r>
            <w:r>
              <w:rPr>
                <w:rFonts w:hint="eastAsia"/>
                <w:sz w:val="21"/>
                <w:szCs w:val="21"/>
                <w:highlight w:val="none"/>
                <w:lang w:val="en-US" w:eastAsia="zh-CN"/>
              </w:rPr>
              <w:t>#</w:t>
            </w:r>
          </w:p>
        </w:tc>
        <w:tc>
          <w:tcPr>
            <w:tcW w:w="3059"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rFonts w:hint="eastAsia"/>
                <w:sz w:val="21"/>
                <w:szCs w:val="21"/>
                <w:highlight w:val="none"/>
                <w:lang w:eastAsia="zh-CN"/>
              </w:rPr>
              <w:t>结构尺寸：</w:t>
            </w:r>
            <w:r>
              <w:rPr>
                <w:sz w:val="21"/>
                <w:szCs w:val="21"/>
                <w:highlight w:val="none"/>
              </w:rPr>
              <w:t>6.0×6.0×3.0</w:t>
            </w:r>
            <w:r>
              <w:rPr>
                <w:rFonts w:hint="eastAsia"/>
                <w:sz w:val="21"/>
                <w:szCs w:val="21"/>
                <w:highlight w:val="none"/>
                <w:lang w:val="en-US" w:eastAsia="zh-CN"/>
              </w:rPr>
              <w:t>m；数量：1座；结构形式：</w:t>
            </w:r>
            <w:r>
              <w:rPr>
                <w:kern w:val="0"/>
                <w:sz w:val="21"/>
                <w:szCs w:val="21"/>
                <w:highlight w:val="none"/>
              </w:rPr>
              <w:t>钢砼地下式</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spacing w:line="240" w:lineRule="auto"/>
              <w:ind w:firstLine="0" w:firstLineChars="0"/>
              <w:jc w:val="center"/>
              <w:rPr>
                <w:sz w:val="21"/>
                <w:szCs w:val="21"/>
              </w:rPr>
            </w:pPr>
            <w:r>
              <w:rPr>
                <w:sz w:val="21"/>
                <w:szCs w:val="21"/>
                <w:highlight w:val="none"/>
              </w:rPr>
              <w:t>混凝反应池</w:t>
            </w:r>
            <w:r>
              <w:rPr>
                <w:rFonts w:hint="eastAsia"/>
                <w:sz w:val="21"/>
                <w:szCs w:val="21"/>
                <w:highlight w:val="none"/>
                <w:lang w:val="en-US" w:eastAsia="zh-CN"/>
              </w:rPr>
              <w:t>2#</w:t>
            </w:r>
          </w:p>
        </w:tc>
        <w:tc>
          <w:tcPr>
            <w:tcW w:w="3059" w:type="pct"/>
            <w:tcBorders>
              <w:tl2br w:val="nil"/>
              <w:tr2bl w:val="nil"/>
            </w:tcBorders>
            <w:noWrap w:val="0"/>
            <w:vAlign w:val="center"/>
          </w:tcPr>
          <w:p>
            <w:pPr>
              <w:widowControl w:val="0"/>
              <w:spacing w:line="240" w:lineRule="auto"/>
              <w:ind w:firstLine="0" w:firstLineChars="0"/>
              <w:jc w:val="center"/>
              <w:rPr>
                <w:sz w:val="21"/>
                <w:szCs w:val="21"/>
              </w:rPr>
            </w:pPr>
            <w:r>
              <w:rPr>
                <w:rFonts w:hint="eastAsia"/>
                <w:sz w:val="21"/>
                <w:szCs w:val="21"/>
                <w:highlight w:val="none"/>
                <w:lang w:eastAsia="zh-CN"/>
              </w:rPr>
              <w:t>结构尺寸：</w:t>
            </w:r>
            <w:r>
              <w:rPr>
                <w:sz w:val="21"/>
                <w:szCs w:val="21"/>
                <w:highlight w:val="none"/>
              </w:rPr>
              <w:t>6.0×6.0×3.0</w:t>
            </w:r>
            <w:r>
              <w:rPr>
                <w:rFonts w:hint="eastAsia"/>
                <w:sz w:val="21"/>
                <w:szCs w:val="21"/>
                <w:highlight w:val="none"/>
                <w:lang w:val="en-US" w:eastAsia="zh-CN"/>
              </w:rPr>
              <w:t>m；数量：1座；结构形式：</w:t>
            </w:r>
            <w:r>
              <w:rPr>
                <w:kern w:val="0"/>
                <w:sz w:val="21"/>
                <w:szCs w:val="21"/>
                <w:highlight w:val="none"/>
              </w:rPr>
              <w:t>钢砼地下式</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spacing w:line="240" w:lineRule="auto"/>
              <w:ind w:firstLine="0" w:firstLineChars="0"/>
              <w:jc w:val="center"/>
              <w:rPr>
                <w:sz w:val="21"/>
                <w:szCs w:val="21"/>
              </w:rPr>
            </w:pPr>
            <w:r>
              <w:rPr>
                <w:sz w:val="21"/>
                <w:szCs w:val="21"/>
                <w:highlight w:val="none"/>
              </w:rPr>
              <w:t>絮凝反应池</w:t>
            </w:r>
            <w:r>
              <w:rPr>
                <w:rFonts w:hint="eastAsia"/>
                <w:sz w:val="21"/>
                <w:szCs w:val="21"/>
                <w:highlight w:val="none"/>
                <w:lang w:val="en-US" w:eastAsia="zh-CN"/>
              </w:rPr>
              <w:t>1#</w:t>
            </w:r>
          </w:p>
        </w:tc>
        <w:tc>
          <w:tcPr>
            <w:tcW w:w="3059" w:type="pct"/>
            <w:tcBorders>
              <w:tl2br w:val="nil"/>
              <w:tr2bl w:val="nil"/>
            </w:tcBorders>
            <w:noWrap w:val="0"/>
            <w:vAlign w:val="center"/>
          </w:tcPr>
          <w:p>
            <w:pPr>
              <w:widowControl w:val="0"/>
              <w:spacing w:line="240" w:lineRule="auto"/>
              <w:ind w:firstLine="0" w:firstLineChars="0"/>
              <w:jc w:val="center"/>
              <w:rPr>
                <w:sz w:val="21"/>
                <w:szCs w:val="21"/>
              </w:rPr>
            </w:pPr>
            <w:r>
              <w:rPr>
                <w:rFonts w:hint="eastAsia"/>
                <w:sz w:val="21"/>
                <w:szCs w:val="21"/>
                <w:highlight w:val="none"/>
                <w:lang w:eastAsia="zh-CN"/>
              </w:rPr>
              <w:t>结构尺寸：</w:t>
            </w:r>
            <w:r>
              <w:rPr>
                <w:sz w:val="21"/>
                <w:szCs w:val="21"/>
                <w:highlight w:val="none"/>
              </w:rPr>
              <w:t>8.0×3.25×3.0</w:t>
            </w:r>
            <w:r>
              <w:rPr>
                <w:rFonts w:hint="eastAsia"/>
                <w:sz w:val="21"/>
                <w:szCs w:val="21"/>
                <w:highlight w:val="none"/>
                <w:lang w:val="en-US" w:eastAsia="zh-CN"/>
              </w:rPr>
              <w:t>m；数量：1座；结构形式：</w:t>
            </w:r>
            <w:r>
              <w:rPr>
                <w:kern w:val="0"/>
                <w:sz w:val="21"/>
                <w:szCs w:val="21"/>
                <w:highlight w:val="none"/>
              </w:rPr>
              <w:t>钢砼地下式</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sz w:val="21"/>
                <w:szCs w:val="21"/>
                <w:highlight w:val="none"/>
              </w:rPr>
              <w:t>絮凝反应池</w:t>
            </w:r>
            <w:r>
              <w:rPr>
                <w:rFonts w:hint="eastAsia"/>
                <w:sz w:val="21"/>
                <w:szCs w:val="21"/>
                <w:highlight w:val="none"/>
                <w:lang w:val="en-US" w:eastAsia="zh-CN"/>
              </w:rPr>
              <w:t>2#</w:t>
            </w:r>
          </w:p>
        </w:tc>
        <w:tc>
          <w:tcPr>
            <w:tcW w:w="3059"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rFonts w:hint="eastAsia"/>
                <w:sz w:val="21"/>
                <w:szCs w:val="21"/>
                <w:highlight w:val="none"/>
                <w:lang w:eastAsia="zh-CN"/>
              </w:rPr>
              <w:t>结构尺寸：</w:t>
            </w:r>
            <w:r>
              <w:rPr>
                <w:sz w:val="21"/>
                <w:szCs w:val="21"/>
                <w:highlight w:val="none"/>
              </w:rPr>
              <w:t>8.0×3.25×3.0</w:t>
            </w:r>
            <w:r>
              <w:rPr>
                <w:rFonts w:hint="eastAsia"/>
                <w:sz w:val="21"/>
                <w:szCs w:val="21"/>
                <w:highlight w:val="none"/>
                <w:lang w:val="en-US" w:eastAsia="zh-CN"/>
              </w:rPr>
              <w:t>m；数量：1座；结构形式：</w:t>
            </w:r>
            <w:r>
              <w:rPr>
                <w:kern w:val="0"/>
                <w:sz w:val="21"/>
                <w:szCs w:val="21"/>
                <w:highlight w:val="none"/>
              </w:rPr>
              <w:t>钢砼地下式</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rFonts w:hint="eastAsia"/>
                <w:sz w:val="21"/>
                <w:szCs w:val="21"/>
                <w:highlight w:val="none"/>
                <w:lang w:eastAsia="zh-CN"/>
              </w:rPr>
              <w:t>二</w:t>
            </w:r>
            <w:r>
              <w:rPr>
                <w:sz w:val="21"/>
                <w:szCs w:val="21"/>
                <w:highlight w:val="none"/>
              </w:rPr>
              <w:t>沉池</w:t>
            </w:r>
          </w:p>
        </w:tc>
        <w:tc>
          <w:tcPr>
            <w:tcW w:w="3059"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rFonts w:hint="eastAsia"/>
                <w:sz w:val="21"/>
                <w:szCs w:val="21"/>
                <w:highlight w:val="none"/>
                <w:lang w:eastAsia="zh-CN"/>
              </w:rPr>
              <w:t>结构尺寸：</w:t>
            </w:r>
            <w:r>
              <w:rPr>
                <w:sz w:val="21"/>
                <w:szCs w:val="21"/>
                <w:highlight w:val="none"/>
              </w:rPr>
              <w:t>8.0×8.0×5.0</w:t>
            </w:r>
            <w:r>
              <w:rPr>
                <w:rFonts w:hint="eastAsia"/>
                <w:sz w:val="21"/>
                <w:szCs w:val="21"/>
                <w:highlight w:val="none"/>
                <w:lang w:val="en-US" w:eastAsia="zh-CN"/>
              </w:rPr>
              <w:t>m；数量：1座；结构形式：</w:t>
            </w:r>
            <w:r>
              <w:rPr>
                <w:kern w:val="0"/>
                <w:sz w:val="21"/>
                <w:szCs w:val="21"/>
                <w:highlight w:val="none"/>
              </w:rPr>
              <w:t>钢砼地下式</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sz w:val="21"/>
                <w:szCs w:val="21"/>
                <w:highlight w:val="none"/>
              </w:rPr>
              <w:t>反应池3</w:t>
            </w:r>
            <w:r>
              <w:rPr>
                <w:rFonts w:hint="eastAsia"/>
                <w:sz w:val="21"/>
                <w:szCs w:val="21"/>
                <w:highlight w:val="none"/>
                <w:lang w:val="en-US" w:eastAsia="zh-CN"/>
              </w:rPr>
              <w:t>#</w:t>
            </w:r>
          </w:p>
        </w:tc>
        <w:tc>
          <w:tcPr>
            <w:tcW w:w="3059"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rFonts w:hint="eastAsia"/>
                <w:sz w:val="21"/>
                <w:szCs w:val="21"/>
                <w:highlight w:val="none"/>
                <w:lang w:eastAsia="zh-CN"/>
              </w:rPr>
              <w:t>结构尺寸：</w:t>
            </w:r>
            <w:r>
              <w:rPr>
                <w:sz w:val="21"/>
                <w:szCs w:val="21"/>
                <w:highlight w:val="none"/>
              </w:rPr>
              <w:t>6.0×1.6×3.0</w:t>
            </w:r>
            <w:r>
              <w:rPr>
                <w:rFonts w:hint="eastAsia"/>
                <w:sz w:val="21"/>
                <w:szCs w:val="21"/>
                <w:highlight w:val="none"/>
                <w:lang w:val="en-US" w:eastAsia="zh-CN"/>
              </w:rPr>
              <w:t>m；数量：1座；结构形式：</w:t>
            </w:r>
            <w:r>
              <w:rPr>
                <w:kern w:val="0"/>
                <w:sz w:val="21"/>
                <w:szCs w:val="21"/>
                <w:highlight w:val="none"/>
              </w:rPr>
              <w:t>钢砼地下式</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sz w:val="21"/>
                <w:szCs w:val="21"/>
                <w:highlight w:val="none"/>
              </w:rPr>
              <w:t>反应池4</w:t>
            </w:r>
            <w:r>
              <w:rPr>
                <w:rFonts w:hint="eastAsia"/>
                <w:sz w:val="21"/>
                <w:szCs w:val="21"/>
                <w:highlight w:val="none"/>
                <w:lang w:val="en-US" w:eastAsia="zh-CN"/>
              </w:rPr>
              <w:t>#</w:t>
            </w:r>
          </w:p>
        </w:tc>
        <w:tc>
          <w:tcPr>
            <w:tcW w:w="3059"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rFonts w:hint="eastAsia"/>
                <w:sz w:val="21"/>
                <w:szCs w:val="21"/>
                <w:highlight w:val="none"/>
                <w:lang w:eastAsia="zh-CN"/>
              </w:rPr>
              <w:t>结构尺寸：</w:t>
            </w:r>
            <w:r>
              <w:rPr>
                <w:sz w:val="21"/>
                <w:szCs w:val="21"/>
                <w:highlight w:val="none"/>
              </w:rPr>
              <w:t>6.0×4.4×3.0</w:t>
            </w:r>
            <w:r>
              <w:rPr>
                <w:rFonts w:hint="eastAsia"/>
                <w:sz w:val="21"/>
                <w:szCs w:val="21"/>
                <w:highlight w:val="none"/>
                <w:lang w:val="en-US" w:eastAsia="zh-CN"/>
              </w:rPr>
              <w:t>m</w:t>
            </w:r>
            <w:r>
              <w:rPr>
                <w:rFonts w:hint="eastAsia"/>
                <w:sz w:val="21"/>
                <w:szCs w:val="21"/>
                <w:highlight w:val="none"/>
                <w:lang w:eastAsia="zh-CN"/>
              </w:rPr>
              <w:t>；</w:t>
            </w:r>
            <w:r>
              <w:rPr>
                <w:rFonts w:hint="eastAsia"/>
                <w:sz w:val="21"/>
                <w:szCs w:val="21"/>
                <w:highlight w:val="none"/>
                <w:lang w:val="en-US" w:eastAsia="zh-CN"/>
              </w:rPr>
              <w:t>数量：1座；结构形式：</w:t>
            </w:r>
            <w:r>
              <w:rPr>
                <w:kern w:val="0"/>
                <w:sz w:val="21"/>
                <w:szCs w:val="21"/>
                <w:highlight w:val="none"/>
              </w:rPr>
              <w:t>钢砼地下式</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rFonts w:hint="eastAsia"/>
                <w:sz w:val="21"/>
                <w:szCs w:val="21"/>
                <w:highlight w:val="none"/>
                <w:lang w:eastAsia="zh-CN"/>
              </w:rPr>
              <w:t>絮凝</w:t>
            </w:r>
            <w:r>
              <w:rPr>
                <w:sz w:val="21"/>
                <w:szCs w:val="21"/>
                <w:highlight w:val="none"/>
              </w:rPr>
              <w:t>沉淀池</w:t>
            </w:r>
          </w:p>
        </w:tc>
        <w:tc>
          <w:tcPr>
            <w:tcW w:w="3059"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rFonts w:hint="eastAsia"/>
                <w:sz w:val="21"/>
                <w:szCs w:val="21"/>
                <w:highlight w:val="none"/>
                <w:lang w:eastAsia="zh-CN"/>
              </w:rPr>
              <w:t>结构尺寸：</w:t>
            </w:r>
            <w:r>
              <w:rPr>
                <w:sz w:val="21"/>
                <w:szCs w:val="21"/>
                <w:highlight w:val="none"/>
              </w:rPr>
              <w:t>8.0×</w:t>
            </w:r>
            <w:r>
              <w:rPr>
                <w:rFonts w:hint="eastAsia"/>
                <w:sz w:val="21"/>
                <w:szCs w:val="21"/>
                <w:highlight w:val="none"/>
                <w:lang w:val="en-US" w:eastAsia="zh-CN"/>
              </w:rPr>
              <w:t>8.0</w:t>
            </w:r>
            <w:r>
              <w:rPr>
                <w:sz w:val="21"/>
                <w:szCs w:val="21"/>
                <w:highlight w:val="none"/>
              </w:rPr>
              <w:t>×</w:t>
            </w:r>
            <w:r>
              <w:rPr>
                <w:rFonts w:hint="eastAsia"/>
                <w:sz w:val="21"/>
                <w:szCs w:val="21"/>
                <w:highlight w:val="none"/>
                <w:lang w:val="en-US" w:eastAsia="zh-CN"/>
              </w:rPr>
              <w:t>5</w:t>
            </w:r>
            <w:r>
              <w:rPr>
                <w:sz w:val="21"/>
                <w:szCs w:val="21"/>
                <w:highlight w:val="none"/>
              </w:rPr>
              <w:t>.0</w:t>
            </w:r>
            <w:r>
              <w:rPr>
                <w:rFonts w:hint="eastAsia"/>
                <w:sz w:val="21"/>
                <w:szCs w:val="21"/>
                <w:highlight w:val="none"/>
                <w:lang w:val="en-US" w:eastAsia="zh-CN"/>
              </w:rPr>
              <w:t>m；数量：1座；结构形式：</w:t>
            </w:r>
            <w:r>
              <w:rPr>
                <w:kern w:val="0"/>
                <w:sz w:val="21"/>
                <w:szCs w:val="21"/>
                <w:highlight w:val="none"/>
              </w:rPr>
              <w:t>钢砼地下式</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sz w:val="21"/>
                <w:szCs w:val="21"/>
                <w:highlight w:val="none"/>
              </w:rPr>
              <w:t>中间水池</w:t>
            </w:r>
          </w:p>
        </w:tc>
        <w:tc>
          <w:tcPr>
            <w:tcW w:w="3059"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rFonts w:hint="eastAsia"/>
                <w:sz w:val="21"/>
                <w:szCs w:val="21"/>
                <w:highlight w:val="none"/>
                <w:lang w:eastAsia="zh-CN"/>
              </w:rPr>
              <w:t>结构尺寸：</w:t>
            </w:r>
            <w:r>
              <w:rPr>
                <w:sz w:val="21"/>
                <w:szCs w:val="21"/>
                <w:highlight w:val="none"/>
              </w:rPr>
              <w:t>8.0×</w:t>
            </w:r>
            <w:r>
              <w:rPr>
                <w:rFonts w:hint="eastAsia"/>
                <w:sz w:val="21"/>
                <w:szCs w:val="21"/>
                <w:highlight w:val="none"/>
                <w:lang w:val="en-US" w:eastAsia="zh-CN"/>
              </w:rPr>
              <w:t>4.0</w:t>
            </w:r>
            <w:r>
              <w:rPr>
                <w:sz w:val="21"/>
                <w:szCs w:val="21"/>
                <w:highlight w:val="none"/>
              </w:rPr>
              <w:t>×</w:t>
            </w:r>
            <w:r>
              <w:rPr>
                <w:rFonts w:hint="eastAsia"/>
                <w:sz w:val="21"/>
                <w:szCs w:val="21"/>
                <w:highlight w:val="none"/>
                <w:lang w:val="en-US" w:eastAsia="zh-CN"/>
              </w:rPr>
              <w:t>5</w:t>
            </w:r>
            <w:r>
              <w:rPr>
                <w:sz w:val="21"/>
                <w:szCs w:val="21"/>
                <w:highlight w:val="none"/>
              </w:rPr>
              <w:t>.0</w:t>
            </w:r>
            <w:r>
              <w:rPr>
                <w:rFonts w:hint="eastAsia"/>
                <w:sz w:val="21"/>
                <w:szCs w:val="21"/>
                <w:highlight w:val="none"/>
                <w:lang w:val="en-US" w:eastAsia="zh-CN"/>
              </w:rPr>
              <w:t>m；数量：1座；结构形式：</w:t>
            </w:r>
            <w:r>
              <w:rPr>
                <w:kern w:val="0"/>
                <w:sz w:val="21"/>
                <w:szCs w:val="21"/>
                <w:highlight w:val="none"/>
              </w:rPr>
              <w:t>钢砼地下式</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sz w:val="21"/>
                <w:szCs w:val="21"/>
                <w:highlight w:val="none"/>
              </w:rPr>
              <w:t>清水池</w:t>
            </w:r>
          </w:p>
        </w:tc>
        <w:tc>
          <w:tcPr>
            <w:tcW w:w="3059"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rFonts w:hint="eastAsia"/>
                <w:sz w:val="21"/>
                <w:szCs w:val="21"/>
                <w:highlight w:val="none"/>
                <w:lang w:eastAsia="zh-CN"/>
              </w:rPr>
              <w:t>结构尺寸：</w:t>
            </w:r>
            <w:r>
              <w:rPr>
                <w:sz w:val="21"/>
                <w:szCs w:val="21"/>
                <w:highlight w:val="none"/>
              </w:rPr>
              <w:t>8.0×</w:t>
            </w:r>
            <w:r>
              <w:rPr>
                <w:rFonts w:hint="eastAsia"/>
                <w:sz w:val="21"/>
                <w:szCs w:val="21"/>
                <w:highlight w:val="none"/>
                <w:lang w:val="en-US" w:eastAsia="zh-CN"/>
              </w:rPr>
              <w:t>8.0</w:t>
            </w:r>
            <w:r>
              <w:rPr>
                <w:sz w:val="21"/>
                <w:szCs w:val="21"/>
                <w:highlight w:val="none"/>
              </w:rPr>
              <w:t>×</w:t>
            </w:r>
            <w:r>
              <w:rPr>
                <w:rFonts w:hint="eastAsia"/>
                <w:sz w:val="21"/>
                <w:szCs w:val="21"/>
                <w:highlight w:val="none"/>
                <w:lang w:val="en-US" w:eastAsia="zh-CN"/>
              </w:rPr>
              <w:t>5</w:t>
            </w:r>
            <w:r>
              <w:rPr>
                <w:sz w:val="21"/>
                <w:szCs w:val="21"/>
                <w:highlight w:val="none"/>
              </w:rPr>
              <w:t>.0</w:t>
            </w:r>
            <w:r>
              <w:rPr>
                <w:rFonts w:hint="eastAsia"/>
                <w:sz w:val="21"/>
                <w:szCs w:val="21"/>
                <w:highlight w:val="none"/>
                <w:lang w:val="en-US" w:eastAsia="zh-CN"/>
              </w:rPr>
              <w:t>m；数量：1座；结构形式：</w:t>
            </w:r>
            <w:r>
              <w:rPr>
                <w:kern w:val="0"/>
                <w:sz w:val="21"/>
                <w:szCs w:val="21"/>
                <w:highlight w:val="none"/>
              </w:rPr>
              <w:t>钢砼地下式</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sz w:val="21"/>
                <w:szCs w:val="21"/>
                <w:highlight w:val="none"/>
              </w:rPr>
              <w:t>污泥池</w:t>
            </w:r>
          </w:p>
        </w:tc>
        <w:tc>
          <w:tcPr>
            <w:tcW w:w="3059"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rFonts w:hint="eastAsia"/>
                <w:sz w:val="21"/>
                <w:szCs w:val="21"/>
                <w:highlight w:val="none"/>
                <w:lang w:eastAsia="zh-CN"/>
              </w:rPr>
              <w:t>结构尺寸：</w:t>
            </w:r>
            <w:r>
              <w:rPr>
                <w:sz w:val="21"/>
                <w:szCs w:val="21"/>
                <w:highlight w:val="none"/>
              </w:rPr>
              <w:t>8.0×</w:t>
            </w:r>
            <w:r>
              <w:rPr>
                <w:rFonts w:hint="eastAsia"/>
                <w:sz w:val="21"/>
                <w:szCs w:val="21"/>
                <w:highlight w:val="none"/>
                <w:lang w:val="en-US" w:eastAsia="zh-CN"/>
              </w:rPr>
              <w:t>8.0</w:t>
            </w:r>
            <w:r>
              <w:rPr>
                <w:sz w:val="21"/>
                <w:szCs w:val="21"/>
                <w:highlight w:val="none"/>
              </w:rPr>
              <w:t>×</w:t>
            </w:r>
            <w:r>
              <w:rPr>
                <w:rFonts w:hint="eastAsia"/>
                <w:sz w:val="21"/>
                <w:szCs w:val="21"/>
                <w:highlight w:val="none"/>
                <w:lang w:val="en-US" w:eastAsia="zh-CN"/>
              </w:rPr>
              <w:t>5</w:t>
            </w:r>
            <w:r>
              <w:rPr>
                <w:sz w:val="21"/>
                <w:szCs w:val="21"/>
                <w:highlight w:val="none"/>
              </w:rPr>
              <w:t>.0</w:t>
            </w:r>
            <w:r>
              <w:rPr>
                <w:rFonts w:hint="eastAsia"/>
                <w:sz w:val="21"/>
                <w:szCs w:val="21"/>
                <w:highlight w:val="none"/>
                <w:lang w:val="en-US" w:eastAsia="zh-CN"/>
              </w:rPr>
              <w:t>m；数量：1座；结构形式：</w:t>
            </w:r>
            <w:r>
              <w:rPr>
                <w:kern w:val="0"/>
                <w:sz w:val="21"/>
                <w:szCs w:val="21"/>
                <w:highlight w:val="none"/>
              </w:rPr>
              <w:t>钢砼地下式</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eastAsia="宋体"/>
                <w:sz w:val="21"/>
                <w:szCs w:val="21"/>
                <w:lang w:eastAsia="zh-CN"/>
              </w:rPr>
            </w:pPr>
            <w:r>
              <w:rPr>
                <w:rFonts w:hint="eastAsia" w:eastAsia="宋体"/>
                <w:sz w:val="21"/>
                <w:szCs w:val="21"/>
                <w:lang w:eastAsia="zh-CN"/>
              </w:rPr>
              <w:t>缓冲池</w:t>
            </w: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结构尺寸：8.0×4.0×5.0m；数量：1座；结构形式：钢砼地下式</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restar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eastAsia="宋体"/>
                <w:sz w:val="21"/>
                <w:szCs w:val="21"/>
                <w:lang w:eastAsia="zh-CN"/>
              </w:rPr>
            </w:pPr>
            <w:r>
              <w:rPr>
                <w:rFonts w:hint="eastAsia"/>
                <w:sz w:val="21"/>
                <w:szCs w:val="21"/>
                <w:lang w:eastAsia="zh-CN"/>
              </w:rPr>
              <w:t>辅助工程</w:t>
            </w: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eastAsia="宋体"/>
                <w:sz w:val="21"/>
                <w:szCs w:val="21"/>
                <w:lang w:eastAsia="zh-CN"/>
              </w:rPr>
            </w:pPr>
            <w:r>
              <w:rPr>
                <w:rFonts w:hint="eastAsia"/>
                <w:sz w:val="21"/>
                <w:szCs w:val="21"/>
                <w:lang w:eastAsia="zh-CN"/>
              </w:rPr>
              <w:t>纳污管网</w:t>
            </w: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管网2100m</w:t>
            </w:r>
            <w:r>
              <w:rPr>
                <w:rFonts w:hint="eastAsia"/>
                <w:sz w:val="21"/>
                <w:szCs w:val="21"/>
                <w:lang w:eastAsia="zh-CN"/>
              </w:rPr>
              <w:t>：</w:t>
            </w:r>
            <w:r>
              <w:rPr>
                <w:rFonts w:hint="eastAsia"/>
                <w:sz w:val="21"/>
                <w:szCs w:val="21"/>
              </w:rPr>
              <w:t>采用HDPE双壁波纹管DN300/SN8</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电控室</w:t>
            </w: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结构尺寸：7.48×6.0×3.3m；数量：1座；结构形式：砖混</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加药间</w:t>
            </w: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结构尺寸：10.0×6.0×3.3m；数量：1座；结构形式：砖混</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值班间</w:t>
            </w: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结构尺寸：4.0×6.0×3.3m；数量：1座；结构形式：砖混</w:t>
            </w:r>
          </w:p>
        </w:tc>
        <w:tc>
          <w:tcPr>
            <w:tcW w:w="444"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风机房</w:t>
            </w: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结构尺寸：6.0×6.0×3.3m；数量：1座；结构形式：砖混</w:t>
            </w:r>
          </w:p>
        </w:tc>
        <w:tc>
          <w:tcPr>
            <w:tcW w:w="444"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储存室</w:t>
            </w: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结构尺寸：6.0×6.0×3.3m；数量：1座；结构形式：砖混</w:t>
            </w:r>
          </w:p>
        </w:tc>
        <w:tc>
          <w:tcPr>
            <w:tcW w:w="444"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lang w:eastAsia="zh-CN"/>
              </w:rPr>
              <w:t>污泥脱水</w:t>
            </w:r>
            <w:r>
              <w:rPr>
                <w:rFonts w:hint="eastAsia"/>
                <w:sz w:val="21"/>
                <w:szCs w:val="21"/>
              </w:rPr>
              <w:t>房</w:t>
            </w: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结构尺寸：7.0×6.0×3.3m；数量：1座；结构形式：砖混</w:t>
            </w:r>
          </w:p>
        </w:tc>
        <w:tc>
          <w:tcPr>
            <w:tcW w:w="444" w:type="pct"/>
            <w:tcBorders>
              <w:tl2br w:val="nil"/>
              <w:tr2bl w:val="nil"/>
            </w:tcBorders>
            <w:noWrap w:val="0"/>
            <w:vAlign w:val="center"/>
          </w:tcPr>
          <w:p>
            <w:pPr>
              <w:widowControl w:val="0"/>
              <w:spacing w:line="240" w:lineRule="auto"/>
              <w:ind w:firstLine="0" w:firstLineChars="0"/>
              <w:jc w:val="center"/>
              <w:rPr>
                <w:rFonts w:hint="eastAsia"/>
                <w:sz w:val="21"/>
                <w:szCs w:val="21"/>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color w:val="auto"/>
                <w:sz w:val="21"/>
                <w:szCs w:val="21"/>
                <w:lang w:eastAsia="zh-CN"/>
              </w:rPr>
            </w:pPr>
            <w:r>
              <w:rPr>
                <w:rFonts w:hint="eastAsia"/>
                <w:color w:val="auto"/>
                <w:sz w:val="21"/>
                <w:szCs w:val="21"/>
                <w:lang w:eastAsia="zh-CN"/>
              </w:rPr>
              <w:t>提升泵站</w:t>
            </w: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eastAsia="zh-CN"/>
              </w:rPr>
              <w:t>占地</w:t>
            </w:r>
            <w:r>
              <w:rPr>
                <w:rFonts w:hint="eastAsia"/>
                <w:color w:val="auto"/>
                <w:sz w:val="21"/>
                <w:szCs w:val="21"/>
                <w:lang w:val="en-US" w:eastAsia="zh-CN"/>
              </w:rPr>
              <w:t>10m</w:t>
            </w:r>
            <w:r>
              <w:rPr>
                <w:rFonts w:hint="eastAsia"/>
                <w:color w:val="auto"/>
                <w:sz w:val="21"/>
                <w:szCs w:val="21"/>
                <w:vertAlign w:val="superscript"/>
                <w:lang w:val="en-US" w:eastAsia="zh-CN"/>
              </w:rPr>
              <w:t>2</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27" w:type="pct"/>
            <w:vMerge w:val="restart"/>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r>
              <w:rPr>
                <w:rFonts w:hint="eastAsia"/>
                <w:sz w:val="21"/>
                <w:szCs w:val="21"/>
              </w:rPr>
              <w:t>公用工程</w:t>
            </w: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给水工程</w:t>
            </w: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r>
              <w:rPr>
                <w:rFonts w:hint="eastAsia"/>
                <w:sz w:val="21"/>
                <w:szCs w:val="21"/>
                <w:lang w:eastAsia="zh-CN"/>
              </w:rPr>
              <w:t>城市供水管网，</w:t>
            </w:r>
            <w:r>
              <w:rPr>
                <w:rFonts w:hint="eastAsia"/>
                <w:sz w:val="21"/>
                <w:szCs w:val="21"/>
              </w:rPr>
              <w:t>由工业集中区内园富路供水干管接入</w:t>
            </w:r>
          </w:p>
        </w:tc>
        <w:tc>
          <w:tcPr>
            <w:tcW w:w="444" w:type="pct"/>
            <w:tcBorders>
              <w:tl2br w:val="nil"/>
              <w:tr2bl w:val="nil"/>
            </w:tcBorders>
            <w:noWrap w:val="0"/>
            <w:vAlign w:val="center"/>
          </w:tcPr>
          <w:p>
            <w:pPr>
              <w:widowControl w:val="0"/>
              <w:spacing w:line="240" w:lineRule="auto"/>
              <w:ind w:firstLine="0" w:firstLineChars="0"/>
              <w:jc w:val="center"/>
              <w:rPr>
                <w:sz w:val="21"/>
                <w:szCs w:val="21"/>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排水工程</w:t>
            </w:r>
          </w:p>
        </w:tc>
        <w:tc>
          <w:tcPr>
            <w:tcW w:w="3059" w:type="pct"/>
            <w:tcBorders>
              <w:tl2br w:val="nil"/>
              <w:tr2bl w:val="nil"/>
            </w:tcBorders>
            <w:noWrap w:val="0"/>
            <w:vAlign w:val="top"/>
          </w:tcPr>
          <w:p>
            <w:pPr>
              <w:widowControl w:val="0"/>
              <w:kinsoku w:val="0"/>
              <w:wordWrap w:val="0"/>
              <w:overflowPunct w:val="0"/>
              <w:topLinePunct/>
              <w:spacing w:line="240" w:lineRule="auto"/>
              <w:ind w:firstLine="0" w:firstLineChars="0"/>
              <w:jc w:val="center"/>
              <w:rPr>
                <w:rFonts w:hint="eastAsia" w:eastAsia="宋体"/>
                <w:sz w:val="21"/>
                <w:szCs w:val="21"/>
                <w:lang w:eastAsia="zh-CN"/>
              </w:rPr>
            </w:pPr>
            <w:r>
              <w:rPr>
                <w:rFonts w:hint="eastAsia"/>
                <w:sz w:val="21"/>
                <w:szCs w:val="21"/>
                <w:lang w:eastAsia="zh-CN"/>
              </w:rPr>
              <w:t>出水达标排放至花垣工业集中区污水处理厂</w:t>
            </w:r>
          </w:p>
        </w:tc>
        <w:tc>
          <w:tcPr>
            <w:tcW w:w="444" w:type="pct"/>
            <w:tcBorders>
              <w:tl2br w:val="nil"/>
              <w:tr2bl w:val="nil"/>
            </w:tcBorders>
            <w:noWrap w:val="0"/>
            <w:vAlign w:val="center"/>
          </w:tcPr>
          <w:p>
            <w:pPr>
              <w:widowControl w:val="0"/>
              <w:spacing w:line="240" w:lineRule="auto"/>
              <w:ind w:firstLine="0" w:firstLineChars="0"/>
              <w:jc w:val="center"/>
              <w:rPr>
                <w:sz w:val="21"/>
                <w:szCs w:val="21"/>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供电工程</w:t>
            </w: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r>
              <w:rPr>
                <w:rFonts w:hint="eastAsia"/>
                <w:bCs/>
                <w:color w:val="000000"/>
                <w:kern w:val="0"/>
                <w:sz w:val="21"/>
                <w:szCs w:val="21"/>
              </w:rPr>
              <w:t>本工程电源从花垣县工业集中区 配电室处引出1回架空供电线路接至本项目的电控室</w:t>
            </w:r>
          </w:p>
        </w:tc>
        <w:tc>
          <w:tcPr>
            <w:tcW w:w="444" w:type="pct"/>
            <w:tcBorders>
              <w:tl2br w:val="nil"/>
              <w:tr2bl w:val="nil"/>
            </w:tcBorders>
            <w:noWrap w:val="0"/>
            <w:vAlign w:val="center"/>
          </w:tcPr>
          <w:p>
            <w:pPr>
              <w:widowControl w:val="0"/>
              <w:spacing w:line="240" w:lineRule="auto"/>
              <w:ind w:firstLine="0" w:firstLineChars="0"/>
              <w:jc w:val="center"/>
              <w:rPr>
                <w:sz w:val="21"/>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rPr>
              <w:t>采暖通风</w:t>
            </w: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bCs/>
                <w:color w:val="000000"/>
                <w:kern w:val="0"/>
                <w:sz w:val="21"/>
                <w:szCs w:val="21"/>
              </w:rPr>
            </w:pPr>
            <w:r>
              <w:rPr>
                <w:rFonts w:hint="eastAsia"/>
                <w:bCs/>
                <w:color w:val="000000"/>
                <w:kern w:val="0"/>
                <w:sz w:val="21"/>
                <w:szCs w:val="21"/>
              </w:rPr>
              <w:t>在</w:t>
            </w:r>
            <w:r>
              <w:rPr>
                <w:rFonts w:hint="eastAsia"/>
                <w:bCs/>
                <w:color w:val="000000"/>
                <w:kern w:val="0"/>
                <w:sz w:val="21"/>
                <w:szCs w:val="21"/>
                <w:lang w:eastAsia="zh-CN"/>
              </w:rPr>
              <w:t>值班室</w:t>
            </w:r>
            <w:r>
              <w:rPr>
                <w:rFonts w:hint="eastAsia"/>
                <w:bCs/>
                <w:color w:val="000000"/>
                <w:kern w:val="0"/>
                <w:sz w:val="21"/>
                <w:szCs w:val="21"/>
              </w:rPr>
              <w:t>设置分体式冷暖空调</w:t>
            </w:r>
          </w:p>
        </w:tc>
        <w:tc>
          <w:tcPr>
            <w:tcW w:w="444" w:type="pct"/>
            <w:tcBorders>
              <w:tl2br w:val="nil"/>
              <w:tr2bl w:val="nil"/>
            </w:tcBorders>
            <w:noWrap w:val="0"/>
            <w:vAlign w:val="center"/>
          </w:tcPr>
          <w:p>
            <w:pPr>
              <w:widowControl w:val="0"/>
              <w:spacing w:line="240" w:lineRule="auto"/>
              <w:ind w:firstLine="0" w:firstLineChars="0"/>
              <w:jc w:val="center"/>
              <w:rPr>
                <w:sz w:val="21"/>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bCs/>
                <w:color w:val="000000"/>
                <w:kern w:val="0"/>
                <w:sz w:val="21"/>
                <w:szCs w:val="21"/>
              </w:rPr>
            </w:pPr>
            <w:r>
              <w:rPr>
                <w:rFonts w:hint="eastAsia"/>
                <w:sz w:val="21"/>
                <w:szCs w:val="21"/>
              </w:rPr>
              <w:t>消防</w:t>
            </w: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bCs/>
                <w:color w:val="000000"/>
                <w:kern w:val="0"/>
                <w:sz w:val="21"/>
                <w:szCs w:val="21"/>
              </w:rPr>
            </w:pPr>
            <w:r>
              <w:rPr>
                <w:rFonts w:hint="eastAsia"/>
                <w:bCs/>
                <w:color w:val="000000"/>
                <w:kern w:val="0"/>
                <w:sz w:val="21"/>
                <w:szCs w:val="21"/>
              </w:rPr>
              <w:t>室内消防栓系统、室外消防栓系统、配备一定数量消防灭火器</w:t>
            </w:r>
          </w:p>
        </w:tc>
        <w:tc>
          <w:tcPr>
            <w:tcW w:w="444" w:type="pct"/>
            <w:tcBorders>
              <w:tl2br w:val="nil"/>
              <w:tr2bl w:val="nil"/>
            </w:tcBorders>
            <w:noWrap w:val="0"/>
            <w:vAlign w:val="center"/>
          </w:tcPr>
          <w:p>
            <w:pPr>
              <w:widowControl w:val="0"/>
              <w:spacing w:line="240" w:lineRule="auto"/>
              <w:ind w:firstLine="0" w:firstLineChars="0"/>
              <w:jc w:val="center"/>
              <w:rPr>
                <w:sz w:val="21"/>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restart"/>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r>
              <w:rPr>
                <w:rFonts w:hint="eastAsia"/>
                <w:sz w:val="21"/>
                <w:szCs w:val="21"/>
              </w:rPr>
              <w:t>环保工程</w:t>
            </w: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r>
              <w:rPr>
                <w:rFonts w:hint="eastAsia"/>
                <w:sz w:val="21"/>
                <w:szCs w:val="21"/>
              </w:rPr>
              <w:t>噪声治理</w:t>
            </w: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r>
              <w:rPr>
                <w:rFonts w:hint="eastAsia"/>
                <w:sz w:val="21"/>
                <w:szCs w:val="21"/>
              </w:rPr>
              <w:t>减震、隔声、减噪设备</w:t>
            </w:r>
          </w:p>
        </w:tc>
        <w:tc>
          <w:tcPr>
            <w:tcW w:w="444" w:type="pct"/>
            <w:tcBorders>
              <w:tl2br w:val="nil"/>
              <w:tr2bl w:val="nil"/>
            </w:tcBorders>
            <w:noWrap w:val="0"/>
            <w:vAlign w:val="center"/>
          </w:tcPr>
          <w:p>
            <w:pPr>
              <w:widowControl w:val="0"/>
              <w:spacing w:line="240" w:lineRule="auto"/>
              <w:ind w:firstLine="0" w:firstLineChars="0"/>
              <w:jc w:val="center"/>
              <w:rPr>
                <w:sz w:val="21"/>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r>
              <w:rPr>
                <w:rFonts w:hint="eastAsia"/>
                <w:sz w:val="21"/>
                <w:szCs w:val="21"/>
              </w:rPr>
              <w:t>废气治理</w:t>
            </w: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eastAsia="宋体"/>
                <w:sz w:val="21"/>
                <w:szCs w:val="21"/>
                <w:lang w:eastAsia="zh-CN"/>
              </w:rPr>
            </w:pPr>
            <w:r>
              <w:rPr>
                <w:rFonts w:hint="eastAsia"/>
                <w:sz w:val="21"/>
                <w:szCs w:val="21"/>
                <w:lang w:eastAsia="zh-CN"/>
              </w:rPr>
              <w:t>厂区绿化</w:t>
            </w:r>
          </w:p>
        </w:tc>
        <w:tc>
          <w:tcPr>
            <w:tcW w:w="444" w:type="pct"/>
            <w:tcBorders>
              <w:tl2br w:val="nil"/>
              <w:tr2bl w:val="nil"/>
            </w:tcBorders>
            <w:noWrap w:val="0"/>
            <w:vAlign w:val="center"/>
          </w:tcPr>
          <w:p>
            <w:pPr>
              <w:widowControl w:val="0"/>
              <w:spacing w:line="240" w:lineRule="auto"/>
              <w:ind w:firstLine="0" w:firstLineChars="0"/>
              <w:jc w:val="center"/>
              <w:rPr>
                <w:sz w:val="21"/>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vMerge w:val="restar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eastAsia="宋体"/>
                <w:sz w:val="21"/>
                <w:szCs w:val="21"/>
                <w:lang w:eastAsia="zh-CN"/>
              </w:rPr>
            </w:pPr>
            <w:r>
              <w:rPr>
                <w:rFonts w:hint="eastAsia"/>
                <w:sz w:val="21"/>
                <w:szCs w:val="21"/>
                <w:lang w:eastAsia="zh-CN"/>
              </w:rPr>
              <w:t>废水治理</w:t>
            </w: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lang w:eastAsia="zh-CN"/>
              </w:rPr>
            </w:pPr>
            <w:r>
              <w:rPr>
                <w:rFonts w:hint="eastAsia"/>
                <w:sz w:val="21"/>
                <w:szCs w:val="21"/>
                <w:lang w:eastAsia="zh-CN"/>
              </w:rPr>
              <w:t>工艺尾水：排入花垣工业集中区污水处理厂，</w:t>
            </w:r>
            <w:r>
              <w:rPr>
                <w:rFonts w:hint="eastAsia"/>
                <w:sz w:val="21"/>
                <w:szCs w:val="21"/>
                <w:lang w:val="en-US" w:eastAsia="zh-CN"/>
              </w:rPr>
              <w:t>100mPE管</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lang w:eastAsia="zh-CN"/>
              </w:rPr>
            </w:pP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lang w:eastAsia="zh-CN"/>
              </w:rPr>
            </w:pPr>
            <w:r>
              <w:rPr>
                <w:rFonts w:hint="eastAsia"/>
                <w:sz w:val="21"/>
                <w:szCs w:val="21"/>
                <w:lang w:eastAsia="zh-CN"/>
              </w:rPr>
              <w:t>在线监控</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lang w:eastAsia="zh-CN"/>
              </w:rPr>
            </w:pP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default"/>
                <w:sz w:val="21"/>
                <w:szCs w:val="21"/>
                <w:lang w:val="en-US" w:eastAsia="zh-CN"/>
              </w:rPr>
            </w:pPr>
            <w:r>
              <w:rPr>
                <w:rFonts w:hint="eastAsia"/>
                <w:sz w:val="21"/>
                <w:szCs w:val="21"/>
                <w:lang w:eastAsia="zh-CN"/>
              </w:rPr>
              <w:t>生活废水：化粪池、排入花垣产业开发区污水处理厂</w:t>
            </w:r>
          </w:p>
        </w:tc>
        <w:tc>
          <w:tcPr>
            <w:tcW w:w="444" w:type="pct"/>
            <w:tcBorders>
              <w:tl2br w:val="nil"/>
              <w:tr2bl w:val="nil"/>
            </w:tcBorders>
            <w:noWrap w:val="0"/>
            <w:vAlign w:val="center"/>
          </w:tcPr>
          <w:p>
            <w:pPr>
              <w:widowControl w:val="0"/>
              <w:spacing w:line="240" w:lineRule="auto"/>
              <w:ind w:firstLine="0" w:firstLineChars="0"/>
              <w:jc w:val="center"/>
              <w:rPr>
                <w:rFonts w:hint="eastAsia"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eastAsia="zh-CN"/>
              </w:rPr>
              <w:t>已建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vMerge w:val="restart"/>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r>
              <w:rPr>
                <w:rFonts w:hint="eastAsia"/>
                <w:sz w:val="21"/>
                <w:szCs w:val="21"/>
              </w:rPr>
              <w:t>固废治理</w:t>
            </w: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r>
              <w:rPr>
                <w:rFonts w:hint="eastAsia"/>
                <w:sz w:val="21"/>
                <w:szCs w:val="21"/>
                <w:lang w:eastAsia="zh-CN"/>
              </w:rPr>
              <w:t>一般固废：</w:t>
            </w:r>
            <w:r>
              <w:rPr>
                <w:rFonts w:hint="eastAsia"/>
                <w:sz w:val="21"/>
                <w:szCs w:val="21"/>
              </w:rPr>
              <w:t>分散设置分类垃圾桶由环卫部门统一处理，餐厨垃圾设立单独餐厨垃圾收集箱</w:t>
            </w:r>
          </w:p>
        </w:tc>
        <w:tc>
          <w:tcPr>
            <w:tcW w:w="444" w:type="pct"/>
            <w:tcBorders>
              <w:tl2br w:val="nil"/>
              <w:tr2bl w:val="nil"/>
            </w:tcBorders>
            <w:noWrap w:val="0"/>
            <w:vAlign w:val="center"/>
          </w:tcPr>
          <w:p>
            <w:pPr>
              <w:widowControl w:val="0"/>
              <w:kinsoku w:val="0"/>
              <w:wordWrap w:val="0"/>
              <w:overflowPunct w:val="0"/>
              <w:spacing w:line="240" w:lineRule="auto"/>
              <w:ind w:firstLine="0" w:firstLineChars="0"/>
              <w:jc w:val="center"/>
              <w:rPr>
                <w:sz w:val="21"/>
              </w:rPr>
            </w:pPr>
            <w:r>
              <w:rPr>
                <w:rFonts w:hint="eastAsia"/>
                <w:sz w:val="21"/>
                <w:szCs w:val="21"/>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7"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sz w:val="21"/>
                <w:szCs w:val="21"/>
              </w:rPr>
            </w:pPr>
          </w:p>
        </w:tc>
        <w:tc>
          <w:tcPr>
            <w:tcW w:w="868" w:type="pct"/>
            <w:vMerge w:val="continue"/>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p>
        </w:tc>
        <w:tc>
          <w:tcPr>
            <w:tcW w:w="3059" w:type="pct"/>
            <w:tcBorders>
              <w:tl2br w:val="nil"/>
              <w:tr2bl w:val="nil"/>
            </w:tcBorders>
            <w:noWrap w:val="0"/>
            <w:vAlign w:val="center"/>
          </w:tcPr>
          <w:p>
            <w:pPr>
              <w:widowControl w:val="0"/>
              <w:kinsoku w:val="0"/>
              <w:wordWrap w:val="0"/>
              <w:overflowPunct w:val="0"/>
              <w:topLinePunct/>
              <w:spacing w:line="240" w:lineRule="auto"/>
              <w:ind w:firstLine="0" w:firstLineChars="0"/>
              <w:jc w:val="center"/>
              <w:rPr>
                <w:rFonts w:hint="eastAsia"/>
                <w:sz w:val="21"/>
                <w:szCs w:val="21"/>
              </w:rPr>
            </w:pPr>
            <w:r>
              <w:rPr>
                <w:rFonts w:hint="eastAsia"/>
                <w:sz w:val="21"/>
                <w:szCs w:val="21"/>
                <w:lang w:eastAsia="zh-CN"/>
              </w:rPr>
              <w:t>危险废物：</w:t>
            </w:r>
            <w:r>
              <w:rPr>
                <w:rFonts w:hint="eastAsia"/>
                <w:sz w:val="21"/>
                <w:szCs w:val="21"/>
              </w:rPr>
              <w:t>运营单位应按照危险废物要求进行管理，并委托具有相应资质单位进行安全处置</w:t>
            </w:r>
          </w:p>
        </w:tc>
        <w:tc>
          <w:tcPr>
            <w:tcW w:w="444" w:type="pct"/>
            <w:tcBorders>
              <w:tl2br w:val="nil"/>
              <w:tr2bl w:val="nil"/>
            </w:tcBorders>
            <w:noWrap w:val="0"/>
            <w:vAlign w:val="center"/>
          </w:tcPr>
          <w:p>
            <w:pPr>
              <w:widowControl w:val="0"/>
              <w:kinsoku w:val="0"/>
              <w:wordWrap w:val="0"/>
              <w:overflowPunct w:val="0"/>
              <w:spacing w:line="240" w:lineRule="auto"/>
              <w:ind w:firstLine="0" w:firstLineChars="0"/>
              <w:jc w:val="center"/>
              <w:rPr>
                <w:sz w:val="21"/>
              </w:rPr>
            </w:pPr>
            <w:r>
              <w:rPr>
                <w:rFonts w:hint="eastAsia"/>
                <w:sz w:val="21"/>
                <w:szCs w:val="21"/>
              </w:rPr>
              <w:t>新建</w:t>
            </w:r>
          </w:p>
        </w:tc>
      </w:tr>
    </w:tbl>
    <w:p>
      <w:pPr>
        <w:pStyle w:val="8"/>
        <w:spacing w:before="120"/>
        <w:rPr>
          <w:rFonts w:hint="eastAsia"/>
          <w:color w:val="000000"/>
          <w:kern w:val="0"/>
        </w:rPr>
      </w:pPr>
      <w:r>
        <w:rPr>
          <w:color w:val="000000"/>
          <w:kern w:val="0"/>
        </w:rPr>
        <w:t>2</w:t>
      </w:r>
      <w:r>
        <w:rPr>
          <w:rFonts w:hint="eastAsia"/>
          <w:color w:val="000000"/>
          <w:kern w:val="0"/>
        </w:rPr>
        <w:t>.</w:t>
      </w:r>
      <w:r>
        <w:rPr>
          <w:color w:val="000000"/>
          <w:kern w:val="0"/>
        </w:rPr>
        <w:t>1</w:t>
      </w:r>
      <w:r>
        <w:rPr>
          <w:rFonts w:hint="eastAsia"/>
          <w:color w:val="000000"/>
          <w:kern w:val="0"/>
        </w:rPr>
        <w:t>.3 主要设备</w:t>
      </w:r>
    </w:p>
    <w:p>
      <w:pPr>
        <w:ind w:firstLine="480"/>
        <w:rPr>
          <w:rFonts w:hint="eastAsia"/>
          <w:color w:val="000000"/>
          <w:kern w:val="0"/>
          <w:szCs w:val="21"/>
        </w:rPr>
      </w:pPr>
      <w:r>
        <w:rPr>
          <w:rFonts w:hint="eastAsia"/>
          <w:color w:val="000000"/>
          <w:kern w:val="0"/>
          <w:szCs w:val="21"/>
        </w:rPr>
        <w:t>项目主要设备见下表</w:t>
      </w:r>
      <w:r>
        <w:rPr>
          <w:color w:val="000000"/>
          <w:kern w:val="0"/>
          <w:szCs w:val="21"/>
        </w:rPr>
        <w:t>2</w:t>
      </w:r>
      <w:r>
        <w:rPr>
          <w:rFonts w:hint="eastAsia"/>
          <w:color w:val="000000"/>
          <w:kern w:val="0"/>
          <w:szCs w:val="21"/>
        </w:rPr>
        <w:t>.</w:t>
      </w:r>
      <w:r>
        <w:rPr>
          <w:color w:val="000000"/>
          <w:kern w:val="0"/>
          <w:szCs w:val="21"/>
        </w:rPr>
        <w:t>1</w:t>
      </w:r>
      <w:r>
        <w:rPr>
          <w:rFonts w:hint="eastAsia"/>
          <w:color w:val="000000"/>
          <w:kern w:val="0"/>
          <w:szCs w:val="21"/>
        </w:rPr>
        <w:t>-</w:t>
      </w:r>
      <w:r>
        <w:rPr>
          <w:rFonts w:hint="eastAsia"/>
          <w:color w:val="000000"/>
          <w:kern w:val="0"/>
          <w:szCs w:val="21"/>
          <w:lang w:val="en-US" w:eastAsia="zh-CN"/>
        </w:rPr>
        <w:t>2</w:t>
      </w:r>
      <w:r>
        <w:rPr>
          <w:rFonts w:hint="eastAsia"/>
          <w:color w:val="000000"/>
          <w:kern w:val="0"/>
          <w:szCs w:val="21"/>
        </w:rPr>
        <w:t>。</w:t>
      </w:r>
    </w:p>
    <w:p>
      <w:pPr>
        <w:ind w:firstLine="422"/>
        <w:jc w:val="center"/>
        <w:rPr>
          <w:rFonts w:hint="eastAsia"/>
          <w:b/>
          <w:color w:val="000000"/>
          <w:kern w:val="0"/>
          <w:sz w:val="21"/>
          <w:szCs w:val="21"/>
        </w:rPr>
      </w:pPr>
      <w:r>
        <w:rPr>
          <w:rFonts w:hint="eastAsia"/>
          <w:b/>
          <w:color w:val="000000"/>
          <w:kern w:val="0"/>
          <w:sz w:val="21"/>
          <w:szCs w:val="21"/>
        </w:rPr>
        <w:t>表</w:t>
      </w:r>
      <w:r>
        <w:rPr>
          <w:b/>
          <w:color w:val="000000"/>
          <w:kern w:val="0"/>
          <w:sz w:val="21"/>
          <w:szCs w:val="21"/>
        </w:rPr>
        <w:t>2</w:t>
      </w:r>
      <w:r>
        <w:rPr>
          <w:rFonts w:hint="eastAsia"/>
          <w:b/>
          <w:color w:val="000000"/>
          <w:kern w:val="0"/>
          <w:sz w:val="21"/>
          <w:szCs w:val="21"/>
        </w:rPr>
        <w:t>.</w:t>
      </w:r>
      <w:r>
        <w:rPr>
          <w:b/>
          <w:color w:val="000000"/>
          <w:kern w:val="0"/>
          <w:sz w:val="21"/>
          <w:szCs w:val="21"/>
        </w:rPr>
        <w:t>1</w:t>
      </w:r>
      <w:r>
        <w:rPr>
          <w:rFonts w:hint="eastAsia"/>
          <w:b/>
          <w:color w:val="000000"/>
          <w:kern w:val="0"/>
          <w:sz w:val="21"/>
          <w:szCs w:val="21"/>
        </w:rPr>
        <w:t>-</w:t>
      </w:r>
      <w:r>
        <w:rPr>
          <w:rFonts w:hint="eastAsia"/>
          <w:b/>
          <w:color w:val="000000"/>
          <w:kern w:val="0"/>
          <w:sz w:val="21"/>
          <w:szCs w:val="21"/>
          <w:lang w:val="en-US" w:eastAsia="zh-CN"/>
        </w:rPr>
        <w:t>2</w:t>
      </w:r>
      <w:r>
        <w:rPr>
          <w:rFonts w:hint="eastAsia"/>
          <w:b/>
          <w:color w:val="000000"/>
          <w:kern w:val="0"/>
          <w:sz w:val="21"/>
          <w:szCs w:val="21"/>
        </w:rPr>
        <w:t>项目主要设备一览表</w:t>
      </w:r>
    </w:p>
    <w:tbl>
      <w:tblPr>
        <w:tblStyle w:val="37"/>
        <w:tblW w:w="831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82"/>
        <w:gridCol w:w="2063"/>
        <w:gridCol w:w="4777"/>
        <w:gridCol w:w="79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blHeader/>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序号</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名 称</w:t>
            </w:r>
          </w:p>
        </w:tc>
        <w:tc>
          <w:tcPr>
            <w:tcW w:w="4777"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规格型号</w:t>
            </w:r>
          </w:p>
        </w:tc>
        <w:tc>
          <w:tcPr>
            <w:tcW w:w="797"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数量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8"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格栅除污机</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格栅宽0.5m，栅条间隙20mm，安装倾角75o，电机功率1.1KW</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提升泵</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150m³/h，12m，7.5KW</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8"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污泥泵</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轻型卧式自吸泵20m³/h，吸程5.5m，2.2KW</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4台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8"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过滤器反洗泵</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清水离心泵</w:t>
            </w:r>
          </w:p>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400m³/h，32m，37KW</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螺杆泵</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20m³/h，0.6MPa，15KW</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8"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板框压滤机</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过滤面积90m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，3KW</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8"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石英砂过滤器</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设计流量：125m³/h</w:t>
            </w:r>
          </w:p>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结构尺寸：4.2m×1.2m×1.8m</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碱加药系统</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220L/h，药罐2000L</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9"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PAC加药系统</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220L/h，药罐2000L</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4"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PAM加药系统</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170L/h，药罐2000L</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58"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生物制剂加药系统</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110L/h，药罐2000L</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8"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盐酸</w:t>
            </w:r>
            <w:r>
              <w:rPr>
                <w:rFonts w:hint="default" w:ascii="Times New Roman" w:hAnsi="Times New Roman" w:eastAsia="宋体" w:cs="Times New Roman"/>
                <w:sz w:val="21"/>
                <w:szCs w:val="21"/>
                <w:lang w:val="en-US" w:eastAsia="zh-CN"/>
              </w:rPr>
              <w:t>加药系统</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110L/h，药罐2000L</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电磁流量计</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DN80，Qmax=180m³/h</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电动蝶阀</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DN150</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电动阀</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DN100、DN150、DN200</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8"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超声波液位计</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0-10m</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PH计</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一体式复合电极，0-14</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个</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在线监测仪</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重金属监测</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3"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罗茨鼓风机</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流量：43.5m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/min，功率：45KW</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3"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自控设备</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电控间PLC1，脱水车间PLC2，加药间I/O控制箱</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8"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电气设备</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高低压开关柜、干式变压器、电缆等</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2"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废水站内管道</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阀门、闸门</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3"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法兰、弯头</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站内照明</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楼梯、护栏</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2"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企业污水收集输送管网</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采用HDPE双壁波纹管DN300/SN8</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2100</w:t>
            </w:r>
            <w:r>
              <w:rPr>
                <w:rFonts w:hint="default" w:ascii="Times New Roman" w:hAnsi="Times New Roman" w:eastAsia="宋体" w:cs="Times New Roman"/>
                <w:sz w:val="21"/>
                <w:szCs w:val="21"/>
              </w:rPr>
              <w:t>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2" w:hRule="atLeast"/>
          <w:jc w:val="center"/>
        </w:trPr>
        <w:tc>
          <w:tcPr>
            <w:tcW w:w="68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w:t>
            </w:r>
          </w:p>
        </w:tc>
        <w:tc>
          <w:tcPr>
            <w:tcW w:w="2063"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sz w:val="21"/>
                <w:szCs w:val="21"/>
              </w:rPr>
              <w:t>在线设备</w:t>
            </w:r>
          </w:p>
        </w:tc>
        <w:tc>
          <w:tcPr>
            <w:tcW w:w="4777" w:type="dxa"/>
            <w:tcBorders>
              <w:righ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在线监控进、出口水量水质</w:t>
            </w:r>
          </w:p>
        </w:tc>
        <w:tc>
          <w:tcPr>
            <w:tcW w:w="797" w:type="dxa"/>
            <w:tcBorders>
              <w:left w:val="single" w:color="000000" w:sz="2" w:space="0"/>
              <w:tl2br w:val="nil"/>
              <w:tr2bl w:val="nil"/>
            </w:tcBorders>
            <w:noWrap w:val="0"/>
            <w:vAlign w:val="center"/>
          </w:tcPr>
          <w:p>
            <w:pPr>
              <w:widowControl w:val="0"/>
              <w:suppressAutoHyphens/>
              <w:wordWrap w:val="0"/>
              <w:topLinePunct/>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sz w:val="21"/>
                <w:szCs w:val="21"/>
                <w:lang w:val="en-US" w:eastAsia="zh-CN"/>
              </w:rPr>
              <w:t>1</w:t>
            </w:r>
            <w:r>
              <w:rPr>
                <w:rFonts w:hint="eastAsia"/>
                <w:sz w:val="21"/>
                <w:szCs w:val="21"/>
              </w:rPr>
              <w:t>套</w:t>
            </w:r>
          </w:p>
        </w:tc>
      </w:tr>
    </w:tbl>
    <w:p>
      <w:pPr>
        <w:pStyle w:val="8"/>
        <w:spacing w:before="120"/>
        <w:rPr>
          <w:rFonts w:hint="eastAsia" w:ascii="Times New Roman" w:hAnsi="Times New Roman" w:eastAsia="宋体" w:cs="Times New Roman"/>
          <w:b/>
          <w:bCs/>
          <w:color w:val="000000"/>
          <w:kern w:val="0"/>
          <w:lang w:eastAsia="zh-CN"/>
        </w:rPr>
      </w:pPr>
      <w:bookmarkStart w:id="161" w:name="_Toc10545"/>
      <w:bookmarkStart w:id="162" w:name="_Toc360784690"/>
      <w:bookmarkStart w:id="163" w:name="_Toc459625973"/>
      <w:bookmarkStart w:id="164" w:name="_Toc460238615"/>
      <w:bookmarkStart w:id="165" w:name="_Toc489349979"/>
      <w:bookmarkStart w:id="166" w:name="_Toc489350139"/>
      <w:bookmarkStart w:id="167" w:name="_Toc489350240"/>
      <w:r>
        <w:rPr>
          <w:rFonts w:hint="eastAsia" w:ascii="Times New Roman" w:hAnsi="Times New Roman" w:eastAsia="宋体" w:cs="Times New Roman"/>
          <w:b/>
          <w:bCs/>
          <w:color w:val="000000"/>
          <w:kern w:val="0"/>
          <w:lang w:val="en-US" w:eastAsia="zh-CN"/>
        </w:rPr>
        <w:t xml:space="preserve">2.1.4 </w:t>
      </w:r>
      <w:r>
        <w:rPr>
          <w:rFonts w:ascii="Times New Roman" w:hAnsi="Times New Roman" w:eastAsia="宋体" w:cs="Times New Roman"/>
          <w:b/>
          <w:bCs/>
          <w:color w:val="000000"/>
          <w:kern w:val="0"/>
        </w:rPr>
        <w:t xml:space="preserve"> 管网</w:t>
      </w:r>
      <w:bookmarkEnd w:id="161"/>
      <w:bookmarkEnd w:id="162"/>
      <w:bookmarkEnd w:id="163"/>
      <w:bookmarkEnd w:id="164"/>
      <w:r>
        <w:rPr>
          <w:rFonts w:hint="eastAsia" w:ascii="Times New Roman" w:hAnsi="Times New Roman" w:eastAsia="宋体" w:cs="Times New Roman"/>
          <w:b/>
          <w:bCs/>
          <w:color w:val="000000"/>
          <w:kern w:val="0"/>
          <w:lang w:eastAsia="zh-CN"/>
        </w:rPr>
        <w:t>建设情况</w:t>
      </w:r>
    </w:p>
    <w:p>
      <w:pPr>
        <w:ind w:firstLine="480"/>
        <w:rPr>
          <w:rFonts w:hint="eastAsia"/>
          <w:u w:val="single"/>
          <w:lang w:val="en-US" w:eastAsia="zh-CN"/>
        </w:rPr>
      </w:pPr>
      <w:r>
        <w:rPr>
          <w:rFonts w:hint="eastAsia"/>
          <w:lang w:eastAsia="zh-CN"/>
        </w:rPr>
        <w:t>本项目设置专门的重金属废水配套管网，企业生活废水等不含重金属废水又单独管网收集，本次管网设置长度为</w:t>
      </w:r>
      <w:r>
        <w:rPr>
          <w:rFonts w:hint="eastAsia"/>
          <w:lang w:val="en-US" w:eastAsia="zh-CN"/>
        </w:rPr>
        <w:t>2100m，接纳园区现已入驻重金属企业，</w:t>
      </w:r>
      <w:r>
        <w:t>根据上述管线布置原则，并结合工业集中区实际地形，进行管网布置。具体布置如下：沿</w:t>
      </w:r>
      <w:r>
        <w:rPr>
          <w:rFonts w:hint="eastAsia"/>
          <w:lang w:eastAsia="zh-CN"/>
        </w:rPr>
        <w:t>园区创业大道</w:t>
      </w:r>
      <w:r>
        <w:t>布置园区截污干管。</w:t>
      </w:r>
      <w:r>
        <w:rPr>
          <w:rFonts w:hint="eastAsia"/>
          <w:u w:val="single"/>
          <w:lang w:eastAsia="zh-CN"/>
        </w:rPr>
        <w:t>项目出水排管</w:t>
      </w:r>
      <w:r>
        <w:rPr>
          <w:rFonts w:hint="eastAsia"/>
          <w:u w:val="single"/>
          <w:lang w:val="en-US" w:eastAsia="zh-CN"/>
        </w:rPr>
        <w:t>100米接至花垣工业集中区污水处理厂进水口处。根据《关于进一步规范和加强产业园区生态环境管理的通知》湘发</w:t>
      </w:r>
      <w:r>
        <w:rPr>
          <w:rFonts w:hint="default" w:ascii="Times New Roman" w:hAnsi="Times New Roman" w:cs="Times New Roman"/>
          <w:u w:val="single"/>
          <w:lang w:val="en-US" w:eastAsia="zh-CN"/>
        </w:rPr>
        <w:t>改</w:t>
      </w:r>
      <w:r>
        <w:rPr>
          <w:rFonts w:hint="default" w:ascii="Times New Roman" w:hAnsi="Times New Roman" w:eastAsia="宋体" w:cs="Times New Roman"/>
          <w:u w:val="single"/>
          <w:lang w:val="en-US" w:eastAsia="zh-CN"/>
        </w:rPr>
        <w:t>[2020]27号文</w:t>
      </w:r>
      <w:r>
        <w:rPr>
          <w:rFonts w:hint="eastAsia" w:ascii="宋体" w:hAnsi="宋体" w:eastAsia="宋体" w:cs="宋体"/>
          <w:u w:val="single"/>
          <w:lang w:val="en-US" w:eastAsia="zh-CN"/>
        </w:rPr>
        <w:t>，</w:t>
      </w:r>
      <w:r>
        <w:rPr>
          <w:rFonts w:hint="eastAsia"/>
          <w:u w:val="single"/>
          <w:lang w:val="en-US" w:eastAsia="zh-CN"/>
        </w:rPr>
        <w:t>化工、有色等专业园区应加快改造现有管网，采用专用密闭管道输送废水，逐步实现“一企一管”和可视可监测要求。本项目管网单独建设，并可视。重金属管网与其他非重金属废水分开收集，项目采用管网均为密闭管道输送。本项目管网建设情况见下图：</w:t>
      </w:r>
    </w:p>
    <w:p>
      <w:pPr>
        <w:pStyle w:val="36"/>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Fonts w:hint="default"/>
          <w:u w:val="single"/>
          <w:lang w:val="en-US" w:eastAsia="zh-CN"/>
        </w:rPr>
      </w:pPr>
      <w:r>
        <w:rPr>
          <w:u w:val="single"/>
        </w:rPr>
        <w:drawing>
          <wp:inline distT="0" distB="0" distL="114300" distR="114300">
            <wp:extent cx="4589780" cy="2855595"/>
            <wp:effectExtent l="0" t="0" r="1270" b="1905"/>
            <wp:docPr id="5" name="图片 8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87"/>
                    <pic:cNvPicPr>
                      <a:picLocks noChangeAspect="true"/>
                    </pic:cNvPicPr>
                  </pic:nvPicPr>
                  <pic:blipFill>
                    <a:blip r:embed="rId33"/>
                    <a:stretch>
                      <a:fillRect/>
                    </a:stretch>
                  </pic:blipFill>
                  <pic:spPr>
                    <a:xfrm>
                      <a:off x="0" y="0"/>
                      <a:ext cx="4589780" cy="2855595"/>
                    </a:xfrm>
                    <a:prstGeom prst="rect">
                      <a:avLst/>
                    </a:prstGeom>
                    <a:noFill/>
                    <a:ln>
                      <a:noFill/>
                    </a:ln>
                  </pic:spPr>
                </pic:pic>
              </a:graphicData>
            </a:graphic>
          </wp:inline>
        </w:drawing>
      </w:r>
    </w:p>
    <w:p>
      <w:pPr>
        <w:ind w:firstLine="0" w:firstLineChars="0"/>
        <w:jc w:val="center"/>
        <w:rPr>
          <w:u w:val="single"/>
        </w:rPr>
      </w:pPr>
      <w:r>
        <w:rPr>
          <w:u w:val="single"/>
        </w:rPr>
        <w:drawing>
          <wp:inline distT="0" distB="0" distL="114300" distR="114300">
            <wp:extent cx="4605020" cy="3633470"/>
            <wp:effectExtent l="0" t="0" r="5080" b="5080"/>
            <wp:docPr id="6" name="图片 8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88"/>
                    <pic:cNvPicPr>
                      <a:picLocks noChangeAspect="true"/>
                    </pic:cNvPicPr>
                  </pic:nvPicPr>
                  <pic:blipFill>
                    <a:blip r:embed="rId34"/>
                    <a:stretch>
                      <a:fillRect/>
                    </a:stretch>
                  </pic:blipFill>
                  <pic:spPr>
                    <a:xfrm>
                      <a:off x="0" y="0"/>
                      <a:ext cx="4605020" cy="3633470"/>
                    </a:xfrm>
                    <a:prstGeom prst="rect">
                      <a:avLst/>
                    </a:prstGeom>
                    <a:noFill/>
                    <a:ln>
                      <a:noFill/>
                    </a:ln>
                  </pic:spPr>
                </pic:pic>
              </a:graphicData>
            </a:graphic>
          </wp:inline>
        </w:drawing>
      </w:r>
    </w:p>
    <w:p>
      <w:pPr>
        <w:ind w:firstLine="0" w:firstLineChars="0"/>
        <w:jc w:val="center"/>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eastAsia="zh-CN"/>
        </w:rPr>
        <w:t>图</w:t>
      </w:r>
      <w:r>
        <w:rPr>
          <w:rFonts w:hint="eastAsia" w:cs="Times New Roman"/>
          <w:b/>
          <w:bCs/>
          <w:sz w:val="21"/>
          <w:szCs w:val="21"/>
          <w:u w:val="single"/>
          <w:lang w:val="en-US" w:eastAsia="zh-CN"/>
        </w:rPr>
        <w:t xml:space="preserve"> 2.1.3 项目管网建设现状情况图</w:t>
      </w:r>
    </w:p>
    <w:p>
      <w:pPr>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eastAsia" w:cs="Times New Roman"/>
          <w:b/>
          <w:bCs/>
          <w:sz w:val="21"/>
          <w:szCs w:val="21"/>
          <w:lang w:val="en-US" w:eastAsia="zh-CN"/>
        </w:rPr>
        <w:t>2.1</w:t>
      </w:r>
      <w:r>
        <w:rPr>
          <w:rFonts w:hint="default" w:ascii="Times New Roman" w:hAnsi="Times New Roman" w:cs="Times New Roman"/>
          <w:b/>
          <w:bCs/>
          <w:sz w:val="21"/>
          <w:szCs w:val="21"/>
        </w:rPr>
        <w:t>-</w:t>
      </w:r>
      <w:r>
        <w:rPr>
          <w:rFonts w:hint="eastAsia" w:cs="Times New Roman"/>
          <w:b/>
          <w:bCs/>
          <w:sz w:val="21"/>
          <w:szCs w:val="21"/>
          <w:lang w:val="en-US" w:eastAsia="zh-CN"/>
        </w:rPr>
        <w:t>3</w:t>
      </w:r>
      <w:r>
        <w:rPr>
          <w:rFonts w:hint="default" w:ascii="Times New Roman" w:hAnsi="Times New Roman" w:cs="Times New Roman"/>
          <w:b/>
          <w:bCs/>
          <w:sz w:val="21"/>
          <w:szCs w:val="21"/>
        </w:rPr>
        <w:t xml:space="preserve"> 管网工程量统计表</w:t>
      </w:r>
    </w:p>
    <w:tbl>
      <w:tblPr>
        <w:tblStyle w:val="37"/>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3530"/>
        <w:gridCol w:w="1662"/>
        <w:gridCol w:w="15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50" w:type="dxa"/>
            <w:tcBorders>
              <w:tl2br w:val="nil"/>
              <w:tr2bl w:val="nil"/>
            </w:tcBorders>
            <w:noWrap w:val="0"/>
            <w:vAlign w:val="center"/>
          </w:tcPr>
          <w:p>
            <w:pPr>
              <w:spacing w:line="240" w:lineRule="auto"/>
              <w:ind w:firstLine="0" w:firstLineChars="0"/>
              <w:jc w:val="center"/>
              <w:rPr>
                <w:b/>
                <w:sz w:val="21"/>
                <w:szCs w:val="21"/>
              </w:rPr>
            </w:pPr>
            <w:r>
              <w:rPr>
                <w:b/>
                <w:sz w:val="21"/>
                <w:szCs w:val="21"/>
              </w:rPr>
              <w:t>序号</w:t>
            </w:r>
          </w:p>
        </w:tc>
        <w:tc>
          <w:tcPr>
            <w:tcW w:w="3530" w:type="dxa"/>
            <w:tcBorders>
              <w:tl2br w:val="nil"/>
              <w:tr2bl w:val="nil"/>
            </w:tcBorders>
            <w:noWrap w:val="0"/>
            <w:vAlign w:val="center"/>
          </w:tcPr>
          <w:p>
            <w:pPr>
              <w:spacing w:line="240" w:lineRule="auto"/>
              <w:ind w:firstLine="0" w:firstLineChars="0"/>
              <w:jc w:val="center"/>
              <w:rPr>
                <w:b/>
                <w:sz w:val="21"/>
                <w:szCs w:val="21"/>
              </w:rPr>
            </w:pPr>
            <w:r>
              <w:rPr>
                <w:b/>
                <w:sz w:val="21"/>
                <w:szCs w:val="21"/>
              </w:rPr>
              <w:t>管材及管径</w:t>
            </w:r>
          </w:p>
        </w:tc>
        <w:tc>
          <w:tcPr>
            <w:tcW w:w="1662" w:type="dxa"/>
            <w:tcBorders>
              <w:tl2br w:val="nil"/>
              <w:tr2bl w:val="nil"/>
            </w:tcBorders>
            <w:noWrap w:val="0"/>
            <w:vAlign w:val="center"/>
          </w:tcPr>
          <w:p>
            <w:pPr>
              <w:spacing w:line="240" w:lineRule="auto"/>
              <w:ind w:firstLine="0" w:firstLineChars="0"/>
              <w:jc w:val="center"/>
              <w:rPr>
                <w:b/>
                <w:sz w:val="21"/>
                <w:szCs w:val="21"/>
              </w:rPr>
            </w:pPr>
            <w:r>
              <w:rPr>
                <w:b/>
                <w:sz w:val="21"/>
                <w:szCs w:val="21"/>
              </w:rPr>
              <w:t>单位</w:t>
            </w:r>
          </w:p>
        </w:tc>
        <w:tc>
          <w:tcPr>
            <w:tcW w:w="1580" w:type="dxa"/>
            <w:tcBorders>
              <w:tl2br w:val="nil"/>
              <w:tr2bl w:val="nil"/>
            </w:tcBorders>
            <w:noWrap w:val="0"/>
            <w:vAlign w:val="center"/>
          </w:tcPr>
          <w:p>
            <w:pPr>
              <w:spacing w:line="240" w:lineRule="auto"/>
              <w:ind w:firstLine="0" w:firstLineChars="0"/>
              <w:jc w:val="center"/>
              <w:rPr>
                <w:b/>
                <w:sz w:val="21"/>
                <w:szCs w:val="21"/>
              </w:rPr>
            </w:pPr>
            <w:r>
              <w:rPr>
                <w:b/>
                <w:sz w:val="21"/>
                <w:szCs w:val="21"/>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50" w:type="dxa"/>
            <w:tcBorders>
              <w:tl2br w:val="nil"/>
              <w:tr2bl w:val="nil"/>
            </w:tcBorders>
            <w:noWrap w:val="0"/>
            <w:vAlign w:val="center"/>
          </w:tcPr>
          <w:p>
            <w:pPr>
              <w:spacing w:line="240" w:lineRule="auto"/>
              <w:ind w:firstLine="0" w:firstLineChars="0"/>
              <w:jc w:val="center"/>
              <w:rPr>
                <w:sz w:val="21"/>
                <w:szCs w:val="21"/>
              </w:rPr>
            </w:pPr>
            <w:r>
              <w:rPr>
                <w:sz w:val="21"/>
                <w:szCs w:val="21"/>
              </w:rPr>
              <w:t>1</w:t>
            </w:r>
          </w:p>
        </w:tc>
        <w:tc>
          <w:tcPr>
            <w:tcW w:w="3530" w:type="dxa"/>
            <w:tcBorders>
              <w:tl2br w:val="nil"/>
              <w:tr2bl w:val="nil"/>
            </w:tcBorders>
            <w:noWrap w:val="0"/>
            <w:vAlign w:val="center"/>
          </w:tcPr>
          <w:p>
            <w:pPr>
              <w:spacing w:line="240" w:lineRule="auto"/>
              <w:ind w:firstLine="0" w:firstLineChars="0"/>
              <w:jc w:val="center"/>
              <w:rPr>
                <w:sz w:val="21"/>
                <w:szCs w:val="21"/>
              </w:rPr>
            </w:pPr>
            <w:r>
              <w:rPr>
                <w:sz w:val="21"/>
                <w:szCs w:val="21"/>
              </w:rPr>
              <w:t>HDPE排水支管DN500</w:t>
            </w:r>
          </w:p>
        </w:tc>
        <w:tc>
          <w:tcPr>
            <w:tcW w:w="1662" w:type="dxa"/>
            <w:tcBorders>
              <w:tl2br w:val="nil"/>
              <w:tr2bl w:val="nil"/>
            </w:tcBorders>
            <w:noWrap w:val="0"/>
            <w:vAlign w:val="center"/>
          </w:tcPr>
          <w:p>
            <w:pPr>
              <w:spacing w:line="240" w:lineRule="auto"/>
              <w:ind w:firstLine="0" w:firstLineChars="0"/>
              <w:jc w:val="center"/>
              <w:rPr>
                <w:sz w:val="21"/>
                <w:szCs w:val="21"/>
              </w:rPr>
            </w:pPr>
            <w:r>
              <w:rPr>
                <w:sz w:val="21"/>
                <w:szCs w:val="21"/>
              </w:rPr>
              <w:t>米</w:t>
            </w:r>
          </w:p>
        </w:tc>
        <w:tc>
          <w:tcPr>
            <w:tcW w:w="1580" w:type="dxa"/>
            <w:tcBorders>
              <w:tl2br w:val="nil"/>
              <w:tr2bl w:val="nil"/>
            </w:tcBorders>
            <w:noWrap w:val="0"/>
            <w:vAlign w:val="center"/>
          </w:tcPr>
          <w:p>
            <w:pPr>
              <w:spacing w:line="240" w:lineRule="auto"/>
              <w:ind w:firstLine="0" w:firstLineChars="0"/>
              <w:jc w:val="center"/>
              <w:rPr>
                <w:sz w:val="21"/>
                <w:szCs w:val="21"/>
              </w:rPr>
            </w:pPr>
            <w:r>
              <w:rPr>
                <w:rFonts w:hint="eastAsia"/>
                <w:sz w:val="21"/>
                <w:szCs w:val="21"/>
                <w:lang w:val="en-US" w:eastAsia="zh-CN"/>
              </w:rPr>
              <w:t>1</w:t>
            </w:r>
            <w:r>
              <w:rPr>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50" w:type="dxa"/>
            <w:tcBorders>
              <w:tl2br w:val="nil"/>
              <w:tr2bl w:val="nil"/>
            </w:tcBorders>
            <w:noWrap w:val="0"/>
            <w:vAlign w:val="center"/>
          </w:tcPr>
          <w:p>
            <w:pPr>
              <w:spacing w:line="240" w:lineRule="auto"/>
              <w:ind w:firstLine="0" w:firstLineChars="0"/>
              <w:jc w:val="center"/>
              <w:rPr>
                <w:sz w:val="21"/>
                <w:szCs w:val="21"/>
              </w:rPr>
            </w:pPr>
            <w:r>
              <w:rPr>
                <w:sz w:val="21"/>
                <w:szCs w:val="21"/>
              </w:rPr>
              <w:t>2</w:t>
            </w:r>
          </w:p>
        </w:tc>
        <w:tc>
          <w:tcPr>
            <w:tcW w:w="3530" w:type="dxa"/>
            <w:tcBorders>
              <w:tl2br w:val="nil"/>
              <w:tr2bl w:val="nil"/>
            </w:tcBorders>
            <w:noWrap w:val="0"/>
            <w:vAlign w:val="center"/>
          </w:tcPr>
          <w:p>
            <w:pPr>
              <w:spacing w:line="240" w:lineRule="auto"/>
              <w:ind w:firstLine="0" w:firstLineChars="0"/>
              <w:jc w:val="center"/>
              <w:rPr>
                <w:sz w:val="21"/>
                <w:szCs w:val="21"/>
              </w:rPr>
            </w:pPr>
            <w:r>
              <w:rPr>
                <w:sz w:val="21"/>
                <w:szCs w:val="21"/>
              </w:rPr>
              <w:t>HDPE排水支管DN500</w:t>
            </w:r>
          </w:p>
        </w:tc>
        <w:tc>
          <w:tcPr>
            <w:tcW w:w="1662" w:type="dxa"/>
            <w:tcBorders>
              <w:tl2br w:val="nil"/>
              <w:tr2bl w:val="nil"/>
            </w:tcBorders>
            <w:noWrap w:val="0"/>
            <w:vAlign w:val="center"/>
          </w:tcPr>
          <w:p>
            <w:pPr>
              <w:spacing w:line="240" w:lineRule="auto"/>
              <w:ind w:firstLine="0" w:firstLineChars="0"/>
              <w:jc w:val="center"/>
              <w:rPr>
                <w:sz w:val="21"/>
                <w:szCs w:val="21"/>
              </w:rPr>
            </w:pPr>
            <w:r>
              <w:rPr>
                <w:sz w:val="21"/>
                <w:szCs w:val="21"/>
              </w:rPr>
              <w:t>米</w:t>
            </w:r>
          </w:p>
        </w:tc>
        <w:tc>
          <w:tcPr>
            <w:tcW w:w="1580" w:type="dxa"/>
            <w:tcBorders>
              <w:tl2br w:val="nil"/>
              <w:tr2bl w:val="nil"/>
            </w:tcBorders>
            <w:noWrap w:val="0"/>
            <w:vAlign w:val="center"/>
          </w:tcPr>
          <w:p>
            <w:pPr>
              <w:spacing w:line="240" w:lineRule="auto"/>
              <w:ind w:firstLine="0" w:firstLineChars="0"/>
              <w:jc w:val="center"/>
              <w:rPr>
                <w:sz w:val="21"/>
                <w:szCs w:val="21"/>
              </w:rPr>
            </w:pPr>
            <w:r>
              <w:rPr>
                <w:rFonts w:hint="eastAsia"/>
                <w:sz w:val="21"/>
                <w:szCs w:val="21"/>
                <w:lang w:val="en-US" w:eastAsia="zh-CN"/>
              </w:rPr>
              <w:t>1</w:t>
            </w:r>
            <w:r>
              <w:rPr>
                <w:sz w:val="21"/>
                <w:szCs w:val="21"/>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50" w:type="dxa"/>
            <w:tcBorders>
              <w:tl2br w:val="nil"/>
              <w:tr2bl w:val="nil"/>
            </w:tcBorders>
            <w:noWrap w:val="0"/>
            <w:vAlign w:val="center"/>
          </w:tcPr>
          <w:p>
            <w:pPr>
              <w:spacing w:line="240" w:lineRule="auto"/>
              <w:ind w:firstLine="0" w:firstLineChars="0"/>
              <w:jc w:val="center"/>
              <w:rPr>
                <w:sz w:val="21"/>
                <w:szCs w:val="21"/>
              </w:rPr>
            </w:pPr>
            <w:r>
              <w:rPr>
                <w:sz w:val="21"/>
                <w:szCs w:val="21"/>
              </w:rPr>
              <w:t>3</w:t>
            </w:r>
          </w:p>
        </w:tc>
        <w:tc>
          <w:tcPr>
            <w:tcW w:w="3530" w:type="dxa"/>
            <w:tcBorders>
              <w:tl2br w:val="nil"/>
              <w:tr2bl w:val="nil"/>
            </w:tcBorders>
            <w:noWrap w:val="0"/>
            <w:vAlign w:val="center"/>
          </w:tcPr>
          <w:p>
            <w:pPr>
              <w:spacing w:line="240" w:lineRule="auto"/>
              <w:ind w:firstLine="0" w:firstLineChars="0"/>
              <w:jc w:val="center"/>
              <w:rPr>
                <w:sz w:val="21"/>
                <w:szCs w:val="21"/>
              </w:rPr>
            </w:pPr>
            <w:r>
              <w:rPr>
                <w:sz w:val="21"/>
                <w:szCs w:val="21"/>
              </w:rPr>
              <w:t>HDPE排水支管DN300</w:t>
            </w:r>
          </w:p>
        </w:tc>
        <w:tc>
          <w:tcPr>
            <w:tcW w:w="1662" w:type="dxa"/>
            <w:tcBorders>
              <w:tl2br w:val="nil"/>
              <w:tr2bl w:val="nil"/>
            </w:tcBorders>
            <w:noWrap w:val="0"/>
            <w:vAlign w:val="center"/>
          </w:tcPr>
          <w:p>
            <w:pPr>
              <w:spacing w:line="240" w:lineRule="auto"/>
              <w:ind w:firstLine="0" w:firstLineChars="0"/>
              <w:jc w:val="center"/>
              <w:rPr>
                <w:sz w:val="21"/>
                <w:szCs w:val="21"/>
              </w:rPr>
            </w:pPr>
            <w:r>
              <w:rPr>
                <w:sz w:val="21"/>
                <w:szCs w:val="21"/>
              </w:rPr>
              <w:t>米</w:t>
            </w:r>
          </w:p>
        </w:tc>
        <w:tc>
          <w:tcPr>
            <w:tcW w:w="1580" w:type="dxa"/>
            <w:tcBorders>
              <w:tl2br w:val="nil"/>
              <w:tr2bl w:val="nil"/>
            </w:tcBorders>
            <w:noWrap w:val="0"/>
            <w:vAlign w:val="center"/>
          </w:tcPr>
          <w:p>
            <w:pPr>
              <w:spacing w:line="240" w:lineRule="auto"/>
              <w:ind w:firstLine="0" w:firstLineChars="0"/>
              <w:jc w:val="center"/>
              <w:rPr>
                <w:sz w:val="21"/>
                <w:szCs w:val="21"/>
              </w:rPr>
            </w:pPr>
            <w:r>
              <w:rPr>
                <w:rFonts w:hint="eastAsia"/>
                <w:sz w:val="21"/>
                <w:szCs w:val="21"/>
                <w:lang w:val="en-US" w:eastAsia="zh-CN"/>
              </w:rPr>
              <w:t>2</w:t>
            </w:r>
            <w:r>
              <w:rPr>
                <w:sz w:val="21"/>
                <w:szCs w:val="21"/>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50" w:type="dxa"/>
            <w:tcBorders>
              <w:tl2br w:val="nil"/>
              <w:tr2bl w:val="nil"/>
            </w:tcBorders>
            <w:noWrap w:val="0"/>
            <w:vAlign w:val="center"/>
          </w:tcPr>
          <w:p>
            <w:pPr>
              <w:spacing w:line="240" w:lineRule="auto"/>
              <w:ind w:firstLine="0" w:firstLineChars="0"/>
              <w:jc w:val="center"/>
              <w:rPr>
                <w:sz w:val="21"/>
                <w:szCs w:val="21"/>
              </w:rPr>
            </w:pPr>
            <w:r>
              <w:rPr>
                <w:sz w:val="21"/>
                <w:szCs w:val="21"/>
              </w:rPr>
              <w:t>4</w:t>
            </w:r>
          </w:p>
        </w:tc>
        <w:tc>
          <w:tcPr>
            <w:tcW w:w="3530" w:type="dxa"/>
            <w:tcBorders>
              <w:tl2br w:val="nil"/>
              <w:tr2bl w:val="nil"/>
            </w:tcBorders>
            <w:noWrap w:val="0"/>
            <w:vAlign w:val="center"/>
          </w:tcPr>
          <w:p>
            <w:pPr>
              <w:spacing w:line="240" w:lineRule="auto"/>
              <w:ind w:firstLine="0" w:firstLineChars="0"/>
              <w:jc w:val="center"/>
              <w:rPr>
                <w:sz w:val="21"/>
                <w:szCs w:val="21"/>
              </w:rPr>
            </w:pPr>
            <w:r>
              <w:rPr>
                <w:sz w:val="21"/>
                <w:szCs w:val="21"/>
              </w:rPr>
              <w:t>HDPE排水支管DN300</w:t>
            </w:r>
          </w:p>
        </w:tc>
        <w:tc>
          <w:tcPr>
            <w:tcW w:w="1662" w:type="dxa"/>
            <w:tcBorders>
              <w:tl2br w:val="nil"/>
              <w:tr2bl w:val="nil"/>
            </w:tcBorders>
            <w:noWrap w:val="0"/>
            <w:vAlign w:val="center"/>
          </w:tcPr>
          <w:p>
            <w:pPr>
              <w:spacing w:line="240" w:lineRule="auto"/>
              <w:ind w:firstLine="0" w:firstLineChars="0"/>
              <w:jc w:val="center"/>
              <w:rPr>
                <w:sz w:val="21"/>
                <w:szCs w:val="21"/>
              </w:rPr>
            </w:pPr>
            <w:r>
              <w:rPr>
                <w:sz w:val="21"/>
                <w:szCs w:val="21"/>
              </w:rPr>
              <w:t>米</w:t>
            </w:r>
          </w:p>
        </w:tc>
        <w:tc>
          <w:tcPr>
            <w:tcW w:w="1580" w:type="dxa"/>
            <w:tcBorders>
              <w:tl2br w:val="nil"/>
              <w:tr2bl w:val="nil"/>
            </w:tcBorders>
            <w:noWrap w:val="0"/>
            <w:vAlign w:val="center"/>
          </w:tcPr>
          <w:p>
            <w:pPr>
              <w:spacing w:line="240" w:lineRule="auto"/>
              <w:ind w:firstLine="0" w:firstLineChars="0"/>
              <w:jc w:val="center"/>
              <w:rPr>
                <w:sz w:val="21"/>
                <w:szCs w:val="21"/>
              </w:rPr>
            </w:pPr>
            <w:r>
              <w:rPr>
                <w:rFonts w:hint="eastAsia"/>
                <w:sz w:val="21"/>
                <w:szCs w:val="21"/>
                <w:lang w:val="en-US" w:eastAsia="zh-CN"/>
              </w:rPr>
              <w:t>2</w:t>
            </w:r>
            <w:r>
              <w:rPr>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50" w:type="dxa"/>
            <w:tcBorders>
              <w:tl2br w:val="nil"/>
              <w:tr2bl w:val="nil"/>
            </w:tcBorders>
            <w:noWrap w:val="0"/>
            <w:vAlign w:val="center"/>
          </w:tcPr>
          <w:p>
            <w:pPr>
              <w:spacing w:line="240" w:lineRule="auto"/>
              <w:ind w:firstLine="0" w:firstLineChars="0"/>
              <w:jc w:val="center"/>
              <w:rPr>
                <w:sz w:val="21"/>
                <w:szCs w:val="21"/>
              </w:rPr>
            </w:pPr>
            <w:r>
              <w:rPr>
                <w:sz w:val="21"/>
                <w:szCs w:val="21"/>
              </w:rPr>
              <w:t>5</w:t>
            </w:r>
          </w:p>
        </w:tc>
        <w:tc>
          <w:tcPr>
            <w:tcW w:w="3530" w:type="dxa"/>
            <w:tcBorders>
              <w:tl2br w:val="nil"/>
              <w:tr2bl w:val="nil"/>
            </w:tcBorders>
            <w:noWrap w:val="0"/>
            <w:vAlign w:val="center"/>
          </w:tcPr>
          <w:p>
            <w:pPr>
              <w:spacing w:line="240" w:lineRule="auto"/>
              <w:ind w:firstLine="0" w:firstLineChars="0"/>
              <w:jc w:val="center"/>
              <w:rPr>
                <w:sz w:val="21"/>
                <w:szCs w:val="21"/>
              </w:rPr>
            </w:pPr>
            <w:r>
              <w:rPr>
                <w:sz w:val="21"/>
                <w:szCs w:val="21"/>
              </w:rPr>
              <w:t>HDPE排水支管DN300</w:t>
            </w:r>
          </w:p>
        </w:tc>
        <w:tc>
          <w:tcPr>
            <w:tcW w:w="1662" w:type="dxa"/>
            <w:tcBorders>
              <w:tl2br w:val="nil"/>
              <w:tr2bl w:val="nil"/>
            </w:tcBorders>
            <w:noWrap w:val="0"/>
            <w:vAlign w:val="center"/>
          </w:tcPr>
          <w:p>
            <w:pPr>
              <w:spacing w:line="240" w:lineRule="auto"/>
              <w:ind w:firstLine="0" w:firstLineChars="0"/>
              <w:jc w:val="center"/>
              <w:rPr>
                <w:sz w:val="21"/>
                <w:szCs w:val="21"/>
              </w:rPr>
            </w:pPr>
            <w:r>
              <w:rPr>
                <w:sz w:val="21"/>
                <w:szCs w:val="21"/>
              </w:rPr>
              <w:t>米</w:t>
            </w:r>
          </w:p>
        </w:tc>
        <w:tc>
          <w:tcPr>
            <w:tcW w:w="1580" w:type="dxa"/>
            <w:tcBorders>
              <w:tl2br w:val="nil"/>
              <w:tr2bl w:val="nil"/>
            </w:tcBorders>
            <w:noWrap w:val="0"/>
            <w:vAlign w:val="center"/>
          </w:tcPr>
          <w:p>
            <w:pPr>
              <w:spacing w:line="240" w:lineRule="auto"/>
              <w:ind w:firstLine="0" w:firstLineChars="0"/>
              <w:jc w:val="center"/>
              <w:rPr>
                <w:sz w:val="21"/>
                <w:szCs w:val="21"/>
              </w:rPr>
            </w:pPr>
            <w:r>
              <w:rPr>
                <w:rFonts w:hint="eastAsia"/>
                <w:sz w:val="21"/>
                <w:szCs w:val="21"/>
                <w:lang w:val="en-US" w:eastAsia="zh-CN"/>
              </w:rPr>
              <w:t>1</w:t>
            </w:r>
            <w:r>
              <w:rPr>
                <w:sz w:val="21"/>
                <w:szCs w:val="21"/>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50" w:type="dxa"/>
            <w:tcBorders>
              <w:tl2br w:val="nil"/>
              <w:tr2bl w:val="nil"/>
            </w:tcBorders>
            <w:noWrap w:val="0"/>
            <w:vAlign w:val="center"/>
          </w:tcPr>
          <w:p>
            <w:pPr>
              <w:spacing w:line="240" w:lineRule="auto"/>
              <w:ind w:firstLine="0" w:firstLineChars="0"/>
              <w:jc w:val="center"/>
              <w:rPr>
                <w:sz w:val="21"/>
                <w:szCs w:val="21"/>
              </w:rPr>
            </w:pPr>
            <w:r>
              <w:rPr>
                <w:sz w:val="21"/>
                <w:szCs w:val="21"/>
              </w:rPr>
              <w:t>6</w:t>
            </w:r>
          </w:p>
        </w:tc>
        <w:tc>
          <w:tcPr>
            <w:tcW w:w="3530" w:type="dxa"/>
            <w:tcBorders>
              <w:tl2br w:val="nil"/>
              <w:tr2bl w:val="nil"/>
            </w:tcBorders>
            <w:noWrap w:val="0"/>
            <w:vAlign w:val="center"/>
          </w:tcPr>
          <w:p>
            <w:pPr>
              <w:spacing w:line="240" w:lineRule="auto"/>
              <w:ind w:firstLine="0" w:firstLineChars="0"/>
              <w:jc w:val="center"/>
              <w:rPr>
                <w:sz w:val="21"/>
                <w:szCs w:val="21"/>
              </w:rPr>
            </w:pPr>
            <w:r>
              <w:rPr>
                <w:sz w:val="21"/>
                <w:szCs w:val="21"/>
              </w:rPr>
              <w:t>HDPE排水主干管DN800</w:t>
            </w:r>
          </w:p>
        </w:tc>
        <w:tc>
          <w:tcPr>
            <w:tcW w:w="1662" w:type="dxa"/>
            <w:tcBorders>
              <w:tl2br w:val="nil"/>
              <w:tr2bl w:val="nil"/>
            </w:tcBorders>
            <w:noWrap w:val="0"/>
            <w:vAlign w:val="center"/>
          </w:tcPr>
          <w:p>
            <w:pPr>
              <w:spacing w:line="240" w:lineRule="auto"/>
              <w:ind w:firstLine="0" w:firstLineChars="0"/>
              <w:jc w:val="center"/>
              <w:rPr>
                <w:sz w:val="21"/>
                <w:szCs w:val="21"/>
              </w:rPr>
            </w:pPr>
            <w:r>
              <w:rPr>
                <w:sz w:val="21"/>
                <w:szCs w:val="21"/>
              </w:rPr>
              <w:t>米</w:t>
            </w:r>
          </w:p>
        </w:tc>
        <w:tc>
          <w:tcPr>
            <w:tcW w:w="1580" w:type="dxa"/>
            <w:tcBorders>
              <w:tl2br w:val="nil"/>
              <w:tr2bl w:val="nil"/>
            </w:tcBorders>
            <w:noWrap w:val="0"/>
            <w:vAlign w:val="center"/>
          </w:tcPr>
          <w:p>
            <w:pPr>
              <w:spacing w:line="240" w:lineRule="auto"/>
              <w:ind w:firstLine="0" w:firstLineChars="0"/>
              <w:jc w:val="center"/>
              <w:rPr>
                <w:sz w:val="21"/>
                <w:szCs w:val="21"/>
              </w:rPr>
            </w:pPr>
            <w:r>
              <w:rPr>
                <w:sz w:val="21"/>
                <w:szCs w:val="21"/>
              </w:rPr>
              <w:t>1</w:t>
            </w:r>
            <w:r>
              <w:rPr>
                <w:rFonts w:hint="eastAsia"/>
                <w:sz w:val="21"/>
                <w:szCs w:val="21"/>
                <w:lang w:val="en-US" w:eastAsia="zh-CN"/>
              </w:rPr>
              <w:t>2</w:t>
            </w:r>
            <w:r>
              <w:rPr>
                <w:sz w:val="21"/>
                <w:szCs w:val="21"/>
              </w:rPr>
              <w:t>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50" w:type="dxa"/>
            <w:tcBorders>
              <w:tl2br w:val="nil"/>
              <w:tr2bl w:val="nil"/>
            </w:tcBorders>
            <w:noWrap w:val="0"/>
            <w:vAlign w:val="center"/>
          </w:tcPr>
          <w:p>
            <w:pPr>
              <w:spacing w:line="240" w:lineRule="auto"/>
              <w:ind w:firstLine="0" w:firstLineChars="0"/>
              <w:jc w:val="center"/>
              <w:rPr>
                <w:sz w:val="21"/>
                <w:szCs w:val="21"/>
              </w:rPr>
            </w:pPr>
            <w:r>
              <w:rPr>
                <w:sz w:val="21"/>
                <w:szCs w:val="21"/>
              </w:rPr>
              <w:t>7</w:t>
            </w:r>
          </w:p>
        </w:tc>
        <w:tc>
          <w:tcPr>
            <w:tcW w:w="3530" w:type="dxa"/>
            <w:tcBorders>
              <w:tl2br w:val="nil"/>
              <w:tr2bl w:val="nil"/>
            </w:tcBorders>
            <w:noWrap w:val="0"/>
            <w:vAlign w:val="center"/>
          </w:tcPr>
          <w:p>
            <w:pPr>
              <w:spacing w:line="240" w:lineRule="auto"/>
              <w:ind w:firstLine="0" w:firstLineChars="0"/>
              <w:jc w:val="center"/>
              <w:rPr>
                <w:sz w:val="21"/>
                <w:szCs w:val="21"/>
              </w:rPr>
            </w:pPr>
            <w:r>
              <w:rPr>
                <w:sz w:val="21"/>
                <w:szCs w:val="21"/>
              </w:rPr>
              <w:t>合计</w:t>
            </w:r>
          </w:p>
        </w:tc>
        <w:tc>
          <w:tcPr>
            <w:tcW w:w="1662" w:type="dxa"/>
            <w:tcBorders>
              <w:tl2br w:val="nil"/>
              <w:tr2bl w:val="nil"/>
            </w:tcBorders>
            <w:noWrap w:val="0"/>
            <w:vAlign w:val="center"/>
          </w:tcPr>
          <w:p>
            <w:pPr>
              <w:spacing w:line="240" w:lineRule="auto"/>
              <w:ind w:firstLine="0" w:firstLineChars="0"/>
              <w:jc w:val="center"/>
              <w:rPr>
                <w:sz w:val="21"/>
                <w:szCs w:val="21"/>
              </w:rPr>
            </w:pPr>
            <w:r>
              <w:rPr>
                <w:sz w:val="21"/>
                <w:szCs w:val="21"/>
              </w:rPr>
              <w:t>米</w:t>
            </w:r>
          </w:p>
        </w:tc>
        <w:tc>
          <w:tcPr>
            <w:tcW w:w="1580" w:type="dxa"/>
            <w:tcBorders>
              <w:tl2br w:val="nil"/>
              <w:tr2bl w:val="nil"/>
            </w:tcBorders>
            <w:noWrap w:val="0"/>
            <w:vAlign w:val="center"/>
          </w:tcPr>
          <w:p>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2100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750" w:type="dxa"/>
            <w:tcBorders>
              <w:tl2br w:val="nil"/>
              <w:tr2bl w:val="nil"/>
            </w:tcBorders>
            <w:noWrap w:val="0"/>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排水管</w:t>
            </w:r>
          </w:p>
        </w:tc>
        <w:tc>
          <w:tcPr>
            <w:tcW w:w="3530" w:type="dxa"/>
            <w:tcBorders>
              <w:tl2br w:val="nil"/>
              <w:tr2bl w:val="nil"/>
            </w:tcBorders>
            <w:noWrap w:val="0"/>
            <w:vAlign w:val="center"/>
          </w:tcPr>
          <w:p>
            <w:pPr>
              <w:spacing w:line="240" w:lineRule="auto"/>
              <w:ind w:firstLine="0" w:firstLineChars="0"/>
              <w:jc w:val="center"/>
              <w:rPr>
                <w:sz w:val="21"/>
                <w:szCs w:val="21"/>
              </w:rPr>
            </w:pPr>
            <w:r>
              <w:rPr>
                <w:sz w:val="21"/>
                <w:szCs w:val="21"/>
              </w:rPr>
              <w:t>HDPE排水管DN300</w:t>
            </w:r>
          </w:p>
        </w:tc>
        <w:tc>
          <w:tcPr>
            <w:tcW w:w="1662" w:type="dxa"/>
            <w:tcBorders>
              <w:tl2br w:val="nil"/>
              <w:tr2bl w:val="nil"/>
            </w:tcBorders>
            <w:noWrap w:val="0"/>
            <w:vAlign w:val="center"/>
          </w:tcPr>
          <w:p>
            <w:pPr>
              <w:spacing w:line="240" w:lineRule="auto"/>
              <w:ind w:firstLine="0" w:firstLineChars="0"/>
              <w:jc w:val="center"/>
              <w:rPr>
                <w:rFonts w:hint="eastAsia" w:eastAsia="宋体"/>
                <w:sz w:val="21"/>
                <w:szCs w:val="21"/>
                <w:lang w:eastAsia="zh-CN"/>
              </w:rPr>
            </w:pPr>
            <w:r>
              <w:rPr>
                <w:rFonts w:hint="eastAsia"/>
                <w:sz w:val="21"/>
                <w:szCs w:val="21"/>
                <w:lang w:eastAsia="zh-CN"/>
              </w:rPr>
              <w:t>米</w:t>
            </w:r>
          </w:p>
        </w:tc>
        <w:tc>
          <w:tcPr>
            <w:tcW w:w="1580" w:type="dxa"/>
            <w:tcBorders>
              <w:tl2br w:val="nil"/>
              <w:tr2bl w:val="nil"/>
            </w:tcBorders>
            <w:noWrap w:val="0"/>
            <w:vAlign w:val="center"/>
          </w:tcPr>
          <w:p>
            <w:pPr>
              <w:spacing w:line="240" w:lineRule="auto"/>
              <w:ind w:firstLine="0" w:firstLineChars="0"/>
              <w:jc w:val="center"/>
              <w:rPr>
                <w:rFonts w:hint="default"/>
                <w:sz w:val="21"/>
                <w:szCs w:val="21"/>
                <w:lang w:val="en-US" w:eastAsia="zh-CN"/>
              </w:rPr>
            </w:pPr>
            <w:r>
              <w:rPr>
                <w:rFonts w:hint="eastAsia"/>
                <w:sz w:val="21"/>
                <w:szCs w:val="21"/>
                <w:lang w:val="en-US" w:eastAsia="zh-CN"/>
              </w:rPr>
              <w:t>100</w:t>
            </w:r>
          </w:p>
        </w:tc>
      </w:tr>
    </w:tbl>
    <w:p>
      <w:pPr>
        <w:pStyle w:val="8"/>
        <w:spacing w:before="120"/>
        <w:rPr>
          <w:rFonts w:hint="eastAsia"/>
          <w:color w:val="000000"/>
          <w:kern w:val="0"/>
        </w:rPr>
      </w:pPr>
      <w:r>
        <w:rPr>
          <w:color w:val="000000"/>
          <w:kern w:val="0"/>
        </w:rPr>
        <w:t>2</w:t>
      </w:r>
      <w:r>
        <w:rPr>
          <w:rFonts w:hint="eastAsia"/>
          <w:color w:val="000000"/>
          <w:kern w:val="0"/>
        </w:rPr>
        <w:t>.</w:t>
      </w:r>
      <w:r>
        <w:rPr>
          <w:color w:val="000000"/>
          <w:kern w:val="0"/>
        </w:rPr>
        <w:t>1</w:t>
      </w:r>
      <w:r>
        <w:rPr>
          <w:rFonts w:hint="eastAsia"/>
          <w:color w:val="000000"/>
          <w:kern w:val="0"/>
        </w:rPr>
        <w:t>.</w:t>
      </w:r>
      <w:r>
        <w:rPr>
          <w:rFonts w:hint="eastAsia"/>
          <w:color w:val="000000"/>
          <w:kern w:val="0"/>
          <w:lang w:val="en-US" w:eastAsia="zh-CN"/>
        </w:rPr>
        <w:t>5</w:t>
      </w:r>
      <w:r>
        <w:rPr>
          <w:rFonts w:hint="eastAsia"/>
          <w:color w:val="000000"/>
          <w:kern w:val="0"/>
        </w:rPr>
        <w:t>总平面布置</w:t>
      </w:r>
      <w:bookmarkEnd w:id="165"/>
      <w:bookmarkEnd w:id="166"/>
      <w:bookmarkEnd w:id="167"/>
    </w:p>
    <w:p>
      <w:pPr>
        <w:widowControl w:val="0"/>
        <w:suppressAutoHyphens/>
        <w:wordWrap w:val="0"/>
        <w:topLinePunct/>
        <w:ind w:firstLine="480"/>
        <w:rPr>
          <w:rFonts w:hint="eastAsia"/>
          <w:color w:val="auto"/>
          <w:kern w:val="0"/>
        </w:rPr>
      </w:pPr>
      <w:r>
        <w:rPr>
          <w:rFonts w:hint="eastAsia"/>
          <w:color w:val="auto"/>
        </w:rPr>
        <w:t>花垣县工业集中区重金属废水处理厂平面布置根据城市主导风向、进水方向、排放水体位置、工艺流程特点及厂址地形、地质条件等因素进行布置。本项目建设总体为西南只东北走向的矩形，项目从西南侧进水，依次设置有配套设施用房、调节池（位于配套用房地下）、加药间、4座反应池、2座混凝反应池、2座絮凝反应池、絮凝沉淀池、二沉池、中间水池、缓冲池、清水池、石英砂过滤、污泥浓缩池、污泥压缩房、在线监控房，项目排污口设置在东北侧，靠近花垣产业开发区污水处理厂一侧。格栅池和调节池位于厂区</w:t>
      </w:r>
      <w:r>
        <w:rPr>
          <w:rFonts w:hint="eastAsia"/>
          <w:color w:val="auto"/>
          <w:lang w:eastAsia="zh-CN"/>
        </w:rPr>
        <w:t>西南侧</w:t>
      </w:r>
      <w:r>
        <w:rPr>
          <w:rFonts w:hint="eastAsia"/>
          <w:color w:val="auto"/>
        </w:rPr>
        <w:t>，便于进水</w:t>
      </w:r>
      <w:r>
        <w:rPr>
          <w:rFonts w:hint="eastAsia"/>
          <w:color w:val="auto"/>
          <w:lang w:eastAsia="zh-CN"/>
        </w:rPr>
        <w:t>，出水设置在东北侧，与花垣县工业集中区污水处理厂相邻，便于废水排放</w:t>
      </w:r>
      <w:r>
        <w:rPr>
          <w:rFonts w:hint="eastAsia"/>
          <w:color w:val="auto"/>
        </w:rPr>
        <w:t>；加药间和储存室位于厂区</w:t>
      </w:r>
      <w:r>
        <w:rPr>
          <w:rFonts w:hint="eastAsia"/>
          <w:color w:val="auto"/>
          <w:lang w:eastAsia="zh-CN"/>
        </w:rPr>
        <w:t>西南</w:t>
      </w:r>
      <w:r>
        <w:rPr>
          <w:rFonts w:hint="eastAsia"/>
          <w:color w:val="auto"/>
        </w:rPr>
        <w:t>面，北面反应池、絮凝沉淀池等，为处理主体工程；风机房、电控室、压滤机房、值班室等位于厂区西面，便于运营管理。</w:t>
      </w:r>
    </w:p>
    <w:p>
      <w:pPr>
        <w:pStyle w:val="8"/>
        <w:spacing w:before="120"/>
        <w:rPr>
          <w:color w:val="000000"/>
          <w:kern w:val="0"/>
          <w:u w:val="single"/>
        </w:rPr>
      </w:pPr>
      <w:bookmarkStart w:id="168" w:name="_Toc489349981"/>
      <w:bookmarkStart w:id="169" w:name="_Toc489350141"/>
      <w:bookmarkStart w:id="170" w:name="_Toc489350242"/>
      <w:r>
        <w:rPr>
          <w:color w:val="000000"/>
          <w:kern w:val="0"/>
          <w:u w:val="single"/>
        </w:rPr>
        <w:t>2</w:t>
      </w:r>
      <w:r>
        <w:rPr>
          <w:rFonts w:hint="eastAsia"/>
          <w:color w:val="000000"/>
          <w:kern w:val="0"/>
          <w:u w:val="single"/>
        </w:rPr>
        <w:t>.</w:t>
      </w:r>
      <w:r>
        <w:rPr>
          <w:color w:val="000000"/>
          <w:kern w:val="0"/>
          <w:u w:val="single"/>
        </w:rPr>
        <w:t>1</w:t>
      </w:r>
      <w:r>
        <w:rPr>
          <w:rFonts w:hint="eastAsia"/>
          <w:color w:val="000000"/>
          <w:kern w:val="0"/>
          <w:u w:val="single"/>
        </w:rPr>
        <w:t>.6  污水</w:t>
      </w:r>
      <w:r>
        <w:rPr>
          <w:rFonts w:hint="eastAsia"/>
          <w:color w:val="000000"/>
          <w:kern w:val="0"/>
          <w:u w:val="single"/>
          <w:lang w:eastAsia="zh-CN"/>
        </w:rPr>
        <w:t>水量、水质</w:t>
      </w:r>
      <w:r>
        <w:rPr>
          <w:rFonts w:hint="eastAsia"/>
          <w:color w:val="000000"/>
          <w:kern w:val="0"/>
          <w:u w:val="single"/>
        </w:rPr>
        <w:t>预测</w:t>
      </w:r>
      <w:bookmarkEnd w:id="168"/>
      <w:bookmarkEnd w:id="169"/>
      <w:bookmarkEnd w:id="170"/>
    </w:p>
    <w:p>
      <w:pPr>
        <w:pStyle w:val="81"/>
        <w:rPr>
          <w:rFonts w:hint="default" w:eastAsia="宋体"/>
          <w:color w:val="000000"/>
          <w:kern w:val="0"/>
          <w:u w:val="single"/>
          <w:lang w:val="en-US" w:eastAsia="zh-CN"/>
        </w:rPr>
      </w:pPr>
      <w:r>
        <w:rPr>
          <w:rFonts w:hint="eastAsia"/>
          <w:color w:val="000000"/>
          <w:kern w:val="0"/>
          <w:u w:val="single"/>
          <w:lang w:val="en-US" w:eastAsia="zh-CN"/>
        </w:rPr>
        <w:t>2.1.6.1 纳污范围</w:t>
      </w:r>
    </w:p>
    <w:p>
      <w:pPr>
        <w:ind w:firstLine="480"/>
        <w:rPr>
          <w:rFonts w:hint="eastAsia"/>
          <w:color w:val="000000"/>
          <w:kern w:val="0"/>
          <w:u w:val="single"/>
        </w:rPr>
      </w:pPr>
      <w:r>
        <w:rPr>
          <w:rFonts w:hint="eastAsia"/>
          <w:color w:val="000000"/>
          <w:kern w:val="0"/>
          <w:u w:val="single"/>
        </w:rPr>
        <w:t>根据调查，现花垣产业开发区已入驻的涉重企业有4家，目前4家涉重企业重金属废水正常情况下均经厂内自建的污水处理站处理回用于生产，不外排。现已入驻的涉重企业重金属废水回用前提是企业正常生产情况下，考虑到生产线事故状态企业无法正常生产，企业厂区的渣场废水、初期雨水等含重金属废水仍然会产生，重金属废水不能及时得到回用，存在一定的环境风险；且综合考虑花垣县产业开发区产业定位为重点发展锰、锌矿产品，园区后期也会引进涉重企业，存在重金属废水外排的情况。</w:t>
      </w:r>
    </w:p>
    <w:p>
      <w:pPr>
        <w:ind w:firstLine="480"/>
        <w:rPr>
          <w:rFonts w:hint="eastAsia" w:ascii="Times New Roman" w:hAnsi="Times New Roman" w:eastAsia="宋体" w:cs="Times New Roman"/>
          <w:color w:val="000000"/>
          <w:kern w:val="0"/>
          <w:u w:val="single"/>
          <w:lang w:eastAsia="zh-CN"/>
        </w:rPr>
      </w:pPr>
      <w:r>
        <w:rPr>
          <w:rFonts w:hint="eastAsia"/>
          <w:color w:val="000000"/>
          <w:kern w:val="0"/>
          <w:u w:val="single"/>
        </w:rPr>
        <w:t>本工程为重金属污水处理</w:t>
      </w:r>
      <w:r>
        <w:rPr>
          <w:rFonts w:hint="eastAsia"/>
          <w:color w:val="000000"/>
          <w:kern w:val="0"/>
          <w:u w:val="single"/>
          <w:lang w:eastAsia="zh-CN"/>
        </w:rPr>
        <w:t>站</w:t>
      </w:r>
      <w:r>
        <w:rPr>
          <w:rFonts w:hint="eastAsia"/>
          <w:color w:val="000000"/>
          <w:kern w:val="0"/>
          <w:u w:val="single"/>
        </w:rPr>
        <w:t>，废水处理工艺为“化学沉淀分离+石英砂过滤”。</w:t>
      </w:r>
      <w:r>
        <w:rPr>
          <w:rFonts w:hint="eastAsia"/>
          <w:color w:val="auto"/>
          <w:kern w:val="0"/>
          <w:u w:val="single"/>
        </w:rPr>
        <w:t>花垣县工业集中区内已</w:t>
      </w:r>
      <w:r>
        <w:rPr>
          <w:rFonts w:hint="eastAsia"/>
          <w:color w:val="auto"/>
          <w:kern w:val="0"/>
          <w:u w:val="single"/>
          <w:lang w:eastAsia="zh-CN"/>
        </w:rPr>
        <w:t>入驻</w:t>
      </w:r>
      <w:r>
        <w:rPr>
          <w:rFonts w:hint="eastAsia"/>
          <w:color w:val="auto"/>
          <w:kern w:val="0"/>
          <w:u w:val="single"/>
        </w:rPr>
        <w:t>企业中有</w:t>
      </w:r>
      <w:r>
        <w:rPr>
          <w:rFonts w:hint="eastAsia"/>
          <w:color w:val="auto"/>
          <w:kern w:val="0"/>
          <w:u w:val="single"/>
          <w:lang w:val="en-US" w:eastAsia="zh-CN"/>
        </w:rPr>
        <w:t>4</w:t>
      </w:r>
      <w:r>
        <w:rPr>
          <w:rFonts w:hint="eastAsia"/>
          <w:color w:val="auto"/>
          <w:kern w:val="0"/>
          <w:u w:val="single"/>
        </w:rPr>
        <w:t>家含重金属排放废水企业，主要</w:t>
      </w:r>
      <w:r>
        <w:rPr>
          <w:rFonts w:hint="eastAsia"/>
          <w:color w:val="000000"/>
          <w:kern w:val="0"/>
          <w:u w:val="single"/>
        </w:rPr>
        <w:t>涉及锰、铅、锌、六价铬等。</w:t>
      </w:r>
      <w:r>
        <w:rPr>
          <w:rFonts w:hint="eastAsia"/>
          <w:color w:val="000000"/>
          <w:kern w:val="0"/>
          <w:u w:val="single"/>
          <w:lang w:eastAsia="zh-CN"/>
        </w:rPr>
        <w:t>本次纳污范围为</w:t>
      </w:r>
      <w:r>
        <w:rPr>
          <w:rFonts w:hint="eastAsia"/>
          <w:color w:val="000000"/>
          <w:kern w:val="0"/>
          <w:u w:val="single"/>
          <w:lang w:val="en-US" w:eastAsia="zh-CN"/>
        </w:rPr>
        <w:t>4家涉重企业，</w:t>
      </w:r>
      <w:r>
        <w:rPr>
          <w:rFonts w:hint="eastAsia"/>
          <w:color w:val="000000"/>
          <w:kern w:val="0"/>
          <w:u w:val="single"/>
          <w:lang w:eastAsia="zh-CN"/>
        </w:rPr>
        <w:t>本次废水水量及水质参考已入驻企业废水产生情</w:t>
      </w:r>
      <w:r>
        <w:rPr>
          <w:rFonts w:hint="eastAsia" w:ascii="Times New Roman" w:hAnsi="Times New Roman" w:eastAsia="宋体" w:cs="Times New Roman"/>
          <w:color w:val="000000"/>
          <w:kern w:val="0"/>
          <w:u w:val="single"/>
          <w:lang w:eastAsia="zh-CN"/>
        </w:rPr>
        <w:t>况进行分析</w:t>
      </w:r>
      <w:r>
        <w:rPr>
          <w:rFonts w:hint="eastAsia" w:ascii="Times New Roman" w:hAnsi="Times New Roman" w:eastAsia="宋体" w:cs="Times New Roman"/>
          <w:color w:val="000000"/>
          <w:kern w:val="0"/>
          <w:u w:val="single"/>
        </w:rPr>
        <w:t>，</w:t>
      </w:r>
      <w:r>
        <w:rPr>
          <w:rFonts w:hint="eastAsia" w:ascii="Times New Roman" w:hAnsi="Times New Roman" w:eastAsia="宋体" w:cs="Times New Roman"/>
          <w:color w:val="000000"/>
          <w:kern w:val="0"/>
          <w:u w:val="single"/>
          <w:lang w:val="en-US" w:eastAsia="zh-CN"/>
        </w:rPr>
        <w:t>4</w:t>
      </w:r>
      <w:r>
        <w:rPr>
          <w:rFonts w:hint="eastAsia" w:ascii="Times New Roman" w:hAnsi="Times New Roman" w:eastAsia="宋体" w:cs="Times New Roman"/>
          <w:color w:val="000000"/>
          <w:kern w:val="0"/>
          <w:u w:val="single"/>
        </w:rPr>
        <w:t>家重金属废水排放企业如下</w:t>
      </w:r>
      <w:r>
        <w:rPr>
          <w:rFonts w:hint="eastAsia" w:ascii="Times New Roman" w:hAnsi="Times New Roman" w:eastAsia="宋体" w:cs="Times New Roman"/>
          <w:color w:val="000000"/>
          <w:kern w:val="0"/>
          <w:u w:val="single"/>
          <w:lang w:eastAsia="zh-CN"/>
        </w:rPr>
        <w:t>：</w:t>
      </w:r>
    </w:p>
    <w:p>
      <w:pPr>
        <w:ind w:firstLine="480"/>
        <w:rPr>
          <w:rFonts w:hint="eastAsia" w:ascii="Times New Roman" w:hAnsi="Times New Roman" w:eastAsia="宋体" w:cs="Times New Roman"/>
          <w:b/>
          <w:bCs/>
          <w:color w:val="000000"/>
          <w:kern w:val="0"/>
          <w:u w:val="single"/>
          <w:lang w:eastAsia="zh-CN"/>
        </w:rPr>
      </w:pPr>
      <w:r>
        <w:rPr>
          <w:rFonts w:hint="eastAsia" w:eastAsia="宋体" w:cs="Times New Roman"/>
          <w:b/>
          <w:bCs/>
          <w:color w:val="000000"/>
          <w:kern w:val="0"/>
          <w:u w:val="single"/>
          <w:lang w:eastAsia="zh-CN"/>
        </w:rPr>
        <w:t>（</w:t>
      </w:r>
      <w:r>
        <w:rPr>
          <w:rFonts w:hint="eastAsia" w:eastAsia="宋体" w:cs="Times New Roman"/>
          <w:b/>
          <w:bCs/>
          <w:color w:val="000000"/>
          <w:kern w:val="0"/>
          <w:u w:val="single"/>
          <w:lang w:val="en-US" w:eastAsia="zh-CN"/>
        </w:rPr>
        <w:t>1</w:t>
      </w:r>
      <w:r>
        <w:rPr>
          <w:rFonts w:hint="eastAsia" w:eastAsia="宋体" w:cs="Times New Roman"/>
          <w:b/>
          <w:bCs/>
          <w:color w:val="000000"/>
          <w:kern w:val="0"/>
          <w:u w:val="single"/>
          <w:lang w:eastAsia="zh-CN"/>
        </w:rPr>
        <w:t>）</w:t>
      </w:r>
      <w:r>
        <w:rPr>
          <w:rFonts w:hint="eastAsia" w:ascii="Times New Roman" w:hAnsi="Times New Roman" w:eastAsia="宋体" w:cs="Times New Roman"/>
          <w:b/>
          <w:bCs/>
          <w:color w:val="000000"/>
          <w:kern w:val="0"/>
          <w:u w:val="single"/>
          <w:lang w:eastAsia="zh-CN"/>
        </w:rPr>
        <w:t>、湖南东方矿业有限公司：</w:t>
      </w:r>
    </w:p>
    <w:p>
      <w:pPr>
        <w:ind w:firstLine="480"/>
        <w:rPr>
          <w:rFonts w:hint="default" w:ascii="Times New Roman" w:hAnsi="Times New Roman" w:eastAsia="宋体" w:cs="Times New Roman"/>
          <w:color w:val="000000"/>
          <w:kern w:val="0"/>
          <w:u w:val="single"/>
          <w:lang w:val="en-US" w:eastAsia="zh-CN"/>
        </w:rPr>
      </w:pPr>
      <w:r>
        <w:rPr>
          <w:rFonts w:hint="eastAsia" w:ascii="Times New Roman" w:hAnsi="Times New Roman" w:eastAsia="宋体" w:cs="Times New Roman"/>
          <w:color w:val="000000"/>
          <w:kern w:val="0"/>
          <w:u w:val="single"/>
        </w:rPr>
        <w:t>湖南东方矿业有限公司</w:t>
      </w:r>
      <w:r>
        <w:rPr>
          <w:rFonts w:hint="eastAsia" w:ascii="Times New Roman" w:hAnsi="Times New Roman" w:eastAsia="宋体" w:cs="Times New Roman"/>
          <w:color w:val="000000"/>
          <w:kern w:val="0"/>
          <w:u w:val="single"/>
          <w:lang w:eastAsia="zh-CN"/>
        </w:rPr>
        <w:t>设置</w:t>
      </w:r>
      <w:r>
        <w:rPr>
          <w:rFonts w:hint="eastAsia" w:ascii="Times New Roman" w:hAnsi="Times New Roman" w:eastAsia="宋体" w:cs="Times New Roman"/>
          <w:color w:val="000000"/>
          <w:kern w:val="0"/>
          <w:u w:val="single"/>
        </w:rPr>
        <w:t>15条1万吨/年的电解锰生产线，</w:t>
      </w:r>
      <w:r>
        <w:rPr>
          <w:rFonts w:hint="eastAsia" w:ascii="Times New Roman" w:hAnsi="Times New Roman" w:eastAsia="宋体" w:cs="Times New Roman"/>
          <w:color w:val="000000"/>
          <w:kern w:val="0"/>
          <w:u w:val="single"/>
          <w:lang w:eastAsia="zh-CN"/>
        </w:rPr>
        <w:t>批复</w:t>
      </w:r>
      <w:r>
        <w:rPr>
          <w:rFonts w:hint="eastAsia" w:ascii="Times New Roman" w:hAnsi="Times New Roman" w:eastAsia="宋体" w:cs="Times New Roman"/>
          <w:color w:val="000000"/>
          <w:kern w:val="0"/>
          <w:u w:val="single"/>
        </w:rPr>
        <w:t>总产能15万吨/年</w:t>
      </w:r>
      <w:r>
        <w:rPr>
          <w:rFonts w:hint="eastAsia" w:ascii="Times New Roman" w:hAnsi="Times New Roman" w:eastAsia="宋体" w:cs="Times New Roman"/>
          <w:color w:val="000000"/>
          <w:kern w:val="0"/>
          <w:u w:val="single"/>
          <w:lang w:eastAsia="zh-CN"/>
        </w:rPr>
        <w:t>。2011年1月由湖南省环境保护科学研究院完成环评报告书，2011年1月28日湖南省环境保护厅以湘环评[2011]23号文予以批复，该项目于</w:t>
      </w:r>
      <w:r>
        <w:rPr>
          <w:rFonts w:hint="eastAsia" w:ascii="Times New Roman" w:hAnsi="Times New Roman" w:eastAsia="宋体" w:cs="Times New Roman"/>
          <w:color w:val="000000"/>
          <w:kern w:val="0"/>
          <w:u w:val="single"/>
          <w:lang w:val="en-US" w:eastAsia="zh-CN"/>
        </w:rPr>
        <w:t>2011年4月建设，2014年12月投入试运营。该项目于2017年1月24日取得了环保验收的批复。</w:t>
      </w:r>
    </w:p>
    <w:p>
      <w:pPr>
        <w:ind w:firstLine="480"/>
        <w:rPr>
          <w:rFonts w:hint="eastAsia" w:ascii="Times New Roman" w:hAnsi="Times New Roman" w:eastAsia="宋体" w:cs="Times New Roman"/>
          <w:color w:val="000000"/>
          <w:kern w:val="0"/>
          <w:u w:val="single"/>
          <w:lang w:eastAsia="zh-CN"/>
        </w:rPr>
      </w:pPr>
      <w:r>
        <w:rPr>
          <w:rFonts w:hint="eastAsia" w:ascii="Times New Roman" w:hAnsi="Times New Roman" w:eastAsia="宋体" w:cs="Times New Roman"/>
          <w:color w:val="000000"/>
          <w:kern w:val="0"/>
          <w:u w:val="single"/>
          <w:lang w:eastAsia="zh-CN"/>
        </w:rPr>
        <w:t>根据查阅湖南东方矿业有限公司环评报告以及环评批复，验收报告验收批复等资料，调查分析该企业重金属废水产生情况。</w:t>
      </w:r>
    </w:p>
    <w:p>
      <w:pPr>
        <w:pStyle w:val="16"/>
        <w:spacing w:before="26" w:line="338" w:lineRule="auto"/>
        <w:ind w:left="137" w:right="45" w:firstLine="480"/>
        <w:jc w:val="left"/>
        <w:rPr>
          <w:rFonts w:hint="eastAsia" w:eastAsia="宋体"/>
          <w:u w:val="single"/>
          <w:lang w:eastAsia="zh-CN"/>
        </w:rPr>
      </w:pPr>
      <w:r>
        <w:rPr>
          <w:rFonts w:hint="eastAsia"/>
          <w:u w:val="single"/>
        </w:rPr>
        <w:t>湖南东方矿业有限公司</w:t>
      </w:r>
      <w:r>
        <w:rPr>
          <w:u w:val="single"/>
        </w:rPr>
        <w:t>主要废水污染源是含铬废水</w:t>
      </w:r>
      <w:r>
        <w:rPr>
          <w:rFonts w:ascii="Times New Roman" w:hAnsi="Times New Roman" w:eastAsia="Times New Roman" w:cs="Times New Roman"/>
          <w:u w:val="single"/>
        </w:rPr>
        <w:t>(</w:t>
      </w:r>
      <w:r>
        <w:rPr>
          <w:u w:val="single"/>
        </w:rPr>
        <w:t>钝化、洗板槽废水、车间地面冲</w:t>
      </w:r>
      <w:r>
        <w:rPr>
          <w:spacing w:val="-59"/>
          <w:u w:val="single"/>
        </w:rPr>
        <w:t xml:space="preserve"> </w:t>
      </w:r>
      <w:r>
        <w:rPr>
          <w:spacing w:val="-3"/>
          <w:u w:val="single"/>
        </w:rPr>
        <w:t>洗水</w:t>
      </w:r>
      <w:r>
        <w:rPr>
          <w:rFonts w:ascii="Times New Roman" w:hAnsi="Times New Roman" w:eastAsia="Times New Roman" w:cs="Times New Roman"/>
          <w:spacing w:val="-3"/>
          <w:u w:val="single"/>
        </w:rPr>
        <w:t>)</w:t>
      </w:r>
      <w:r>
        <w:rPr>
          <w:spacing w:val="-3"/>
          <w:u w:val="single"/>
        </w:rPr>
        <w:t>及含锰废水</w:t>
      </w:r>
      <w:r>
        <w:rPr>
          <w:rFonts w:hint="eastAsia" w:ascii="Times New Roman" w:hAnsi="Times New Roman" w:eastAsia="宋体" w:cs="Times New Roman"/>
          <w:spacing w:val="-3"/>
          <w:u w:val="single"/>
          <w:lang w:eastAsia="zh-CN"/>
        </w:rPr>
        <w:t>（</w:t>
      </w:r>
      <w:r>
        <w:rPr>
          <w:spacing w:val="-3"/>
          <w:u w:val="single"/>
        </w:rPr>
        <w:t>压滤机滤布清洗废水、渣场渗滤液、车间地面冲洗水</w:t>
      </w:r>
      <w:r>
        <w:rPr>
          <w:rFonts w:hint="eastAsia" w:ascii="Times New Roman" w:hAnsi="Times New Roman" w:eastAsia="宋体" w:cs="Times New Roman"/>
          <w:spacing w:val="-3"/>
          <w:u w:val="single"/>
          <w:lang w:eastAsia="zh-CN"/>
        </w:rPr>
        <w:t>）</w:t>
      </w:r>
      <w:r>
        <w:rPr>
          <w:spacing w:val="-3"/>
          <w:u w:val="single"/>
        </w:rPr>
        <w:t>，主要污</w:t>
      </w:r>
      <w:r>
        <w:rPr>
          <w:spacing w:val="-95"/>
          <w:u w:val="single"/>
        </w:rPr>
        <w:t xml:space="preserve"> </w:t>
      </w:r>
      <w:r>
        <w:rPr>
          <w:spacing w:val="17"/>
          <w:u w:val="single"/>
        </w:rPr>
        <w:t>染物是锰、六价铬和氨氮</w:t>
      </w:r>
      <w:r>
        <w:rPr>
          <w:rFonts w:hint="eastAsia"/>
          <w:spacing w:val="17"/>
          <w:u w:val="single"/>
          <w:lang w:eastAsia="zh-CN"/>
        </w:rPr>
        <w:t>。</w:t>
      </w:r>
    </w:p>
    <w:p>
      <w:pPr>
        <w:pStyle w:val="16"/>
        <w:spacing w:line="360" w:lineRule="auto"/>
        <w:ind w:left="257" w:right="0" w:firstLine="480"/>
        <w:jc w:val="left"/>
        <w:rPr>
          <w:rFonts w:hint="eastAsia" w:eastAsia="宋体"/>
          <w:u w:val="single"/>
          <w:lang w:eastAsia="zh-CN"/>
        </w:rPr>
      </w:pPr>
      <w:r>
        <w:rPr>
          <w:rFonts w:hint="eastAsia" w:ascii="Times New Roman" w:hAnsi="Times New Roman" w:eastAsia="宋体" w:cs="Times New Roman"/>
          <w:u w:val="single"/>
          <w:lang w:eastAsia="zh-CN"/>
        </w:rPr>
        <w:t>根据该企业环评及验收资料，湖南东方矿业有限公司</w:t>
      </w:r>
      <w:r>
        <w:rPr>
          <w:rFonts w:hint="default" w:ascii="Times New Roman" w:hAnsi="Times New Roman" w:eastAsia="宋体" w:cs="Times New Roman"/>
          <w:u w:val="single"/>
          <w:lang w:eastAsia="zh-CN"/>
        </w:rPr>
        <w:t>废水总废水量约为</w:t>
      </w:r>
      <w:r>
        <w:rPr>
          <w:rFonts w:hint="eastAsia" w:ascii="Times New Roman" w:hAnsi="Times New Roman" w:eastAsia="宋体" w:cs="Times New Roman"/>
          <w:u w:val="single"/>
          <w:lang w:val="en-US" w:eastAsia="zh-CN"/>
        </w:rPr>
        <w:t>900</w:t>
      </w:r>
      <w:r>
        <w:rPr>
          <w:rFonts w:hint="default" w:ascii="Times New Roman" w:hAnsi="Times New Roman" w:eastAsia="宋体" w:cs="Times New Roman"/>
          <w:color w:val="auto"/>
          <w:u w:val="single"/>
          <w:lang w:eastAsia="zh-CN"/>
        </w:rPr>
        <w:t>m</w:t>
      </w:r>
      <w:r>
        <w:rPr>
          <w:rFonts w:hint="default" w:ascii="Times New Roman" w:hAnsi="Times New Roman" w:eastAsia="宋体" w:cs="Times New Roman"/>
          <w:color w:val="auto"/>
          <w:u w:val="single"/>
          <w:vertAlign w:val="superscript"/>
          <w:lang w:eastAsia="zh-CN"/>
        </w:rPr>
        <w:t>3</w:t>
      </w:r>
      <w:r>
        <w:rPr>
          <w:rFonts w:hint="default" w:ascii="Times New Roman" w:hAnsi="Times New Roman" w:eastAsia="宋体" w:cs="Times New Roman"/>
          <w:color w:val="auto"/>
          <w:u w:val="single"/>
          <w:lang w:eastAsia="zh-CN"/>
        </w:rPr>
        <w:t>/d。</w:t>
      </w:r>
      <w:r>
        <w:rPr>
          <w:rFonts w:hint="eastAsia" w:ascii="Times New Roman" w:hAnsi="Times New Roman" w:eastAsia="宋体" w:cs="Times New Roman"/>
          <w:color w:val="auto"/>
          <w:u w:val="single"/>
          <w:lang w:eastAsia="zh-CN"/>
        </w:rPr>
        <w:t>在</w:t>
      </w:r>
      <w:r>
        <w:rPr>
          <w:rFonts w:hint="default" w:ascii="Times New Roman" w:hAnsi="Times New Roman" w:eastAsia="宋体" w:cs="Times New Roman"/>
          <w:color w:val="auto"/>
          <w:u w:val="single"/>
          <w:lang w:eastAsia="zh-CN"/>
        </w:rPr>
        <w:t>车间中和沉淀池预处理，</w:t>
      </w:r>
      <w:r>
        <w:rPr>
          <w:color w:val="auto"/>
          <w:spacing w:val="-4"/>
          <w:u w:val="single"/>
        </w:rPr>
        <w:t>使</w:t>
      </w:r>
      <w:r>
        <w:rPr>
          <w:color w:val="auto"/>
          <w:spacing w:val="-81"/>
          <w:u w:val="single"/>
        </w:rPr>
        <w:t xml:space="preserve"> </w:t>
      </w:r>
      <w:r>
        <w:rPr>
          <w:rFonts w:hint="eastAsia" w:ascii="Times New Roman" w:hAnsi="Times New Roman" w:eastAsia="宋体" w:cs="Times New Roman"/>
          <w:color w:val="auto"/>
          <w:spacing w:val="-6"/>
          <w:u w:val="single"/>
          <w:lang w:eastAsia="zh-CN"/>
        </w:rPr>
        <w:t>总铬</w:t>
      </w:r>
      <w:r>
        <w:rPr>
          <w:color w:val="auto"/>
          <w:spacing w:val="-6"/>
          <w:u w:val="single"/>
        </w:rPr>
        <w:t>、</w:t>
      </w:r>
      <w:r>
        <w:rPr>
          <w:rFonts w:hint="eastAsia" w:ascii="Times New Roman" w:hAnsi="Times New Roman" w:eastAsia="宋体" w:cs="Times New Roman"/>
          <w:color w:val="auto"/>
          <w:spacing w:val="-6"/>
          <w:u w:val="single"/>
          <w:lang w:eastAsia="zh-CN"/>
        </w:rPr>
        <w:t>六价铬</w:t>
      </w:r>
      <w:r>
        <w:rPr>
          <w:color w:val="auto"/>
          <w:spacing w:val="-3"/>
          <w:u w:val="single"/>
        </w:rPr>
        <w:t>达到《污水综合排放标准》一类污染物浓度限值后，再进入</w:t>
      </w:r>
      <w:r>
        <w:rPr>
          <w:rFonts w:hint="eastAsia"/>
          <w:color w:val="auto"/>
          <w:spacing w:val="-3"/>
          <w:u w:val="single"/>
          <w:lang w:eastAsia="zh-CN"/>
        </w:rPr>
        <w:t>企业</w:t>
      </w:r>
      <w:r>
        <w:rPr>
          <w:color w:val="auto"/>
          <w:spacing w:val="-3"/>
          <w:u w:val="single"/>
        </w:rPr>
        <w:t>厂区污水站进一步深</w:t>
      </w:r>
      <w:r>
        <w:rPr>
          <w:color w:val="auto"/>
          <w:spacing w:val="-106"/>
          <w:u w:val="single"/>
        </w:rPr>
        <w:t xml:space="preserve"> </w:t>
      </w:r>
      <w:r>
        <w:rPr>
          <w:color w:val="auto"/>
          <w:u w:val="single"/>
        </w:rPr>
        <w:t>度处理</w:t>
      </w:r>
      <w:r>
        <w:rPr>
          <w:rFonts w:hint="eastAsia"/>
          <w:color w:val="auto"/>
          <w:u w:val="single"/>
          <w:lang w:eastAsia="zh-CN"/>
        </w:rPr>
        <w:t>，处理后回用于企业生产工序，废水不外排</w:t>
      </w:r>
      <w:r>
        <w:rPr>
          <w:color w:val="auto"/>
          <w:u w:val="single"/>
        </w:rPr>
        <w:t>。进出水水质</w:t>
      </w:r>
      <w:r>
        <w:rPr>
          <w:rFonts w:hint="eastAsia"/>
          <w:color w:val="auto"/>
          <w:u w:val="single"/>
          <w:lang w:eastAsia="zh-CN"/>
        </w:rPr>
        <w:t>见下表：</w:t>
      </w:r>
    </w:p>
    <w:p>
      <w:pPr>
        <w:spacing w:line="360" w:lineRule="auto"/>
        <w:ind w:firstLine="422"/>
        <w:jc w:val="center"/>
        <w:rPr>
          <w:rFonts w:hint="eastAsia" w:ascii="Times New Roman" w:hAnsi="Times New Roman" w:eastAsia="宋体" w:cs="Times New Roman"/>
          <w:b/>
          <w:color w:val="000000"/>
          <w:kern w:val="0"/>
          <w:sz w:val="21"/>
          <w:szCs w:val="21"/>
          <w:u w:val="single"/>
        </w:rPr>
      </w:pPr>
      <w:r>
        <w:rPr>
          <w:rFonts w:hint="eastAsia" w:ascii="Times New Roman" w:hAnsi="Times New Roman" w:eastAsia="宋体" w:cs="Times New Roman"/>
          <w:b/>
          <w:color w:val="000000"/>
          <w:kern w:val="0"/>
          <w:sz w:val="21"/>
          <w:szCs w:val="21"/>
          <w:u w:val="single"/>
        </w:rPr>
        <w:t xml:space="preserve">表 </w:t>
      </w:r>
      <w:r>
        <w:rPr>
          <w:rFonts w:hint="eastAsia" w:eastAsia="宋体" w:cs="Times New Roman"/>
          <w:b/>
          <w:color w:val="000000"/>
          <w:kern w:val="0"/>
          <w:sz w:val="21"/>
          <w:szCs w:val="21"/>
          <w:u w:val="single"/>
          <w:lang w:val="en-US" w:eastAsia="zh-CN"/>
        </w:rPr>
        <w:t>2</w:t>
      </w:r>
      <w:r>
        <w:rPr>
          <w:rFonts w:hint="eastAsia" w:ascii="Times New Roman" w:hAnsi="Times New Roman" w:eastAsia="宋体" w:cs="Times New Roman"/>
          <w:b/>
          <w:color w:val="000000"/>
          <w:kern w:val="0"/>
          <w:sz w:val="21"/>
          <w:szCs w:val="21"/>
          <w:u w:val="single"/>
        </w:rPr>
        <w:t>.1-</w:t>
      </w:r>
      <w:r>
        <w:rPr>
          <w:rFonts w:hint="eastAsia" w:eastAsia="宋体" w:cs="Times New Roman"/>
          <w:b/>
          <w:color w:val="000000"/>
          <w:kern w:val="0"/>
          <w:sz w:val="21"/>
          <w:szCs w:val="21"/>
          <w:u w:val="single"/>
          <w:lang w:val="en-US" w:eastAsia="zh-CN"/>
        </w:rPr>
        <w:t>4</w:t>
      </w:r>
      <w:r>
        <w:rPr>
          <w:rFonts w:hint="eastAsia" w:ascii="Times New Roman" w:hAnsi="Times New Roman" w:eastAsia="宋体" w:cs="Times New Roman"/>
          <w:b/>
          <w:color w:val="000000"/>
          <w:kern w:val="0"/>
          <w:sz w:val="21"/>
          <w:szCs w:val="21"/>
          <w:u w:val="single"/>
        </w:rPr>
        <w:t xml:space="preserve"> </w:t>
      </w:r>
      <w:r>
        <w:rPr>
          <w:rFonts w:hint="eastAsia" w:ascii="Times New Roman" w:hAnsi="Times New Roman" w:eastAsia="宋体" w:cs="Times New Roman"/>
          <w:b/>
          <w:color w:val="000000"/>
          <w:kern w:val="0"/>
          <w:sz w:val="21"/>
          <w:szCs w:val="21"/>
          <w:u w:val="single"/>
          <w:lang w:eastAsia="zh-CN"/>
        </w:rPr>
        <w:t>湖南东方矿业有限公司重金属废水厂区污水处理站</w:t>
      </w:r>
      <w:r>
        <w:rPr>
          <w:rFonts w:hint="eastAsia" w:ascii="Times New Roman" w:hAnsi="Times New Roman" w:eastAsia="宋体" w:cs="Times New Roman"/>
          <w:b/>
          <w:color w:val="000000"/>
          <w:kern w:val="0"/>
          <w:sz w:val="21"/>
          <w:szCs w:val="21"/>
          <w:u w:val="single"/>
        </w:rPr>
        <w:t>进出水水质情况</w:t>
      </w:r>
    </w:p>
    <w:tbl>
      <w:tblPr>
        <w:tblStyle w:val="37"/>
        <w:tblW w:w="8397" w:type="dxa"/>
        <w:jc w:val="center"/>
        <w:tblLayout w:type="fixed"/>
        <w:tblCellMar>
          <w:top w:w="0" w:type="dxa"/>
          <w:left w:w="0" w:type="dxa"/>
          <w:bottom w:w="0" w:type="dxa"/>
          <w:right w:w="0" w:type="dxa"/>
        </w:tblCellMar>
      </w:tblPr>
      <w:tblGrid>
        <w:gridCol w:w="1729"/>
        <w:gridCol w:w="1584"/>
        <w:gridCol w:w="1254"/>
        <w:gridCol w:w="1393"/>
        <w:gridCol w:w="1236"/>
        <w:gridCol w:w="1201"/>
      </w:tblGrid>
      <w:tr>
        <w:tblPrEx>
          <w:tblCellMar>
            <w:top w:w="0" w:type="dxa"/>
            <w:left w:w="0" w:type="dxa"/>
            <w:bottom w:w="0" w:type="dxa"/>
            <w:right w:w="0" w:type="dxa"/>
          </w:tblCellMar>
        </w:tblPrEx>
        <w:trPr>
          <w:trHeight w:val="481" w:hRule="exact"/>
          <w:jc w:val="center"/>
        </w:trPr>
        <w:tc>
          <w:tcPr>
            <w:tcW w:w="1729" w:type="dxa"/>
            <w:tcBorders>
              <w:top w:val="single" w:color="000000" w:sz="12" w:space="0"/>
              <w:left w:val="nil"/>
              <w:bottom w:val="single" w:color="000000" w:sz="4" w:space="0"/>
              <w:right w:val="single" w:color="000000" w:sz="4" w:space="0"/>
            </w:tcBorders>
            <w:noWrap w:val="0"/>
            <w:vAlign w:val="top"/>
          </w:tcPr>
          <w:p>
            <w:pPr>
              <w:pStyle w:val="104"/>
              <w:spacing w:before="46" w:line="240" w:lineRule="auto"/>
              <w:ind w:right="8"/>
              <w:jc w:val="center"/>
              <w:rPr>
                <w:rFonts w:ascii="宋体" w:hAnsi="宋体" w:eastAsia="宋体" w:cs="宋体"/>
                <w:sz w:val="21"/>
                <w:szCs w:val="21"/>
                <w:u w:val="single"/>
              </w:rPr>
            </w:pPr>
            <w:r>
              <w:rPr>
                <w:rFonts w:ascii="宋体" w:hAnsi="宋体" w:eastAsia="宋体" w:cs="宋体"/>
                <w:sz w:val="21"/>
                <w:szCs w:val="21"/>
                <w:u w:val="single"/>
              </w:rPr>
              <w:t>项目</w:t>
            </w:r>
          </w:p>
        </w:tc>
        <w:tc>
          <w:tcPr>
            <w:tcW w:w="1584" w:type="dxa"/>
            <w:tcBorders>
              <w:top w:val="single" w:color="000000" w:sz="12" w:space="0"/>
              <w:left w:val="single" w:color="000000" w:sz="4" w:space="0"/>
              <w:bottom w:val="single" w:color="000000" w:sz="4" w:space="0"/>
              <w:right w:val="single" w:color="000000" w:sz="4" w:space="0"/>
            </w:tcBorders>
            <w:noWrap w:val="0"/>
            <w:vAlign w:val="top"/>
          </w:tcPr>
          <w:p>
            <w:pPr>
              <w:pStyle w:val="104"/>
              <w:spacing w:before="46" w:line="240" w:lineRule="auto"/>
              <w:ind w:right="8"/>
              <w:jc w:val="center"/>
              <w:rPr>
                <w:rFonts w:hint="eastAsia" w:ascii="宋体" w:hAnsi="宋体" w:eastAsia="宋体" w:cs="宋体"/>
                <w:sz w:val="21"/>
                <w:szCs w:val="21"/>
                <w:u w:val="single"/>
                <w:lang w:eastAsia="zh-CN"/>
              </w:rPr>
            </w:pPr>
            <w:r>
              <w:rPr>
                <w:rFonts w:hint="eastAsia" w:eastAsia="宋体" w:cs="宋体"/>
                <w:sz w:val="21"/>
                <w:szCs w:val="21"/>
                <w:u w:val="single"/>
                <w:lang w:eastAsia="zh-CN"/>
              </w:rPr>
              <w:t>水量</w:t>
            </w:r>
          </w:p>
        </w:tc>
        <w:tc>
          <w:tcPr>
            <w:tcW w:w="1254" w:type="dxa"/>
            <w:tcBorders>
              <w:top w:val="single" w:color="000000" w:sz="12" w:space="0"/>
              <w:left w:val="single" w:color="000000" w:sz="4" w:space="0"/>
              <w:bottom w:val="single" w:color="000000" w:sz="4" w:space="0"/>
              <w:right w:val="single" w:color="000000" w:sz="4" w:space="0"/>
            </w:tcBorders>
            <w:noWrap w:val="0"/>
            <w:vAlign w:val="top"/>
          </w:tcPr>
          <w:p>
            <w:pPr>
              <w:pStyle w:val="104"/>
              <w:spacing w:before="95" w:line="240" w:lineRule="auto"/>
              <w:ind w:right="0"/>
              <w:jc w:val="center"/>
              <w:rPr>
                <w:rFonts w:ascii="Times New Roman" w:hAnsi="Times New Roman" w:eastAsia="Times New Roman" w:cs="Times New Roman"/>
                <w:sz w:val="21"/>
                <w:szCs w:val="21"/>
                <w:u w:val="single"/>
              </w:rPr>
            </w:pPr>
            <w:r>
              <w:rPr>
                <w:rFonts w:ascii="Times New Roman"/>
                <w:sz w:val="21"/>
                <w:u w:val="single"/>
              </w:rPr>
              <w:t>pH</w:t>
            </w:r>
          </w:p>
        </w:tc>
        <w:tc>
          <w:tcPr>
            <w:tcW w:w="1393" w:type="dxa"/>
            <w:tcBorders>
              <w:top w:val="single" w:color="000000" w:sz="12" w:space="0"/>
              <w:left w:val="single" w:color="000000" w:sz="4" w:space="0"/>
              <w:bottom w:val="single" w:color="000000" w:sz="4" w:space="0"/>
              <w:right w:val="single" w:color="000000" w:sz="4" w:space="0"/>
            </w:tcBorders>
            <w:noWrap w:val="0"/>
            <w:vAlign w:val="top"/>
          </w:tcPr>
          <w:p>
            <w:pPr>
              <w:pStyle w:val="104"/>
              <w:spacing w:before="46" w:line="240" w:lineRule="auto"/>
              <w:ind w:right="0"/>
              <w:jc w:val="center"/>
              <w:rPr>
                <w:rFonts w:hint="eastAsia" w:ascii="Times New Roman" w:hAnsi="Times New Roman" w:eastAsia="宋体" w:cs="Times New Roman"/>
                <w:sz w:val="21"/>
                <w:szCs w:val="21"/>
                <w:u w:val="single"/>
                <w:lang w:eastAsia="zh-CN"/>
              </w:rPr>
            </w:pPr>
            <w:r>
              <w:rPr>
                <w:rFonts w:ascii="宋体" w:hAnsi="宋体" w:eastAsia="宋体" w:cs="宋体"/>
                <w:sz w:val="21"/>
                <w:szCs w:val="21"/>
                <w:u w:val="single"/>
              </w:rPr>
              <w:t>总</w:t>
            </w:r>
            <w:r>
              <w:rPr>
                <w:rFonts w:hint="eastAsia" w:ascii="Times New Roman" w:hAnsi="Times New Roman" w:eastAsia="宋体" w:cs="Times New Roman"/>
                <w:sz w:val="21"/>
                <w:szCs w:val="21"/>
                <w:u w:val="single"/>
                <w:lang w:eastAsia="zh-CN"/>
              </w:rPr>
              <w:t>铬</w:t>
            </w:r>
          </w:p>
        </w:tc>
        <w:tc>
          <w:tcPr>
            <w:tcW w:w="1236" w:type="dxa"/>
            <w:tcBorders>
              <w:top w:val="single" w:color="000000" w:sz="12" w:space="0"/>
              <w:left w:val="single" w:color="000000" w:sz="4" w:space="0"/>
              <w:bottom w:val="single" w:color="000000" w:sz="4" w:space="0"/>
              <w:right w:val="single" w:color="000000" w:sz="4" w:space="0"/>
            </w:tcBorders>
            <w:noWrap w:val="0"/>
            <w:vAlign w:val="top"/>
          </w:tcPr>
          <w:p>
            <w:pPr>
              <w:pStyle w:val="104"/>
              <w:spacing w:before="46" w:line="240" w:lineRule="auto"/>
              <w:ind w:right="0"/>
              <w:jc w:val="center"/>
              <w:rPr>
                <w:rFonts w:ascii="宋体" w:hAnsi="宋体" w:eastAsia="宋体" w:cs="宋体"/>
                <w:sz w:val="21"/>
                <w:szCs w:val="21"/>
                <w:u w:val="single"/>
              </w:rPr>
            </w:pPr>
            <w:r>
              <w:rPr>
                <w:rFonts w:ascii="宋体" w:hAnsi="宋体" w:eastAsia="宋体" w:cs="宋体"/>
                <w:sz w:val="21"/>
                <w:szCs w:val="21"/>
                <w:u w:val="single"/>
              </w:rPr>
              <w:t>总锰</w:t>
            </w:r>
          </w:p>
        </w:tc>
        <w:tc>
          <w:tcPr>
            <w:tcW w:w="1201" w:type="dxa"/>
            <w:tcBorders>
              <w:top w:val="single" w:color="000000" w:sz="12" w:space="0"/>
              <w:left w:val="single" w:color="000000" w:sz="4" w:space="0"/>
              <w:bottom w:val="single" w:color="000000" w:sz="4" w:space="0"/>
              <w:right w:val="nil"/>
            </w:tcBorders>
            <w:noWrap w:val="0"/>
            <w:vAlign w:val="top"/>
          </w:tcPr>
          <w:p>
            <w:pPr>
              <w:pStyle w:val="104"/>
              <w:spacing w:before="95" w:line="240" w:lineRule="auto"/>
              <w:ind w:right="0"/>
              <w:jc w:val="center"/>
              <w:rPr>
                <w:rFonts w:hint="eastAsia" w:ascii="Times New Roman" w:hAnsi="Times New Roman" w:eastAsia="宋体" w:cs="Times New Roman"/>
                <w:sz w:val="21"/>
                <w:szCs w:val="21"/>
                <w:u w:val="single"/>
                <w:lang w:eastAsia="zh-CN"/>
              </w:rPr>
            </w:pPr>
            <w:r>
              <w:rPr>
                <w:rFonts w:hint="eastAsia" w:ascii="Times New Roman" w:eastAsia="宋体"/>
                <w:sz w:val="21"/>
                <w:u w:val="single"/>
                <w:lang w:eastAsia="zh-CN"/>
              </w:rPr>
              <w:t>六价铬</w:t>
            </w:r>
          </w:p>
        </w:tc>
      </w:tr>
      <w:tr>
        <w:trPr>
          <w:trHeight w:val="341" w:hRule="exact"/>
          <w:jc w:val="center"/>
        </w:trPr>
        <w:tc>
          <w:tcPr>
            <w:tcW w:w="1729" w:type="dxa"/>
            <w:tcBorders>
              <w:top w:val="single" w:color="000000" w:sz="4" w:space="0"/>
              <w:left w:val="nil"/>
              <w:bottom w:val="single" w:color="000000" w:sz="4" w:space="0"/>
              <w:right w:val="single" w:color="000000" w:sz="4" w:space="0"/>
            </w:tcBorders>
            <w:noWrap w:val="0"/>
            <w:vAlign w:val="top"/>
          </w:tcPr>
          <w:p>
            <w:pPr>
              <w:pStyle w:val="104"/>
              <w:spacing w:before="101" w:line="240" w:lineRule="auto"/>
              <w:ind w:right="0"/>
              <w:jc w:val="center"/>
              <w:rPr>
                <w:rFonts w:ascii="Times New Roman" w:hAnsi="宋体" w:eastAsia="宋体" w:cs="宋体"/>
                <w:color w:val="auto"/>
                <w:sz w:val="21"/>
                <w:u w:val="single"/>
              </w:rPr>
            </w:pPr>
            <w:r>
              <w:rPr>
                <w:rFonts w:ascii="Times New Roman" w:hAnsi="宋体" w:eastAsia="宋体" w:cs="宋体"/>
                <w:color w:val="auto"/>
                <w:sz w:val="21"/>
                <w:u w:val="single"/>
              </w:rPr>
              <w:t>进水浓度</w:t>
            </w:r>
            <w:r>
              <w:rPr>
                <w:rFonts w:hint="eastAsia" w:ascii="Times New Roman" w:eastAsia="宋体" w:cs="宋体"/>
                <w:color w:val="auto"/>
                <w:sz w:val="21"/>
                <w:u w:val="single"/>
                <w:lang w:eastAsia="zh-CN"/>
              </w:rPr>
              <w:t>（</w:t>
            </w:r>
            <w:r>
              <w:rPr>
                <w:rFonts w:hint="eastAsia" w:ascii="Times New Roman" w:eastAsia="宋体" w:cs="宋体"/>
                <w:color w:val="auto"/>
                <w:sz w:val="21"/>
                <w:u w:val="single"/>
                <w:lang w:val="en-US" w:eastAsia="zh-CN"/>
              </w:rPr>
              <w:t>mg/L</w:t>
            </w:r>
            <w:r>
              <w:rPr>
                <w:rFonts w:hint="eastAsia" w:ascii="Times New Roman" w:eastAsia="宋体" w:cs="宋体"/>
                <w:color w:val="auto"/>
                <w:sz w:val="21"/>
                <w:u w:val="single"/>
                <w:lang w:eastAsia="zh-CN"/>
              </w:rPr>
              <w:t>）</w:t>
            </w:r>
          </w:p>
        </w:tc>
        <w:tc>
          <w:tcPr>
            <w:tcW w:w="1584" w:type="dxa"/>
            <w:tcBorders>
              <w:top w:val="single" w:color="000000" w:sz="4" w:space="0"/>
              <w:left w:val="single" w:color="000000" w:sz="4" w:space="0"/>
              <w:bottom w:val="single" w:color="000000" w:sz="4" w:space="0"/>
              <w:right w:val="single" w:color="000000" w:sz="4" w:space="0"/>
            </w:tcBorders>
            <w:noWrap w:val="0"/>
            <w:vAlign w:val="top"/>
          </w:tcPr>
          <w:p>
            <w:pPr>
              <w:pStyle w:val="104"/>
              <w:spacing w:before="101" w:line="240" w:lineRule="auto"/>
              <w:ind w:right="0"/>
              <w:jc w:val="center"/>
              <w:rPr>
                <w:rFonts w:ascii="Times New Roman" w:hAnsi="宋体" w:eastAsia="宋体" w:cs="宋体"/>
                <w:color w:val="auto"/>
                <w:sz w:val="21"/>
                <w:u w:val="single"/>
              </w:rPr>
            </w:pPr>
            <w:r>
              <w:rPr>
                <w:rFonts w:hint="eastAsia" w:ascii="Times New Roman" w:hAnsi="宋体" w:eastAsia="宋体" w:cs="宋体"/>
                <w:color w:val="auto"/>
                <w:sz w:val="21"/>
                <w:u w:val="single"/>
                <w:lang w:val="en-US" w:eastAsia="zh-CN"/>
              </w:rPr>
              <w:t>900</w:t>
            </w:r>
            <w:r>
              <w:rPr>
                <w:rFonts w:hint="default" w:ascii="Times New Roman" w:hAnsi="宋体" w:eastAsia="宋体" w:cs="宋体"/>
                <w:color w:val="auto"/>
                <w:sz w:val="21"/>
                <w:u w:val="single"/>
                <w:lang w:eastAsia="zh-CN"/>
              </w:rPr>
              <w:t>m</w:t>
            </w:r>
            <w:r>
              <w:rPr>
                <w:rFonts w:hint="default" w:ascii="Times New Roman" w:hAnsi="宋体" w:eastAsia="宋体" w:cs="宋体"/>
                <w:color w:val="auto"/>
                <w:sz w:val="21"/>
                <w:u w:val="single"/>
                <w:vertAlign w:val="superscript"/>
                <w:lang w:eastAsia="zh-CN"/>
              </w:rPr>
              <w:t>3</w:t>
            </w:r>
            <w:r>
              <w:rPr>
                <w:rFonts w:hint="default" w:ascii="Times New Roman" w:hAnsi="宋体" w:eastAsia="宋体" w:cs="宋体"/>
                <w:color w:val="auto"/>
                <w:sz w:val="21"/>
                <w:u w:val="single"/>
                <w:lang w:eastAsia="zh-CN"/>
              </w:rPr>
              <w:t>/d</w:t>
            </w:r>
          </w:p>
        </w:tc>
        <w:tc>
          <w:tcPr>
            <w:tcW w:w="1254" w:type="dxa"/>
            <w:tcBorders>
              <w:top w:val="single" w:color="000000" w:sz="4" w:space="0"/>
              <w:left w:val="single" w:color="000000" w:sz="4" w:space="0"/>
              <w:bottom w:val="single" w:color="000000" w:sz="4" w:space="0"/>
              <w:right w:val="single" w:color="000000" w:sz="4" w:space="0"/>
            </w:tcBorders>
            <w:noWrap w:val="0"/>
            <w:vAlign w:val="top"/>
          </w:tcPr>
          <w:p>
            <w:pPr>
              <w:pStyle w:val="104"/>
              <w:spacing w:before="95" w:line="240" w:lineRule="auto"/>
              <w:ind w:right="0"/>
              <w:jc w:val="center"/>
              <w:rPr>
                <w:rFonts w:ascii="Times New Roman" w:hAnsi="Times New Roman" w:eastAsia="Times New Roman" w:cs="Times New Roman"/>
                <w:color w:val="auto"/>
                <w:sz w:val="21"/>
                <w:szCs w:val="21"/>
                <w:u w:val="single"/>
              </w:rPr>
            </w:pPr>
            <w:r>
              <w:rPr>
                <w:rFonts w:ascii="Times New Roman"/>
                <w:color w:val="auto"/>
                <w:sz w:val="21"/>
                <w:u w:val="single"/>
              </w:rPr>
              <w:t>4~5</w:t>
            </w:r>
          </w:p>
        </w:tc>
        <w:tc>
          <w:tcPr>
            <w:tcW w:w="1393" w:type="dxa"/>
            <w:tcBorders>
              <w:top w:val="single" w:color="000000" w:sz="4" w:space="0"/>
              <w:left w:val="single" w:color="000000" w:sz="4" w:space="0"/>
              <w:bottom w:val="single" w:color="000000" w:sz="4" w:space="0"/>
              <w:right w:val="single" w:color="000000" w:sz="4" w:space="0"/>
            </w:tcBorders>
            <w:noWrap w:val="0"/>
            <w:vAlign w:val="top"/>
          </w:tcPr>
          <w:p>
            <w:pPr>
              <w:pStyle w:val="104"/>
              <w:spacing w:before="95" w:line="240" w:lineRule="auto"/>
              <w:ind w:right="0"/>
              <w:jc w:val="center"/>
              <w:rPr>
                <w:rFonts w:ascii="Times New Roman" w:hAnsi="Times New Roman" w:eastAsia="Times New Roman" w:cs="Times New Roman"/>
                <w:color w:val="auto"/>
                <w:sz w:val="21"/>
                <w:szCs w:val="21"/>
                <w:u w:val="single"/>
              </w:rPr>
            </w:pPr>
            <w:r>
              <w:rPr>
                <w:rFonts w:ascii="Times New Roman"/>
                <w:color w:val="auto"/>
                <w:sz w:val="21"/>
                <w:u w:val="single"/>
              </w:rPr>
              <w:t>130~150</w:t>
            </w:r>
          </w:p>
        </w:tc>
        <w:tc>
          <w:tcPr>
            <w:tcW w:w="1236" w:type="dxa"/>
            <w:tcBorders>
              <w:top w:val="single" w:color="000000" w:sz="4" w:space="0"/>
              <w:left w:val="single" w:color="000000" w:sz="4" w:space="0"/>
              <w:bottom w:val="single" w:color="000000" w:sz="4" w:space="0"/>
              <w:right w:val="single" w:color="000000" w:sz="4" w:space="0"/>
            </w:tcBorders>
            <w:noWrap w:val="0"/>
            <w:vAlign w:val="top"/>
          </w:tcPr>
          <w:p>
            <w:pPr>
              <w:pStyle w:val="104"/>
              <w:spacing w:before="95" w:line="240" w:lineRule="auto"/>
              <w:ind w:right="0"/>
              <w:jc w:val="center"/>
              <w:rPr>
                <w:rFonts w:ascii="Times New Roman" w:hAnsi="Times New Roman" w:eastAsia="Times New Roman" w:cs="Times New Roman"/>
                <w:color w:val="auto"/>
                <w:sz w:val="21"/>
                <w:szCs w:val="21"/>
                <w:u w:val="single"/>
              </w:rPr>
            </w:pPr>
            <w:r>
              <w:rPr>
                <w:rFonts w:ascii="Times New Roman"/>
                <w:color w:val="auto"/>
                <w:sz w:val="21"/>
                <w:u w:val="single"/>
              </w:rPr>
              <w:t>606~916</w:t>
            </w:r>
          </w:p>
        </w:tc>
        <w:tc>
          <w:tcPr>
            <w:tcW w:w="1201" w:type="dxa"/>
            <w:tcBorders>
              <w:top w:val="single" w:color="000000" w:sz="4" w:space="0"/>
              <w:left w:val="single" w:color="000000" w:sz="4" w:space="0"/>
              <w:bottom w:val="single" w:color="000000" w:sz="4" w:space="0"/>
              <w:right w:val="nil"/>
            </w:tcBorders>
            <w:noWrap w:val="0"/>
            <w:vAlign w:val="top"/>
          </w:tcPr>
          <w:p>
            <w:pPr>
              <w:pStyle w:val="104"/>
              <w:spacing w:before="95" w:line="240" w:lineRule="auto"/>
              <w:ind w:right="0"/>
              <w:jc w:val="center"/>
              <w:rPr>
                <w:rFonts w:ascii="Times New Roman" w:hAnsi="Times New Roman" w:eastAsia="Times New Roman" w:cs="Times New Roman"/>
                <w:color w:val="auto"/>
                <w:sz w:val="21"/>
                <w:szCs w:val="21"/>
                <w:u w:val="single"/>
              </w:rPr>
            </w:pPr>
            <w:r>
              <w:rPr>
                <w:rFonts w:ascii="Times New Roman"/>
                <w:color w:val="auto"/>
                <w:sz w:val="21"/>
                <w:u w:val="single"/>
              </w:rPr>
              <w:t>59~71</w:t>
            </w:r>
          </w:p>
        </w:tc>
      </w:tr>
      <w:tr>
        <w:tblPrEx>
          <w:tblCellMar>
            <w:top w:w="0" w:type="dxa"/>
            <w:left w:w="0" w:type="dxa"/>
            <w:bottom w:w="0" w:type="dxa"/>
            <w:right w:w="0" w:type="dxa"/>
          </w:tblCellMar>
        </w:tblPrEx>
        <w:trPr>
          <w:trHeight w:val="346" w:hRule="exact"/>
          <w:jc w:val="center"/>
        </w:trPr>
        <w:tc>
          <w:tcPr>
            <w:tcW w:w="1729" w:type="dxa"/>
            <w:tcBorders>
              <w:top w:val="single" w:color="000000" w:sz="4" w:space="0"/>
              <w:left w:val="nil"/>
              <w:bottom w:val="single" w:color="000000" w:sz="4" w:space="0"/>
              <w:right w:val="single" w:color="000000" w:sz="4" w:space="0"/>
            </w:tcBorders>
            <w:noWrap w:val="0"/>
            <w:vAlign w:val="top"/>
          </w:tcPr>
          <w:p>
            <w:pPr>
              <w:pStyle w:val="104"/>
              <w:spacing w:before="101" w:line="240" w:lineRule="auto"/>
              <w:ind w:right="0"/>
              <w:jc w:val="center"/>
              <w:rPr>
                <w:rFonts w:ascii="Times New Roman" w:hAnsi="宋体" w:eastAsia="宋体" w:cs="宋体"/>
                <w:color w:val="auto"/>
                <w:sz w:val="21"/>
                <w:u w:val="single"/>
              </w:rPr>
            </w:pPr>
            <w:r>
              <w:rPr>
                <w:rFonts w:ascii="Times New Roman" w:hAnsi="宋体" w:eastAsia="宋体" w:cs="宋体"/>
                <w:color w:val="auto"/>
                <w:sz w:val="21"/>
                <w:u w:val="single"/>
              </w:rPr>
              <w:t>总出水浓度</w:t>
            </w:r>
            <w:r>
              <w:rPr>
                <w:rFonts w:hint="eastAsia" w:ascii="Times New Roman" w:eastAsia="宋体" w:cs="宋体"/>
                <w:color w:val="auto"/>
                <w:sz w:val="21"/>
                <w:u w:val="single"/>
                <w:lang w:eastAsia="zh-CN"/>
              </w:rPr>
              <w:t>（</w:t>
            </w:r>
            <w:r>
              <w:rPr>
                <w:rFonts w:hint="eastAsia" w:ascii="Times New Roman" w:eastAsia="宋体" w:cs="宋体"/>
                <w:color w:val="auto"/>
                <w:sz w:val="21"/>
                <w:u w:val="single"/>
                <w:lang w:val="en-US" w:eastAsia="zh-CN"/>
              </w:rPr>
              <w:t>mg/L</w:t>
            </w:r>
            <w:r>
              <w:rPr>
                <w:rFonts w:hint="eastAsia" w:ascii="Times New Roman" w:eastAsia="宋体" w:cs="宋体"/>
                <w:color w:val="auto"/>
                <w:sz w:val="21"/>
                <w:u w:val="single"/>
                <w:lang w:eastAsia="zh-CN"/>
              </w:rPr>
              <w:t>）</w:t>
            </w:r>
          </w:p>
        </w:tc>
        <w:tc>
          <w:tcPr>
            <w:tcW w:w="1584" w:type="dxa"/>
            <w:tcBorders>
              <w:top w:val="single" w:color="000000" w:sz="4" w:space="0"/>
              <w:left w:val="single" w:color="000000" w:sz="4" w:space="0"/>
              <w:bottom w:val="single" w:color="000000" w:sz="4" w:space="0"/>
              <w:right w:val="single" w:color="000000" w:sz="4" w:space="0"/>
            </w:tcBorders>
            <w:noWrap w:val="0"/>
            <w:vAlign w:val="top"/>
          </w:tcPr>
          <w:p>
            <w:pPr>
              <w:pStyle w:val="104"/>
              <w:spacing w:before="101" w:line="240" w:lineRule="auto"/>
              <w:ind w:right="0"/>
              <w:jc w:val="center"/>
              <w:rPr>
                <w:rFonts w:ascii="Times New Roman" w:hAnsi="宋体" w:eastAsia="宋体" w:cs="宋体"/>
                <w:color w:val="auto"/>
                <w:sz w:val="21"/>
                <w:u w:val="single"/>
              </w:rPr>
            </w:pPr>
            <w:r>
              <w:rPr>
                <w:rFonts w:hint="eastAsia" w:ascii="Times New Roman" w:hAnsi="宋体" w:eastAsia="宋体" w:cs="宋体"/>
                <w:color w:val="auto"/>
                <w:sz w:val="21"/>
                <w:u w:val="single"/>
                <w:lang w:val="en-US" w:eastAsia="zh-CN"/>
              </w:rPr>
              <w:t>900</w:t>
            </w:r>
            <w:r>
              <w:rPr>
                <w:rFonts w:hint="default" w:ascii="Times New Roman" w:hAnsi="宋体" w:eastAsia="宋体" w:cs="宋体"/>
                <w:color w:val="auto"/>
                <w:sz w:val="21"/>
                <w:u w:val="single"/>
                <w:lang w:eastAsia="zh-CN"/>
              </w:rPr>
              <w:t>m</w:t>
            </w:r>
            <w:r>
              <w:rPr>
                <w:rFonts w:hint="default" w:ascii="Times New Roman" w:hAnsi="宋体" w:eastAsia="宋体" w:cs="宋体"/>
                <w:color w:val="auto"/>
                <w:sz w:val="21"/>
                <w:u w:val="single"/>
                <w:vertAlign w:val="superscript"/>
                <w:lang w:eastAsia="zh-CN"/>
              </w:rPr>
              <w:t>3</w:t>
            </w:r>
            <w:r>
              <w:rPr>
                <w:rFonts w:hint="default" w:ascii="Times New Roman" w:hAnsi="宋体" w:eastAsia="宋体" w:cs="宋体"/>
                <w:color w:val="auto"/>
                <w:sz w:val="21"/>
                <w:u w:val="single"/>
                <w:lang w:eastAsia="zh-CN"/>
              </w:rPr>
              <w:t>/d</w:t>
            </w:r>
          </w:p>
        </w:tc>
        <w:tc>
          <w:tcPr>
            <w:tcW w:w="1254" w:type="dxa"/>
            <w:tcBorders>
              <w:top w:val="single" w:color="000000" w:sz="4" w:space="0"/>
              <w:left w:val="single" w:color="000000" w:sz="4" w:space="0"/>
              <w:bottom w:val="single" w:color="000000" w:sz="4" w:space="0"/>
              <w:right w:val="single" w:color="000000" w:sz="4" w:space="0"/>
            </w:tcBorders>
            <w:noWrap w:val="0"/>
            <w:vAlign w:val="top"/>
          </w:tcPr>
          <w:p>
            <w:pPr>
              <w:pStyle w:val="104"/>
              <w:spacing w:before="101" w:line="240" w:lineRule="auto"/>
              <w:ind w:right="0"/>
              <w:jc w:val="center"/>
              <w:rPr>
                <w:rFonts w:ascii="Times New Roman" w:hAnsi="Times New Roman" w:eastAsia="Times New Roman" w:cs="Times New Roman"/>
                <w:color w:val="auto"/>
                <w:sz w:val="21"/>
                <w:szCs w:val="21"/>
                <w:u w:val="single"/>
              </w:rPr>
            </w:pPr>
            <w:r>
              <w:rPr>
                <w:rFonts w:ascii="Times New Roman"/>
                <w:color w:val="auto"/>
                <w:sz w:val="21"/>
                <w:u w:val="single"/>
              </w:rPr>
              <w:t>8.2-8.4</w:t>
            </w:r>
          </w:p>
        </w:tc>
        <w:tc>
          <w:tcPr>
            <w:tcW w:w="1393" w:type="dxa"/>
            <w:tcBorders>
              <w:top w:val="single" w:color="000000" w:sz="4" w:space="0"/>
              <w:left w:val="single" w:color="000000" w:sz="4" w:space="0"/>
              <w:bottom w:val="single" w:color="000000" w:sz="4" w:space="0"/>
              <w:right w:val="single" w:color="000000" w:sz="4" w:space="0"/>
            </w:tcBorders>
            <w:noWrap w:val="0"/>
            <w:vAlign w:val="top"/>
          </w:tcPr>
          <w:p>
            <w:pPr>
              <w:pStyle w:val="104"/>
              <w:spacing w:before="101" w:line="240" w:lineRule="auto"/>
              <w:ind w:right="0"/>
              <w:jc w:val="center"/>
              <w:rPr>
                <w:rFonts w:ascii="Times New Roman" w:hAnsi="Times New Roman" w:eastAsia="Times New Roman" w:cs="Times New Roman"/>
                <w:color w:val="auto"/>
                <w:sz w:val="21"/>
                <w:szCs w:val="21"/>
                <w:u w:val="single"/>
              </w:rPr>
            </w:pPr>
            <w:r>
              <w:rPr>
                <w:rFonts w:ascii="Times New Roman"/>
                <w:color w:val="auto"/>
                <w:sz w:val="21"/>
                <w:u w:val="single"/>
              </w:rPr>
              <w:t>1.30</w:t>
            </w:r>
          </w:p>
        </w:tc>
        <w:tc>
          <w:tcPr>
            <w:tcW w:w="1236" w:type="dxa"/>
            <w:tcBorders>
              <w:top w:val="single" w:color="000000" w:sz="4" w:space="0"/>
              <w:left w:val="single" w:color="000000" w:sz="4" w:space="0"/>
              <w:bottom w:val="single" w:color="000000" w:sz="4" w:space="0"/>
              <w:right w:val="single" w:color="000000" w:sz="4" w:space="0"/>
            </w:tcBorders>
            <w:noWrap w:val="0"/>
            <w:vAlign w:val="top"/>
          </w:tcPr>
          <w:p>
            <w:pPr>
              <w:pStyle w:val="104"/>
              <w:spacing w:before="101" w:line="240" w:lineRule="auto"/>
              <w:ind w:right="0"/>
              <w:jc w:val="center"/>
              <w:rPr>
                <w:rFonts w:ascii="Times New Roman" w:hAnsi="Times New Roman" w:eastAsia="Times New Roman" w:cs="Times New Roman"/>
                <w:color w:val="auto"/>
                <w:sz w:val="21"/>
                <w:szCs w:val="21"/>
                <w:u w:val="single"/>
              </w:rPr>
            </w:pPr>
            <w:r>
              <w:rPr>
                <w:rFonts w:ascii="Times New Roman"/>
                <w:color w:val="auto"/>
                <w:sz w:val="21"/>
                <w:u w:val="single"/>
              </w:rPr>
              <w:t>20.85</w:t>
            </w:r>
          </w:p>
        </w:tc>
        <w:tc>
          <w:tcPr>
            <w:tcW w:w="1201" w:type="dxa"/>
            <w:tcBorders>
              <w:top w:val="single" w:color="000000" w:sz="4" w:space="0"/>
              <w:left w:val="single" w:color="000000" w:sz="4" w:space="0"/>
              <w:bottom w:val="single" w:color="000000" w:sz="4" w:space="0"/>
              <w:right w:val="nil"/>
            </w:tcBorders>
            <w:noWrap w:val="0"/>
            <w:vAlign w:val="top"/>
          </w:tcPr>
          <w:p>
            <w:pPr>
              <w:pStyle w:val="104"/>
              <w:spacing w:before="101" w:line="240" w:lineRule="auto"/>
              <w:ind w:right="0"/>
              <w:jc w:val="center"/>
              <w:rPr>
                <w:rFonts w:hint="default" w:ascii="Times New Roman" w:hAnsi="Times New Roman" w:eastAsia="宋体" w:cs="Times New Roman"/>
                <w:color w:val="auto"/>
                <w:sz w:val="21"/>
                <w:szCs w:val="21"/>
                <w:u w:val="single"/>
                <w:lang w:val="en-US" w:eastAsia="zh-CN"/>
              </w:rPr>
            </w:pPr>
            <w:r>
              <w:rPr>
                <w:rFonts w:hint="eastAsia" w:ascii="Times New Roman" w:eastAsia="宋体"/>
                <w:color w:val="auto"/>
                <w:sz w:val="21"/>
                <w:u w:val="single"/>
                <w:lang w:val="en-US" w:eastAsia="zh-CN"/>
              </w:rPr>
              <w:t>0.5</w:t>
            </w:r>
          </w:p>
        </w:tc>
      </w:tr>
      <w:tr>
        <w:trPr>
          <w:trHeight w:val="346" w:hRule="exact"/>
          <w:jc w:val="center"/>
        </w:trPr>
        <w:tc>
          <w:tcPr>
            <w:tcW w:w="1729" w:type="dxa"/>
            <w:tcBorders>
              <w:top w:val="single" w:color="000000" w:sz="4" w:space="0"/>
              <w:left w:val="nil"/>
              <w:bottom w:val="single" w:color="000000" w:sz="12" w:space="0"/>
              <w:right w:val="single" w:color="000000" w:sz="4" w:space="0"/>
            </w:tcBorders>
            <w:noWrap w:val="0"/>
            <w:vAlign w:val="top"/>
          </w:tcPr>
          <w:p>
            <w:pPr>
              <w:pStyle w:val="104"/>
              <w:spacing w:before="101" w:line="240" w:lineRule="auto"/>
              <w:ind w:right="0"/>
              <w:jc w:val="center"/>
              <w:rPr>
                <w:rFonts w:hint="eastAsia" w:ascii="Times New Roman" w:hAnsi="宋体" w:eastAsia="宋体" w:cs="宋体"/>
                <w:color w:val="auto"/>
                <w:sz w:val="21"/>
                <w:u w:val="single"/>
                <w:lang w:eastAsia="zh-CN"/>
              </w:rPr>
            </w:pPr>
            <w:r>
              <w:rPr>
                <w:rFonts w:hint="eastAsia" w:ascii="Times New Roman" w:cs="宋体"/>
                <w:color w:val="auto"/>
                <w:sz w:val="21"/>
                <w:u w:val="single"/>
                <w:lang w:eastAsia="zh-CN"/>
              </w:rPr>
              <w:t>出水标准</w:t>
            </w:r>
            <w:r>
              <w:rPr>
                <w:rFonts w:hint="eastAsia" w:ascii="Times New Roman" w:eastAsia="宋体" w:cs="宋体"/>
                <w:color w:val="auto"/>
                <w:sz w:val="21"/>
                <w:u w:val="single"/>
                <w:lang w:eastAsia="zh-CN"/>
              </w:rPr>
              <w:t>（</w:t>
            </w:r>
            <w:r>
              <w:rPr>
                <w:rFonts w:hint="eastAsia" w:ascii="Times New Roman" w:eastAsia="宋体" w:cs="宋体"/>
                <w:color w:val="auto"/>
                <w:sz w:val="21"/>
                <w:u w:val="single"/>
                <w:lang w:val="en-US" w:eastAsia="zh-CN"/>
              </w:rPr>
              <w:t>mg/L</w:t>
            </w:r>
            <w:r>
              <w:rPr>
                <w:rFonts w:hint="eastAsia" w:ascii="Times New Roman" w:eastAsia="宋体" w:cs="宋体"/>
                <w:color w:val="auto"/>
                <w:sz w:val="21"/>
                <w:u w:val="single"/>
                <w:lang w:eastAsia="zh-CN"/>
              </w:rPr>
              <w:t>）</w:t>
            </w:r>
          </w:p>
        </w:tc>
        <w:tc>
          <w:tcPr>
            <w:tcW w:w="1584" w:type="dxa"/>
            <w:tcBorders>
              <w:top w:val="single" w:color="000000" w:sz="4" w:space="0"/>
              <w:left w:val="single" w:color="000000" w:sz="4" w:space="0"/>
              <w:bottom w:val="single" w:color="000000" w:sz="12" w:space="0"/>
              <w:right w:val="single" w:color="000000" w:sz="4" w:space="0"/>
            </w:tcBorders>
            <w:noWrap w:val="0"/>
            <w:vAlign w:val="top"/>
          </w:tcPr>
          <w:p>
            <w:pPr>
              <w:pStyle w:val="104"/>
              <w:spacing w:before="101" w:line="240" w:lineRule="auto"/>
              <w:ind w:right="0"/>
              <w:jc w:val="center"/>
              <w:rPr>
                <w:rFonts w:hint="default" w:ascii="Times New Roman" w:hAnsi="宋体" w:eastAsia="宋体" w:cs="宋体"/>
                <w:color w:val="auto"/>
                <w:sz w:val="21"/>
                <w:u w:val="single"/>
                <w:lang w:val="en-US" w:eastAsia="zh-CN"/>
              </w:rPr>
            </w:pPr>
            <w:r>
              <w:rPr>
                <w:rFonts w:hint="eastAsia" w:ascii="Times New Roman" w:cs="宋体"/>
                <w:color w:val="auto"/>
                <w:sz w:val="21"/>
                <w:u w:val="single"/>
                <w:lang w:val="en-US" w:eastAsia="zh-CN"/>
              </w:rPr>
              <w:t>/</w:t>
            </w:r>
          </w:p>
        </w:tc>
        <w:tc>
          <w:tcPr>
            <w:tcW w:w="1254" w:type="dxa"/>
            <w:tcBorders>
              <w:top w:val="single" w:color="000000" w:sz="4" w:space="0"/>
              <w:left w:val="single" w:color="000000" w:sz="4" w:space="0"/>
              <w:bottom w:val="single" w:color="000000" w:sz="12" w:space="0"/>
              <w:right w:val="single" w:color="000000" w:sz="4" w:space="0"/>
            </w:tcBorders>
            <w:noWrap w:val="0"/>
            <w:vAlign w:val="top"/>
          </w:tcPr>
          <w:p>
            <w:pPr>
              <w:pStyle w:val="104"/>
              <w:spacing w:before="101" w:line="240" w:lineRule="auto"/>
              <w:ind w:right="0"/>
              <w:jc w:val="center"/>
              <w:rPr>
                <w:rFonts w:ascii="Times New Roman"/>
                <w:color w:val="auto"/>
                <w:sz w:val="21"/>
                <w:u w:val="single"/>
              </w:rPr>
            </w:pPr>
            <w:r>
              <w:rPr>
                <w:rFonts w:hint="default" w:ascii="Times New Roman" w:hAnsi="Times New Roman" w:eastAsia="宋体" w:cs="Times New Roman"/>
                <w:color w:val="auto"/>
                <w:sz w:val="21"/>
                <w:szCs w:val="21"/>
                <w:u w:val="none"/>
              </w:rPr>
              <w:t>6～9</w:t>
            </w:r>
          </w:p>
        </w:tc>
        <w:tc>
          <w:tcPr>
            <w:tcW w:w="1393" w:type="dxa"/>
            <w:tcBorders>
              <w:top w:val="single" w:color="000000" w:sz="4" w:space="0"/>
              <w:left w:val="single" w:color="000000" w:sz="4" w:space="0"/>
              <w:bottom w:val="single" w:color="000000" w:sz="12" w:space="0"/>
              <w:right w:val="single" w:color="000000" w:sz="4" w:space="0"/>
            </w:tcBorders>
            <w:noWrap w:val="0"/>
            <w:vAlign w:val="top"/>
          </w:tcPr>
          <w:p>
            <w:pPr>
              <w:pStyle w:val="104"/>
              <w:spacing w:before="101" w:line="240" w:lineRule="auto"/>
              <w:ind w:right="0"/>
              <w:jc w:val="center"/>
              <w:rPr>
                <w:rFonts w:hint="default" w:ascii="Times New Roman" w:eastAsia="宋体"/>
                <w:color w:val="auto"/>
                <w:sz w:val="21"/>
                <w:u w:val="single"/>
                <w:lang w:val="en-US" w:eastAsia="zh-CN"/>
              </w:rPr>
            </w:pPr>
            <w:r>
              <w:rPr>
                <w:rFonts w:hint="eastAsia" w:ascii="Times New Roman"/>
                <w:color w:val="auto"/>
                <w:sz w:val="21"/>
                <w:u w:val="single"/>
                <w:lang w:val="en-US" w:eastAsia="zh-CN"/>
              </w:rPr>
              <w:t>1.5</w:t>
            </w:r>
          </w:p>
        </w:tc>
        <w:tc>
          <w:tcPr>
            <w:tcW w:w="1236" w:type="dxa"/>
            <w:tcBorders>
              <w:top w:val="single" w:color="000000" w:sz="4" w:space="0"/>
              <w:left w:val="single" w:color="000000" w:sz="4" w:space="0"/>
              <w:bottom w:val="single" w:color="000000" w:sz="12" w:space="0"/>
              <w:right w:val="single" w:color="000000" w:sz="4" w:space="0"/>
            </w:tcBorders>
            <w:noWrap w:val="0"/>
            <w:vAlign w:val="top"/>
          </w:tcPr>
          <w:p>
            <w:pPr>
              <w:pStyle w:val="104"/>
              <w:spacing w:before="101" w:line="240" w:lineRule="auto"/>
              <w:ind w:right="0"/>
              <w:jc w:val="center"/>
              <w:rPr>
                <w:rFonts w:hint="eastAsia" w:ascii="Times New Roman" w:eastAsia="宋体"/>
                <w:color w:val="auto"/>
                <w:sz w:val="21"/>
                <w:u w:val="single"/>
                <w:lang w:val="en-US" w:eastAsia="zh-CN"/>
              </w:rPr>
            </w:pPr>
            <w:r>
              <w:rPr>
                <w:rFonts w:hint="eastAsia" w:ascii="Times New Roman"/>
                <w:color w:val="auto"/>
                <w:sz w:val="21"/>
                <w:u w:val="single"/>
                <w:lang w:val="en-US" w:eastAsia="zh-CN"/>
              </w:rPr>
              <w:t>/</w:t>
            </w:r>
          </w:p>
        </w:tc>
        <w:tc>
          <w:tcPr>
            <w:tcW w:w="1201" w:type="dxa"/>
            <w:tcBorders>
              <w:top w:val="single" w:color="000000" w:sz="4" w:space="0"/>
              <w:left w:val="single" w:color="000000" w:sz="4" w:space="0"/>
              <w:bottom w:val="single" w:color="000000" w:sz="12" w:space="0"/>
              <w:right w:val="nil"/>
            </w:tcBorders>
            <w:noWrap w:val="0"/>
            <w:vAlign w:val="top"/>
          </w:tcPr>
          <w:p>
            <w:pPr>
              <w:pStyle w:val="104"/>
              <w:spacing w:before="101" w:line="240" w:lineRule="auto"/>
              <w:ind w:right="0"/>
              <w:jc w:val="center"/>
              <w:rPr>
                <w:rFonts w:hint="default" w:ascii="Times New Roman" w:eastAsia="宋体"/>
                <w:color w:val="auto"/>
                <w:sz w:val="21"/>
                <w:u w:val="single"/>
                <w:lang w:val="en-US" w:eastAsia="zh-CN"/>
              </w:rPr>
            </w:pPr>
            <w:r>
              <w:rPr>
                <w:rFonts w:hint="eastAsia" w:ascii="Times New Roman"/>
                <w:color w:val="auto"/>
                <w:sz w:val="21"/>
                <w:u w:val="single"/>
                <w:lang w:val="en-US" w:eastAsia="zh-CN"/>
              </w:rPr>
              <w:t>0.5</w:t>
            </w:r>
          </w:p>
        </w:tc>
      </w:tr>
    </w:tbl>
    <w:p>
      <w:pPr>
        <w:spacing w:before="0" w:line="295" w:lineRule="exact"/>
        <w:ind w:right="2476"/>
        <w:jc w:val="left"/>
        <w:rPr>
          <w:rFonts w:ascii="宋体" w:hAnsi="宋体" w:eastAsia="宋体" w:cs="宋体"/>
          <w:sz w:val="24"/>
          <w:szCs w:val="24"/>
          <w:u w:val="single"/>
        </w:rPr>
      </w:pPr>
      <w:r>
        <w:rPr>
          <w:rFonts w:hint="eastAsia" w:eastAsia="宋体" w:cs="Times New Roman"/>
          <w:b/>
          <w:bCs/>
          <w:sz w:val="24"/>
          <w:szCs w:val="24"/>
          <w:u w:val="single"/>
          <w:lang w:eastAsia="zh-CN"/>
        </w:rPr>
        <w:t>（</w:t>
      </w:r>
      <w:r>
        <w:rPr>
          <w:rFonts w:hint="eastAsia" w:eastAsia="宋体" w:cs="Times New Roman"/>
          <w:b/>
          <w:bCs/>
          <w:sz w:val="24"/>
          <w:szCs w:val="24"/>
          <w:u w:val="single"/>
          <w:lang w:val="en-US" w:eastAsia="zh-CN"/>
        </w:rPr>
        <w:t>2</w:t>
      </w:r>
      <w:r>
        <w:rPr>
          <w:rFonts w:hint="eastAsia" w:eastAsia="宋体" w:cs="Times New Roman"/>
          <w:b/>
          <w:bCs/>
          <w:sz w:val="24"/>
          <w:szCs w:val="24"/>
          <w:u w:val="single"/>
          <w:lang w:eastAsia="zh-CN"/>
        </w:rPr>
        <w:t>）</w:t>
      </w:r>
      <w:r>
        <w:rPr>
          <w:rFonts w:ascii="宋体" w:hAnsi="宋体" w:eastAsia="宋体" w:cs="宋体"/>
          <w:b/>
          <w:bCs/>
          <w:sz w:val="24"/>
          <w:szCs w:val="24"/>
          <w:u w:val="single"/>
        </w:rPr>
        <w:t>、花垣县科信新材料有限责任公司</w:t>
      </w:r>
    </w:p>
    <w:p>
      <w:pPr>
        <w:pStyle w:val="16"/>
        <w:spacing w:before="133" w:line="357" w:lineRule="auto"/>
        <w:ind w:left="257" w:right="0" w:firstLine="480"/>
        <w:jc w:val="left"/>
        <w:rPr>
          <w:rFonts w:hint="default" w:ascii="Times New Roman" w:hAnsi="Times New Roman" w:eastAsia="宋体" w:cs="Times New Roman"/>
          <w:spacing w:val="-3"/>
          <w:u w:val="single"/>
          <w:lang w:val="en-US" w:eastAsia="zh-CN"/>
        </w:rPr>
      </w:pPr>
      <w:r>
        <w:rPr>
          <w:rFonts w:hint="default" w:ascii="Times New Roman" w:hAnsi="Times New Roman" w:eastAsia="宋体" w:cs="Times New Roman"/>
          <w:spacing w:val="-3"/>
          <w:u w:val="single"/>
        </w:rPr>
        <w:t>花垣县科信新材料有限责任公司</w:t>
      </w:r>
      <w:r>
        <w:rPr>
          <w:rFonts w:hint="default" w:ascii="Times New Roman" w:hAnsi="Times New Roman" w:eastAsia="宋体" w:cs="Times New Roman"/>
          <w:spacing w:val="-3"/>
          <w:u w:val="single"/>
          <w:lang w:eastAsia="zh-CN"/>
        </w:rPr>
        <w:t>于</w:t>
      </w:r>
      <w:r>
        <w:rPr>
          <w:rFonts w:hint="default" w:ascii="Times New Roman" w:hAnsi="Times New Roman" w:eastAsia="宋体" w:cs="Times New Roman"/>
          <w:spacing w:val="-3"/>
          <w:u w:val="single"/>
          <w:lang w:val="en-US" w:eastAsia="zh-CN"/>
        </w:rPr>
        <w:t>2009年1月委托</w:t>
      </w:r>
      <w:r>
        <w:rPr>
          <w:rFonts w:hint="default" w:ascii="Times New Roman" w:hAnsi="Times New Roman" w:eastAsia="宋体" w:cs="Times New Roman"/>
          <w:spacing w:val="-3"/>
          <w:u w:val="single"/>
          <w:lang w:eastAsia="zh-CN"/>
        </w:rPr>
        <w:t>湖南省环境保护科学研究院编制了《湖南东方锰业集团股份有限公司10000t/a电子级无硒高纯Mn3O4及配套1000t/a高性能软磁铁氧体项目》，于</w:t>
      </w:r>
      <w:r>
        <w:rPr>
          <w:rFonts w:hint="default" w:ascii="Times New Roman" w:hAnsi="Times New Roman" w:eastAsia="宋体" w:cs="Times New Roman"/>
          <w:spacing w:val="-3"/>
          <w:u w:val="single"/>
          <w:lang w:val="en-US" w:eastAsia="zh-CN"/>
        </w:rPr>
        <w:t>2009年4月7日取得了湖南省环境保护局的环评批复，批复文号为：湘环评[2009]59号。根据调查，该企业由于长期停产，未进行环保验收。</w:t>
      </w:r>
    </w:p>
    <w:p>
      <w:pPr>
        <w:pStyle w:val="16"/>
        <w:spacing w:before="133" w:line="357" w:lineRule="auto"/>
        <w:ind w:left="257" w:right="0" w:firstLine="480"/>
        <w:jc w:val="left"/>
        <w:rPr>
          <w:rFonts w:hint="eastAsia" w:eastAsia="宋体"/>
          <w:u w:val="single"/>
          <w:lang w:eastAsia="zh-CN"/>
        </w:rPr>
      </w:pPr>
      <w:r>
        <w:rPr>
          <w:rFonts w:hint="eastAsia"/>
          <w:spacing w:val="-3"/>
          <w:u w:val="single"/>
          <w:lang w:eastAsia="zh-CN"/>
        </w:rPr>
        <w:t>根据其环评报告可知，该企业</w:t>
      </w:r>
      <w:r>
        <w:rPr>
          <w:spacing w:val="-3"/>
          <w:u w:val="single"/>
        </w:rPr>
        <w:t>产生的</w:t>
      </w:r>
      <w:r>
        <w:rPr>
          <w:rFonts w:hint="eastAsia"/>
          <w:spacing w:val="-3"/>
          <w:u w:val="single"/>
          <w:lang w:eastAsia="zh-CN"/>
        </w:rPr>
        <w:t>重金属</w:t>
      </w:r>
      <w:r>
        <w:rPr>
          <w:spacing w:val="-3"/>
          <w:u w:val="single"/>
        </w:rPr>
        <w:t>废水主要是离心废水、洗涤离心废水、压滤洗布废水和渣场废</w:t>
      </w:r>
      <w:r>
        <w:rPr>
          <w:u w:val="single"/>
        </w:rPr>
        <w:t>水，主要污染物是</w:t>
      </w:r>
      <w:r>
        <w:rPr>
          <w:spacing w:val="-62"/>
          <w:u w:val="single"/>
        </w:rPr>
        <w:t xml:space="preserve"> </w:t>
      </w:r>
      <w:r>
        <w:rPr>
          <w:rFonts w:ascii="Times New Roman" w:hAnsi="Times New Roman" w:eastAsia="Times New Roman" w:cs="Times New Roman"/>
          <w:u w:val="single"/>
        </w:rPr>
        <w:t>SS</w:t>
      </w:r>
      <w:r>
        <w:rPr>
          <w:u w:val="single"/>
        </w:rPr>
        <w:t>、总锰、氨氮</w:t>
      </w:r>
      <w:r>
        <w:rPr>
          <w:rFonts w:hint="eastAsia"/>
          <w:u w:val="single"/>
          <w:lang w:eastAsia="zh-CN"/>
        </w:rPr>
        <w:t>，企业废水经厂区污水处理站处理后回用于生产工序，不能回用的废水经污水处理站处理达到《污水综合排放标准》</w:t>
      </w:r>
      <w:r>
        <w:rPr>
          <w:rFonts w:hint="default" w:ascii="Times New Roman" w:hAnsi="Times New Roman" w:cs="Times New Roman"/>
          <w:u w:val="single"/>
          <w:lang w:eastAsia="zh-CN"/>
        </w:rPr>
        <w:t>（</w:t>
      </w:r>
      <w:r>
        <w:rPr>
          <w:rFonts w:hint="default" w:ascii="Times New Roman" w:hAnsi="Times New Roman" w:cs="Times New Roman"/>
          <w:u w:val="single"/>
          <w:lang w:val="en-US" w:eastAsia="zh-CN"/>
        </w:rPr>
        <w:t>GB8978-1996</w:t>
      </w:r>
      <w:r>
        <w:rPr>
          <w:rFonts w:hint="default" w:ascii="Times New Roman" w:hAnsi="Times New Roman" w:cs="Times New Roman"/>
          <w:u w:val="single"/>
          <w:lang w:eastAsia="zh-CN"/>
        </w:rPr>
        <w:t>）一级</w:t>
      </w:r>
      <w:r>
        <w:rPr>
          <w:rFonts w:hint="eastAsia"/>
          <w:u w:val="single"/>
          <w:lang w:eastAsia="zh-CN"/>
        </w:rPr>
        <w:t>标准后排入花垣河</w:t>
      </w:r>
      <w:r>
        <w:rPr>
          <w:u w:val="single"/>
        </w:rPr>
        <w:t>。</w:t>
      </w:r>
      <w:r>
        <w:rPr>
          <w:rFonts w:hint="eastAsia"/>
          <w:u w:val="single"/>
          <w:lang w:eastAsia="zh-CN"/>
        </w:rPr>
        <w:t>该项目废水产生情况见下表：</w:t>
      </w:r>
    </w:p>
    <w:p>
      <w:pPr>
        <w:spacing w:line="360" w:lineRule="auto"/>
        <w:ind w:firstLine="422"/>
        <w:jc w:val="center"/>
        <w:rPr>
          <w:rFonts w:hint="eastAsia" w:ascii="Times New Roman" w:hAnsi="Times New Roman" w:eastAsia="宋体" w:cs="Times New Roman"/>
          <w:b/>
          <w:color w:val="000000"/>
          <w:kern w:val="0"/>
          <w:sz w:val="21"/>
          <w:szCs w:val="21"/>
          <w:u w:val="single"/>
        </w:rPr>
      </w:pPr>
      <w:r>
        <w:rPr>
          <w:rFonts w:hint="eastAsia" w:ascii="Times New Roman" w:hAnsi="Times New Roman" w:eastAsia="宋体" w:cs="Times New Roman"/>
          <w:b/>
          <w:color w:val="000000"/>
          <w:kern w:val="0"/>
          <w:sz w:val="21"/>
          <w:szCs w:val="21"/>
          <w:u w:val="single"/>
        </w:rPr>
        <w:t xml:space="preserve">表 </w:t>
      </w:r>
      <w:r>
        <w:rPr>
          <w:rFonts w:hint="eastAsia" w:eastAsia="宋体" w:cs="Times New Roman"/>
          <w:b/>
          <w:color w:val="000000"/>
          <w:kern w:val="0"/>
          <w:sz w:val="21"/>
          <w:szCs w:val="21"/>
          <w:u w:val="single"/>
          <w:lang w:val="en-US" w:eastAsia="zh-CN"/>
        </w:rPr>
        <w:t>2</w:t>
      </w:r>
      <w:r>
        <w:rPr>
          <w:rFonts w:hint="eastAsia" w:ascii="Times New Roman" w:hAnsi="Times New Roman" w:eastAsia="宋体" w:cs="Times New Roman"/>
          <w:b/>
          <w:color w:val="000000"/>
          <w:kern w:val="0"/>
          <w:sz w:val="21"/>
          <w:szCs w:val="21"/>
          <w:u w:val="single"/>
        </w:rPr>
        <w:t>.1-</w:t>
      </w:r>
      <w:r>
        <w:rPr>
          <w:rFonts w:hint="eastAsia" w:eastAsia="宋体" w:cs="Times New Roman"/>
          <w:b/>
          <w:color w:val="000000"/>
          <w:kern w:val="0"/>
          <w:sz w:val="21"/>
          <w:szCs w:val="21"/>
          <w:u w:val="single"/>
          <w:lang w:val="en-US" w:eastAsia="zh-CN"/>
        </w:rPr>
        <w:t>5</w:t>
      </w:r>
      <w:r>
        <w:rPr>
          <w:rFonts w:hint="eastAsia" w:ascii="Times New Roman" w:hAnsi="Times New Roman" w:eastAsia="宋体" w:cs="Times New Roman"/>
          <w:b/>
          <w:color w:val="000000"/>
          <w:kern w:val="0"/>
          <w:sz w:val="21"/>
          <w:szCs w:val="21"/>
          <w:u w:val="single"/>
        </w:rPr>
        <w:t xml:space="preserve"> 废水</w:t>
      </w:r>
      <w:r>
        <w:rPr>
          <w:rFonts w:hint="eastAsia" w:ascii="Times New Roman" w:hAnsi="Times New Roman" w:eastAsia="宋体" w:cs="Times New Roman"/>
          <w:b/>
          <w:color w:val="000000"/>
          <w:kern w:val="0"/>
          <w:sz w:val="21"/>
          <w:szCs w:val="21"/>
          <w:u w:val="single"/>
          <w:lang w:eastAsia="zh-CN"/>
        </w:rPr>
        <w:t>产生浓度</w:t>
      </w:r>
      <w:r>
        <w:rPr>
          <w:rFonts w:hint="eastAsia" w:ascii="Times New Roman" w:hAnsi="Times New Roman" w:eastAsia="宋体" w:cs="Times New Roman"/>
          <w:b/>
          <w:color w:val="000000"/>
          <w:kern w:val="0"/>
          <w:sz w:val="21"/>
          <w:szCs w:val="21"/>
          <w:u w:val="single"/>
        </w:rPr>
        <w:t>情况表</w:t>
      </w:r>
    </w:p>
    <w:tbl>
      <w:tblPr>
        <w:tblStyle w:val="37"/>
        <w:tblW w:w="8719" w:type="dxa"/>
        <w:jc w:val="center"/>
        <w:tblLayout w:type="fixed"/>
        <w:tblCellMar>
          <w:top w:w="0" w:type="dxa"/>
          <w:left w:w="0" w:type="dxa"/>
          <w:bottom w:w="0" w:type="dxa"/>
          <w:right w:w="0" w:type="dxa"/>
        </w:tblCellMar>
      </w:tblPr>
      <w:tblGrid>
        <w:gridCol w:w="2241"/>
        <w:gridCol w:w="3093"/>
        <w:gridCol w:w="3385"/>
      </w:tblGrid>
      <w:tr>
        <w:tblPrEx>
          <w:tblCellMar>
            <w:top w:w="0" w:type="dxa"/>
            <w:left w:w="0" w:type="dxa"/>
            <w:bottom w:w="0" w:type="dxa"/>
            <w:right w:w="0" w:type="dxa"/>
          </w:tblCellMar>
        </w:tblPrEx>
        <w:trPr>
          <w:trHeight w:val="430" w:hRule="exact"/>
          <w:jc w:val="center"/>
        </w:trPr>
        <w:tc>
          <w:tcPr>
            <w:tcW w:w="2241" w:type="dxa"/>
            <w:tcBorders>
              <w:top w:val="single" w:color="000000" w:sz="12" w:space="0"/>
              <w:left w:val="nil"/>
              <w:bottom w:val="single" w:color="000000" w:sz="4" w:space="0"/>
              <w:right w:val="single" w:color="000000" w:sz="4" w:space="0"/>
            </w:tcBorders>
            <w:noWrap w:val="0"/>
            <w:vAlign w:val="center"/>
          </w:tcPr>
          <w:p>
            <w:pPr>
              <w:pStyle w:val="104"/>
              <w:spacing w:before="54" w:line="240" w:lineRule="auto"/>
              <w:ind w:left="354" w:right="0"/>
              <w:jc w:val="center"/>
              <w:rPr>
                <w:rFonts w:ascii="宋体" w:hAnsi="宋体" w:eastAsia="宋体" w:cs="宋体"/>
                <w:sz w:val="21"/>
                <w:szCs w:val="21"/>
                <w:u w:val="single"/>
              </w:rPr>
            </w:pPr>
            <w:r>
              <w:rPr>
                <w:rFonts w:ascii="宋体" w:hAnsi="宋体" w:eastAsia="宋体" w:cs="宋体"/>
                <w:sz w:val="21"/>
                <w:szCs w:val="21"/>
                <w:u w:val="single"/>
              </w:rPr>
              <w:t>项目</w:t>
            </w:r>
          </w:p>
        </w:tc>
        <w:tc>
          <w:tcPr>
            <w:tcW w:w="3093" w:type="dxa"/>
            <w:tcBorders>
              <w:top w:val="single" w:color="000000" w:sz="12" w:space="0"/>
              <w:left w:val="single" w:color="000000" w:sz="4" w:space="0"/>
              <w:bottom w:val="single" w:color="000000" w:sz="4" w:space="0"/>
              <w:right w:val="single" w:color="000000" w:sz="4" w:space="0"/>
            </w:tcBorders>
            <w:noWrap w:val="0"/>
            <w:vAlign w:val="center"/>
          </w:tcPr>
          <w:p>
            <w:pPr>
              <w:pStyle w:val="104"/>
              <w:spacing w:before="54" w:line="240" w:lineRule="auto"/>
              <w:ind w:left="175" w:right="0"/>
              <w:jc w:val="center"/>
              <w:rPr>
                <w:rFonts w:ascii="宋体" w:hAnsi="宋体" w:eastAsia="宋体" w:cs="宋体"/>
                <w:sz w:val="21"/>
                <w:szCs w:val="21"/>
                <w:u w:val="single"/>
              </w:rPr>
            </w:pPr>
            <w:r>
              <w:rPr>
                <w:rFonts w:ascii="宋体" w:hAnsi="宋体" w:eastAsia="宋体" w:cs="宋体"/>
                <w:sz w:val="21"/>
                <w:szCs w:val="21"/>
                <w:u w:val="single"/>
              </w:rPr>
              <w:t>水量（</w:t>
            </w:r>
            <w:r>
              <w:rPr>
                <w:rFonts w:ascii="Times New Roman" w:hAnsi="Times New Roman" w:eastAsia="Times New Roman" w:cs="Times New Roman"/>
                <w:sz w:val="21"/>
                <w:szCs w:val="21"/>
                <w:u w:val="single"/>
              </w:rPr>
              <w:t>m</w:t>
            </w:r>
            <w:r>
              <w:rPr>
                <w:rFonts w:ascii="Times New Roman" w:hAnsi="Times New Roman" w:eastAsia="Times New Roman" w:cs="Times New Roman"/>
                <w:position w:val="7"/>
                <w:sz w:val="13"/>
                <w:szCs w:val="13"/>
                <w:u w:val="single"/>
              </w:rPr>
              <w:t>3</w:t>
            </w:r>
            <w:r>
              <w:rPr>
                <w:rFonts w:ascii="Times New Roman" w:hAnsi="Times New Roman" w:eastAsia="Times New Roman" w:cs="Times New Roman"/>
                <w:sz w:val="21"/>
                <w:szCs w:val="21"/>
                <w:u w:val="single"/>
              </w:rPr>
              <w:t>/d</w:t>
            </w:r>
            <w:r>
              <w:rPr>
                <w:rFonts w:ascii="宋体" w:hAnsi="宋体" w:eastAsia="宋体" w:cs="宋体"/>
                <w:sz w:val="21"/>
                <w:szCs w:val="21"/>
                <w:u w:val="single"/>
              </w:rPr>
              <w:t>）</w:t>
            </w:r>
          </w:p>
        </w:tc>
        <w:tc>
          <w:tcPr>
            <w:tcW w:w="3385" w:type="dxa"/>
            <w:tcBorders>
              <w:top w:val="single" w:color="000000" w:sz="12" w:space="0"/>
              <w:left w:val="single" w:color="000000" w:sz="4" w:space="0"/>
              <w:bottom w:val="single" w:color="000000" w:sz="4" w:space="0"/>
              <w:right w:val="nil"/>
            </w:tcBorders>
            <w:noWrap w:val="0"/>
            <w:vAlign w:val="center"/>
          </w:tcPr>
          <w:p>
            <w:pPr>
              <w:pStyle w:val="104"/>
              <w:spacing w:before="54" w:line="240" w:lineRule="auto"/>
              <w:ind w:left="221" w:right="0"/>
              <w:jc w:val="center"/>
              <w:rPr>
                <w:rFonts w:ascii="宋体" w:hAnsi="宋体" w:eastAsia="宋体" w:cs="宋体"/>
                <w:sz w:val="21"/>
                <w:szCs w:val="21"/>
                <w:u w:val="single"/>
              </w:rPr>
            </w:pPr>
            <w:r>
              <w:rPr>
                <w:rFonts w:ascii="宋体" w:hAnsi="宋体" w:eastAsia="宋体" w:cs="宋体"/>
                <w:sz w:val="21"/>
                <w:szCs w:val="21"/>
                <w:u w:val="single"/>
              </w:rPr>
              <w:t>总锰（</w:t>
            </w:r>
            <w:r>
              <w:rPr>
                <w:rFonts w:ascii="Times New Roman" w:hAnsi="Times New Roman" w:eastAsia="Times New Roman" w:cs="Times New Roman"/>
                <w:sz w:val="21"/>
                <w:szCs w:val="21"/>
                <w:u w:val="single"/>
              </w:rPr>
              <w:t>mg/L</w:t>
            </w:r>
            <w:r>
              <w:rPr>
                <w:rFonts w:ascii="宋体" w:hAnsi="宋体" w:eastAsia="宋体" w:cs="宋体"/>
                <w:sz w:val="21"/>
                <w:szCs w:val="21"/>
                <w:u w:val="single"/>
              </w:rPr>
              <w:t>）</w:t>
            </w:r>
          </w:p>
        </w:tc>
      </w:tr>
      <w:tr>
        <w:tblPrEx>
          <w:tblCellMar>
            <w:top w:w="0" w:type="dxa"/>
            <w:left w:w="0" w:type="dxa"/>
            <w:bottom w:w="0" w:type="dxa"/>
            <w:right w:w="0" w:type="dxa"/>
          </w:tblCellMar>
        </w:tblPrEx>
        <w:trPr>
          <w:trHeight w:val="461" w:hRule="exact"/>
          <w:jc w:val="center"/>
        </w:trPr>
        <w:tc>
          <w:tcPr>
            <w:tcW w:w="2241" w:type="dxa"/>
            <w:tcBorders>
              <w:top w:val="single" w:color="000000" w:sz="4" w:space="0"/>
              <w:left w:val="nil"/>
              <w:bottom w:val="single" w:color="000000" w:sz="12" w:space="0"/>
              <w:right w:val="single" w:color="000000" w:sz="4" w:space="0"/>
            </w:tcBorders>
            <w:noWrap w:val="0"/>
            <w:vAlign w:val="center"/>
          </w:tcPr>
          <w:p>
            <w:pPr>
              <w:pStyle w:val="104"/>
              <w:spacing w:before="54" w:line="240" w:lineRule="auto"/>
              <w:ind w:left="143" w:right="0"/>
              <w:jc w:val="center"/>
              <w:rPr>
                <w:rFonts w:ascii="宋体" w:hAnsi="宋体" w:eastAsia="宋体" w:cs="宋体"/>
                <w:sz w:val="21"/>
                <w:szCs w:val="21"/>
                <w:u w:val="single"/>
              </w:rPr>
            </w:pPr>
            <w:r>
              <w:rPr>
                <w:rFonts w:ascii="宋体" w:hAnsi="宋体" w:eastAsia="宋体" w:cs="宋体"/>
                <w:sz w:val="21"/>
                <w:szCs w:val="21"/>
                <w:u w:val="single"/>
              </w:rPr>
              <w:t>生产废水</w:t>
            </w:r>
          </w:p>
        </w:tc>
        <w:tc>
          <w:tcPr>
            <w:tcW w:w="3093" w:type="dxa"/>
            <w:tcBorders>
              <w:top w:val="single" w:color="000000" w:sz="4" w:space="0"/>
              <w:left w:val="single" w:color="000000" w:sz="4" w:space="0"/>
              <w:bottom w:val="single" w:color="000000" w:sz="12" w:space="0"/>
              <w:right w:val="single" w:color="000000" w:sz="4" w:space="0"/>
            </w:tcBorders>
            <w:noWrap w:val="0"/>
            <w:vAlign w:val="center"/>
          </w:tcPr>
          <w:p>
            <w:pPr>
              <w:pStyle w:val="104"/>
              <w:spacing w:before="103" w:line="240" w:lineRule="auto"/>
              <w:ind w:left="2" w:right="0"/>
              <w:jc w:val="center"/>
              <w:rPr>
                <w:rFonts w:ascii="Times New Roman" w:hAnsi="Times New Roman" w:eastAsia="Times New Roman" w:cs="Times New Roman"/>
                <w:sz w:val="21"/>
                <w:szCs w:val="21"/>
                <w:u w:val="single"/>
              </w:rPr>
            </w:pPr>
            <w:r>
              <w:rPr>
                <w:rFonts w:hint="eastAsia" w:ascii="Times New Roman"/>
                <w:sz w:val="21"/>
                <w:u w:val="single"/>
              </w:rPr>
              <w:t>446.2</w:t>
            </w:r>
          </w:p>
        </w:tc>
        <w:tc>
          <w:tcPr>
            <w:tcW w:w="3385" w:type="dxa"/>
            <w:tcBorders>
              <w:top w:val="single" w:color="000000" w:sz="4" w:space="0"/>
              <w:left w:val="single" w:color="000000" w:sz="4" w:space="0"/>
              <w:bottom w:val="single" w:color="000000" w:sz="12" w:space="0"/>
              <w:right w:val="nil"/>
            </w:tcBorders>
            <w:noWrap w:val="0"/>
            <w:vAlign w:val="center"/>
          </w:tcPr>
          <w:p>
            <w:pPr>
              <w:pStyle w:val="104"/>
              <w:spacing w:before="103" w:line="240" w:lineRule="auto"/>
              <w:ind w:left="2" w:right="0"/>
              <w:jc w:val="center"/>
              <w:rPr>
                <w:rFonts w:ascii="Times New Roman" w:hAnsi="Times New Roman" w:eastAsia="Times New Roman" w:cs="Times New Roman"/>
                <w:sz w:val="21"/>
                <w:szCs w:val="21"/>
                <w:u w:val="single"/>
              </w:rPr>
            </w:pPr>
            <w:r>
              <w:rPr>
                <w:rFonts w:ascii="Times New Roman"/>
                <w:sz w:val="21"/>
                <w:u w:val="single"/>
              </w:rPr>
              <w:t>8.86</w:t>
            </w:r>
          </w:p>
        </w:tc>
      </w:tr>
    </w:tbl>
    <w:p>
      <w:pPr>
        <w:spacing w:before="0" w:line="295" w:lineRule="exact"/>
        <w:ind w:right="45"/>
        <w:jc w:val="left"/>
        <w:rPr>
          <w:rFonts w:ascii="宋体" w:hAnsi="宋体" w:eastAsia="宋体" w:cs="宋体"/>
          <w:sz w:val="24"/>
          <w:szCs w:val="24"/>
          <w:u w:val="single"/>
        </w:rPr>
      </w:pPr>
      <w:r>
        <w:rPr>
          <w:rFonts w:hint="eastAsia" w:eastAsia="宋体" w:cs="Times New Roman"/>
          <w:b/>
          <w:bCs/>
          <w:sz w:val="24"/>
          <w:szCs w:val="24"/>
          <w:u w:val="single"/>
          <w:lang w:eastAsia="zh-CN"/>
        </w:rPr>
        <w:t>（</w:t>
      </w:r>
      <w:r>
        <w:rPr>
          <w:rFonts w:hint="eastAsia" w:eastAsia="宋体" w:cs="Times New Roman"/>
          <w:b/>
          <w:bCs/>
          <w:sz w:val="24"/>
          <w:szCs w:val="24"/>
          <w:u w:val="single"/>
          <w:lang w:val="en-US" w:eastAsia="zh-CN"/>
        </w:rPr>
        <w:t>3</w:t>
      </w:r>
      <w:r>
        <w:rPr>
          <w:rFonts w:hint="eastAsia" w:eastAsia="宋体" w:cs="Times New Roman"/>
          <w:b/>
          <w:bCs/>
          <w:sz w:val="24"/>
          <w:szCs w:val="24"/>
          <w:u w:val="single"/>
          <w:lang w:eastAsia="zh-CN"/>
        </w:rPr>
        <w:t>）</w:t>
      </w:r>
      <w:r>
        <w:rPr>
          <w:rFonts w:ascii="宋体" w:hAnsi="宋体" w:eastAsia="宋体" w:cs="宋体"/>
          <w:b/>
          <w:bCs/>
          <w:sz w:val="24"/>
          <w:szCs w:val="24"/>
          <w:u w:val="single"/>
        </w:rPr>
        <w:t>、湖南三丰钒业有限公司</w:t>
      </w:r>
    </w:p>
    <w:p>
      <w:pPr>
        <w:pStyle w:val="16"/>
        <w:spacing w:before="133" w:line="357" w:lineRule="auto"/>
        <w:ind w:left="177" w:right="195" w:firstLine="480"/>
        <w:jc w:val="both"/>
        <w:rPr>
          <w:rFonts w:hint="default" w:ascii="Times New Roman" w:hAnsi="Times New Roman" w:eastAsia="宋体" w:cs="Times New Roman"/>
          <w:spacing w:val="-3"/>
          <w:u w:val="single"/>
          <w:lang w:val="en-US"/>
        </w:rPr>
      </w:pPr>
      <w:r>
        <w:rPr>
          <w:rFonts w:hint="default" w:ascii="Times New Roman" w:hAnsi="Times New Roman" w:eastAsia="宋体" w:cs="Times New Roman"/>
          <w:spacing w:val="-3"/>
          <w:u w:val="single"/>
        </w:rPr>
        <w:t>湖南三丰钒业有限公司</w:t>
      </w:r>
      <w:r>
        <w:rPr>
          <w:rFonts w:hint="default" w:ascii="Times New Roman" w:hAnsi="Times New Roman" w:eastAsia="宋体" w:cs="Times New Roman"/>
          <w:spacing w:val="-3"/>
          <w:u w:val="single"/>
          <w:lang w:eastAsia="zh-CN"/>
        </w:rPr>
        <w:t>于</w:t>
      </w:r>
      <w:r>
        <w:rPr>
          <w:rFonts w:hint="default" w:ascii="Times New Roman" w:hAnsi="Times New Roman" w:eastAsia="宋体" w:cs="Times New Roman"/>
          <w:spacing w:val="-3"/>
          <w:u w:val="single"/>
          <w:lang w:val="en-US" w:eastAsia="zh-CN"/>
        </w:rPr>
        <w:t>2015年11月委托长沙环境保护职业技术学院编制了《</w:t>
      </w:r>
      <w:r>
        <w:rPr>
          <w:rFonts w:hint="default" w:ascii="Times New Roman" w:hAnsi="Times New Roman" w:eastAsia="宋体" w:cs="Times New Roman"/>
          <w:spacing w:val="-3"/>
          <w:u w:val="single"/>
        </w:rPr>
        <w:t>湖南三丰钒业有限公司2000吨五氧化二钒深加工建设项目环境影响报告书</w:t>
      </w:r>
      <w:r>
        <w:rPr>
          <w:rFonts w:hint="default" w:ascii="Times New Roman" w:hAnsi="Times New Roman" w:eastAsia="宋体" w:cs="Times New Roman"/>
          <w:spacing w:val="-3"/>
          <w:u w:val="single"/>
          <w:lang w:val="en-US" w:eastAsia="zh-CN"/>
        </w:rPr>
        <w:t>》，并于2015年12月30日取得了湘西州环境保护局的批复，批复文号为州环评[2015]50号。该企业主要建设一座以市售五氧化二钒粉（纯度98%）为原料，通过铵盐沉淀法提纯制备高纯度五氧化二钒（纯度≥99.5%）产品的加工厂。该企业于2018年8月进行了环保验收，于2018年10月11日取得了湘西州环境保护局的验收批复，验收批复文号为州环验[2018]3号。</w:t>
      </w:r>
    </w:p>
    <w:p>
      <w:pPr>
        <w:pStyle w:val="16"/>
        <w:spacing w:before="13" w:line="348" w:lineRule="auto"/>
        <w:ind w:left="177" w:right="45" w:firstLine="480"/>
        <w:jc w:val="left"/>
        <w:rPr>
          <w:rFonts w:hint="default" w:ascii="Times New Roman" w:hAnsi="Times New Roman" w:cs="Times New Roman"/>
          <w:u w:val="single"/>
        </w:rPr>
      </w:pPr>
      <w:r>
        <w:rPr>
          <w:rFonts w:hint="default" w:ascii="Times New Roman" w:hAnsi="Times New Roman" w:cs="Times New Roman"/>
          <w:spacing w:val="-3"/>
          <w:u w:val="single"/>
          <w:lang w:eastAsia="zh-CN"/>
        </w:rPr>
        <w:t>根据企业环评以及验收资料，该企业废水产生及排放情况见下表：</w:t>
      </w:r>
    </w:p>
    <w:p>
      <w:pPr>
        <w:spacing w:line="360" w:lineRule="auto"/>
        <w:ind w:firstLine="422"/>
        <w:jc w:val="center"/>
        <w:rPr>
          <w:rFonts w:hint="eastAsia" w:ascii="Times New Roman" w:hAnsi="Times New Roman" w:eastAsia="宋体" w:cs="Times New Roman"/>
          <w:b/>
          <w:color w:val="000000"/>
          <w:kern w:val="0"/>
          <w:sz w:val="21"/>
          <w:szCs w:val="21"/>
          <w:u w:val="single"/>
        </w:rPr>
      </w:pPr>
      <w:r>
        <w:rPr>
          <w:rFonts w:hint="eastAsia" w:ascii="Times New Roman" w:hAnsi="Times New Roman" w:eastAsia="宋体" w:cs="Times New Roman"/>
          <w:b/>
          <w:color w:val="000000"/>
          <w:kern w:val="0"/>
          <w:sz w:val="21"/>
          <w:szCs w:val="21"/>
          <w:u w:val="single"/>
        </w:rPr>
        <w:t xml:space="preserve">表 </w:t>
      </w:r>
      <w:r>
        <w:rPr>
          <w:rFonts w:hint="eastAsia" w:eastAsia="宋体" w:cs="Times New Roman"/>
          <w:b/>
          <w:color w:val="000000"/>
          <w:kern w:val="0"/>
          <w:sz w:val="21"/>
          <w:szCs w:val="21"/>
          <w:u w:val="single"/>
          <w:lang w:val="en-US" w:eastAsia="zh-CN"/>
        </w:rPr>
        <w:t>2</w:t>
      </w:r>
      <w:r>
        <w:rPr>
          <w:rFonts w:hint="eastAsia" w:ascii="Times New Roman" w:hAnsi="Times New Roman" w:eastAsia="宋体" w:cs="Times New Roman"/>
          <w:b/>
          <w:color w:val="000000"/>
          <w:kern w:val="0"/>
          <w:sz w:val="21"/>
          <w:szCs w:val="21"/>
          <w:u w:val="single"/>
        </w:rPr>
        <w:t>.1-</w:t>
      </w:r>
      <w:r>
        <w:rPr>
          <w:rFonts w:hint="eastAsia" w:eastAsia="宋体" w:cs="Times New Roman"/>
          <w:b/>
          <w:color w:val="000000"/>
          <w:kern w:val="0"/>
          <w:sz w:val="21"/>
          <w:szCs w:val="21"/>
          <w:u w:val="single"/>
          <w:lang w:val="en-US" w:eastAsia="zh-CN"/>
        </w:rPr>
        <w:t>6</w:t>
      </w:r>
      <w:r>
        <w:rPr>
          <w:rFonts w:hint="eastAsia" w:ascii="Times New Roman" w:hAnsi="Times New Roman" w:eastAsia="宋体" w:cs="Times New Roman"/>
          <w:b/>
          <w:color w:val="000000"/>
          <w:kern w:val="0"/>
          <w:sz w:val="21"/>
          <w:szCs w:val="21"/>
          <w:u w:val="single"/>
        </w:rPr>
        <w:t xml:space="preserve"> 废水</w:t>
      </w:r>
      <w:r>
        <w:rPr>
          <w:rFonts w:hint="eastAsia" w:ascii="Times New Roman" w:hAnsi="Times New Roman" w:eastAsia="宋体" w:cs="Times New Roman"/>
          <w:b/>
          <w:color w:val="000000"/>
          <w:kern w:val="0"/>
          <w:sz w:val="21"/>
          <w:szCs w:val="21"/>
          <w:u w:val="single"/>
          <w:lang w:eastAsia="zh-CN"/>
        </w:rPr>
        <w:t>产生</w:t>
      </w:r>
      <w:r>
        <w:rPr>
          <w:rFonts w:hint="eastAsia" w:eastAsia="宋体" w:cs="Times New Roman"/>
          <w:b/>
          <w:color w:val="000000"/>
          <w:kern w:val="0"/>
          <w:sz w:val="21"/>
          <w:szCs w:val="21"/>
          <w:u w:val="single"/>
          <w:lang w:eastAsia="zh-CN"/>
        </w:rPr>
        <w:t>及出水</w:t>
      </w:r>
      <w:r>
        <w:rPr>
          <w:rFonts w:hint="eastAsia" w:ascii="Times New Roman" w:hAnsi="Times New Roman" w:eastAsia="宋体" w:cs="Times New Roman"/>
          <w:b/>
          <w:color w:val="000000"/>
          <w:kern w:val="0"/>
          <w:sz w:val="21"/>
          <w:szCs w:val="21"/>
          <w:u w:val="single"/>
          <w:lang w:eastAsia="zh-CN"/>
        </w:rPr>
        <w:t>浓度</w:t>
      </w:r>
      <w:r>
        <w:rPr>
          <w:rFonts w:hint="eastAsia" w:ascii="Times New Roman" w:hAnsi="Times New Roman" w:eastAsia="宋体" w:cs="Times New Roman"/>
          <w:b/>
          <w:color w:val="000000"/>
          <w:kern w:val="0"/>
          <w:sz w:val="21"/>
          <w:szCs w:val="21"/>
          <w:u w:val="single"/>
        </w:rPr>
        <w:t>情况表</w:t>
      </w:r>
    </w:p>
    <w:tbl>
      <w:tblPr>
        <w:tblStyle w:val="37"/>
        <w:tblW w:w="8359" w:type="dxa"/>
        <w:jc w:val="center"/>
        <w:tblLayout w:type="fixed"/>
        <w:tblCellMar>
          <w:top w:w="0" w:type="dxa"/>
          <w:left w:w="0" w:type="dxa"/>
          <w:bottom w:w="0" w:type="dxa"/>
          <w:right w:w="0" w:type="dxa"/>
        </w:tblCellMar>
      </w:tblPr>
      <w:tblGrid>
        <w:gridCol w:w="2149"/>
        <w:gridCol w:w="2965"/>
        <w:gridCol w:w="3245"/>
      </w:tblGrid>
      <w:tr>
        <w:tblPrEx>
          <w:tblCellMar>
            <w:top w:w="0" w:type="dxa"/>
            <w:left w:w="0" w:type="dxa"/>
            <w:bottom w:w="0" w:type="dxa"/>
            <w:right w:w="0" w:type="dxa"/>
          </w:tblCellMar>
        </w:tblPrEx>
        <w:trPr>
          <w:trHeight w:val="387" w:hRule="exact"/>
          <w:jc w:val="center"/>
        </w:trPr>
        <w:tc>
          <w:tcPr>
            <w:tcW w:w="2149" w:type="dxa"/>
            <w:tcBorders>
              <w:top w:val="single" w:color="000000" w:sz="12" w:space="0"/>
              <w:left w:val="nil"/>
              <w:bottom w:val="single" w:color="000000" w:sz="4" w:space="0"/>
              <w:right w:val="single" w:color="000000" w:sz="4" w:space="0"/>
            </w:tcBorders>
            <w:noWrap w:val="0"/>
            <w:vAlign w:val="center"/>
          </w:tcPr>
          <w:p>
            <w:pPr>
              <w:pStyle w:val="104"/>
              <w:spacing w:before="54" w:line="240" w:lineRule="auto"/>
              <w:ind w:right="0"/>
              <w:jc w:val="center"/>
              <w:rPr>
                <w:rFonts w:ascii="宋体" w:hAnsi="宋体" w:eastAsia="宋体" w:cs="宋体"/>
                <w:sz w:val="21"/>
                <w:szCs w:val="21"/>
                <w:u w:val="single"/>
              </w:rPr>
            </w:pPr>
            <w:r>
              <w:rPr>
                <w:rFonts w:ascii="宋体" w:hAnsi="宋体" w:eastAsia="宋体" w:cs="宋体"/>
                <w:sz w:val="21"/>
                <w:szCs w:val="21"/>
                <w:u w:val="single"/>
              </w:rPr>
              <w:t>项目</w:t>
            </w:r>
          </w:p>
        </w:tc>
        <w:tc>
          <w:tcPr>
            <w:tcW w:w="2965" w:type="dxa"/>
            <w:tcBorders>
              <w:top w:val="single" w:color="000000" w:sz="12" w:space="0"/>
              <w:left w:val="single" w:color="000000" w:sz="4" w:space="0"/>
              <w:bottom w:val="single" w:color="000000" w:sz="4" w:space="0"/>
              <w:right w:val="single" w:color="000000" w:sz="4" w:space="0"/>
            </w:tcBorders>
            <w:noWrap w:val="0"/>
            <w:vAlign w:val="center"/>
          </w:tcPr>
          <w:p>
            <w:pPr>
              <w:pStyle w:val="104"/>
              <w:spacing w:before="54" w:line="240" w:lineRule="auto"/>
              <w:ind w:right="0"/>
              <w:jc w:val="center"/>
              <w:rPr>
                <w:rFonts w:ascii="宋体" w:hAnsi="宋体" w:eastAsia="宋体" w:cs="宋体"/>
                <w:sz w:val="21"/>
                <w:szCs w:val="21"/>
                <w:u w:val="single"/>
              </w:rPr>
            </w:pPr>
            <w:r>
              <w:rPr>
                <w:rFonts w:ascii="宋体" w:hAnsi="宋体" w:eastAsia="宋体" w:cs="宋体"/>
                <w:sz w:val="21"/>
                <w:szCs w:val="21"/>
                <w:u w:val="single"/>
              </w:rPr>
              <w:t>水量（</w:t>
            </w:r>
            <w:r>
              <w:rPr>
                <w:rFonts w:ascii="Times New Roman" w:hAnsi="Times New Roman" w:eastAsia="Times New Roman" w:cs="Times New Roman"/>
                <w:sz w:val="21"/>
                <w:szCs w:val="21"/>
                <w:u w:val="single"/>
              </w:rPr>
              <w:t>m</w:t>
            </w:r>
            <w:r>
              <w:rPr>
                <w:rFonts w:ascii="Times New Roman" w:hAnsi="Times New Roman" w:eastAsia="Times New Roman" w:cs="Times New Roman"/>
                <w:position w:val="7"/>
                <w:sz w:val="13"/>
                <w:szCs w:val="13"/>
                <w:u w:val="single"/>
              </w:rPr>
              <w:t>3</w:t>
            </w:r>
            <w:r>
              <w:rPr>
                <w:rFonts w:ascii="Times New Roman" w:hAnsi="Times New Roman" w:eastAsia="Times New Roman" w:cs="Times New Roman"/>
                <w:sz w:val="21"/>
                <w:szCs w:val="21"/>
                <w:u w:val="single"/>
              </w:rPr>
              <w:t>/d</w:t>
            </w:r>
            <w:r>
              <w:rPr>
                <w:rFonts w:ascii="宋体" w:hAnsi="宋体" w:eastAsia="宋体" w:cs="宋体"/>
                <w:sz w:val="21"/>
                <w:szCs w:val="21"/>
                <w:u w:val="single"/>
              </w:rPr>
              <w:t>）</w:t>
            </w:r>
          </w:p>
        </w:tc>
        <w:tc>
          <w:tcPr>
            <w:tcW w:w="3245" w:type="dxa"/>
            <w:tcBorders>
              <w:top w:val="single" w:color="000000" w:sz="12" w:space="0"/>
              <w:left w:val="single" w:color="000000" w:sz="4" w:space="0"/>
              <w:bottom w:val="single" w:color="000000" w:sz="4" w:space="0"/>
              <w:right w:val="nil"/>
            </w:tcBorders>
            <w:noWrap w:val="0"/>
            <w:vAlign w:val="center"/>
          </w:tcPr>
          <w:p>
            <w:pPr>
              <w:pStyle w:val="104"/>
              <w:spacing w:before="54" w:line="240" w:lineRule="auto"/>
              <w:ind w:right="0"/>
              <w:jc w:val="center"/>
              <w:rPr>
                <w:rFonts w:ascii="宋体" w:hAnsi="宋体" w:eastAsia="宋体" w:cs="宋体"/>
                <w:sz w:val="21"/>
                <w:szCs w:val="21"/>
                <w:u w:val="single"/>
              </w:rPr>
            </w:pPr>
            <w:r>
              <w:rPr>
                <w:rFonts w:hint="eastAsia" w:ascii="宋体" w:hAnsi="宋体" w:eastAsia="宋体" w:cs="宋体"/>
                <w:sz w:val="21"/>
                <w:szCs w:val="21"/>
                <w:u w:val="single"/>
                <w:lang w:eastAsia="zh-CN"/>
              </w:rPr>
              <w:t>钒</w:t>
            </w:r>
            <w:r>
              <w:rPr>
                <w:rFonts w:ascii="宋体" w:hAnsi="宋体" w:eastAsia="宋体" w:cs="宋体"/>
                <w:sz w:val="21"/>
                <w:szCs w:val="21"/>
                <w:u w:val="single"/>
              </w:rPr>
              <w:t>（</w:t>
            </w:r>
            <w:r>
              <w:rPr>
                <w:rFonts w:ascii="Times New Roman" w:hAnsi="Times New Roman" w:eastAsia="Times New Roman" w:cs="Times New Roman"/>
                <w:sz w:val="21"/>
                <w:szCs w:val="21"/>
                <w:u w:val="single"/>
              </w:rPr>
              <w:t>mg/L</w:t>
            </w:r>
            <w:r>
              <w:rPr>
                <w:rFonts w:ascii="宋体" w:hAnsi="宋体" w:eastAsia="宋体" w:cs="宋体"/>
                <w:sz w:val="21"/>
                <w:szCs w:val="21"/>
                <w:u w:val="single"/>
              </w:rPr>
              <w:t>）</w:t>
            </w:r>
          </w:p>
        </w:tc>
      </w:tr>
      <w:tr>
        <w:tblPrEx>
          <w:tblCellMar>
            <w:top w:w="0" w:type="dxa"/>
            <w:left w:w="0" w:type="dxa"/>
            <w:bottom w:w="0" w:type="dxa"/>
            <w:right w:w="0" w:type="dxa"/>
          </w:tblCellMar>
        </w:tblPrEx>
        <w:trPr>
          <w:trHeight w:val="447" w:hRule="exact"/>
          <w:jc w:val="center"/>
        </w:trPr>
        <w:tc>
          <w:tcPr>
            <w:tcW w:w="2149" w:type="dxa"/>
            <w:vMerge w:val="restart"/>
            <w:tcBorders>
              <w:top w:val="single" w:color="000000" w:sz="4" w:space="0"/>
              <w:left w:val="nil"/>
              <w:right w:val="single" w:color="000000" w:sz="4" w:space="0"/>
            </w:tcBorders>
            <w:noWrap w:val="0"/>
            <w:vAlign w:val="center"/>
          </w:tcPr>
          <w:p>
            <w:pPr>
              <w:pStyle w:val="104"/>
              <w:spacing w:before="54" w:line="240" w:lineRule="auto"/>
              <w:ind w:right="0"/>
              <w:jc w:val="center"/>
              <w:rPr>
                <w:rFonts w:ascii="宋体" w:hAnsi="宋体" w:eastAsia="宋体" w:cs="宋体"/>
                <w:sz w:val="21"/>
                <w:szCs w:val="21"/>
                <w:u w:val="single"/>
              </w:rPr>
            </w:pPr>
            <w:r>
              <w:rPr>
                <w:rFonts w:ascii="宋体" w:hAnsi="宋体" w:eastAsia="宋体" w:cs="宋体"/>
                <w:sz w:val="21"/>
                <w:szCs w:val="21"/>
                <w:u w:val="single"/>
              </w:rPr>
              <w:t>生产废水</w:t>
            </w:r>
          </w:p>
        </w:tc>
        <w:tc>
          <w:tcPr>
            <w:tcW w:w="2965" w:type="dxa"/>
            <w:vMerge w:val="restart"/>
            <w:tcBorders>
              <w:top w:val="single" w:color="000000" w:sz="4" w:space="0"/>
              <w:left w:val="single" w:color="000000" w:sz="4" w:space="0"/>
              <w:right w:val="single" w:color="000000" w:sz="4" w:space="0"/>
            </w:tcBorders>
            <w:noWrap w:val="0"/>
            <w:vAlign w:val="center"/>
          </w:tcPr>
          <w:p>
            <w:pPr>
              <w:pStyle w:val="104"/>
              <w:spacing w:before="103" w:line="240" w:lineRule="auto"/>
              <w:ind w:right="0"/>
              <w:jc w:val="center"/>
              <w:rPr>
                <w:rFonts w:hint="default" w:ascii="Times New Roman" w:hAnsi="Times New Roman" w:eastAsia="宋体" w:cs="Times New Roman"/>
                <w:sz w:val="21"/>
                <w:szCs w:val="21"/>
                <w:u w:val="single"/>
                <w:lang w:val="en-US" w:eastAsia="zh-CN"/>
              </w:rPr>
            </w:pPr>
            <w:r>
              <w:rPr>
                <w:rFonts w:hint="eastAsia" w:ascii="Times New Roman" w:eastAsia="宋体"/>
                <w:sz w:val="21"/>
                <w:u w:val="single"/>
                <w:lang w:val="en-US" w:eastAsia="zh-CN"/>
              </w:rPr>
              <w:t>84</w:t>
            </w:r>
          </w:p>
        </w:tc>
        <w:tc>
          <w:tcPr>
            <w:tcW w:w="3245" w:type="dxa"/>
            <w:tcBorders>
              <w:top w:val="single" w:color="000000" w:sz="4" w:space="0"/>
              <w:left w:val="single" w:color="000000" w:sz="4" w:space="0"/>
              <w:bottom w:val="single" w:color="000000" w:sz="4" w:space="0"/>
              <w:right w:val="nil"/>
            </w:tcBorders>
            <w:noWrap w:val="0"/>
            <w:vAlign w:val="center"/>
          </w:tcPr>
          <w:p>
            <w:pPr>
              <w:pStyle w:val="104"/>
              <w:spacing w:before="103" w:line="240" w:lineRule="auto"/>
              <w:ind w:right="0"/>
              <w:jc w:val="center"/>
              <w:rPr>
                <w:rFonts w:hint="default" w:ascii="Times New Roman" w:hAnsi="Times New Roman" w:eastAsia="宋体" w:cs="Times New Roman"/>
                <w:color w:val="auto"/>
                <w:sz w:val="21"/>
                <w:szCs w:val="21"/>
                <w:u w:val="single"/>
                <w:lang w:val="en-US" w:eastAsia="zh-CN"/>
              </w:rPr>
            </w:pPr>
            <w:r>
              <w:rPr>
                <w:rFonts w:hint="eastAsia" w:ascii="Times New Roman"/>
                <w:color w:val="auto"/>
                <w:sz w:val="21"/>
                <w:u w:val="single"/>
                <w:lang w:val="en-US" w:eastAsia="zh-CN"/>
              </w:rPr>
              <w:t>产生浓度：</w:t>
            </w:r>
            <w:r>
              <w:rPr>
                <w:rFonts w:hint="eastAsia" w:ascii="Times New Roman" w:eastAsia="宋体"/>
                <w:color w:val="auto"/>
                <w:sz w:val="21"/>
                <w:u w:val="single"/>
                <w:lang w:val="en-US" w:eastAsia="zh-CN"/>
              </w:rPr>
              <w:t>0.068</w:t>
            </w:r>
          </w:p>
        </w:tc>
      </w:tr>
      <w:tr>
        <w:tblPrEx>
          <w:tblCellMar>
            <w:top w:w="0" w:type="dxa"/>
            <w:left w:w="0" w:type="dxa"/>
            <w:bottom w:w="0" w:type="dxa"/>
            <w:right w:w="0" w:type="dxa"/>
          </w:tblCellMar>
        </w:tblPrEx>
        <w:trPr>
          <w:trHeight w:val="475" w:hRule="exact"/>
          <w:jc w:val="center"/>
        </w:trPr>
        <w:tc>
          <w:tcPr>
            <w:tcW w:w="2149" w:type="dxa"/>
            <w:vMerge w:val="continue"/>
            <w:tcBorders>
              <w:left w:val="nil"/>
              <w:bottom w:val="single" w:color="000000" w:sz="12" w:space="0"/>
              <w:right w:val="single" w:color="000000" w:sz="4" w:space="0"/>
            </w:tcBorders>
            <w:noWrap w:val="0"/>
            <w:vAlign w:val="center"/>
          </w:tcPr>
          <w:p>
            <w:pPr>
              <w:pStyle w:val="104"/>
              <w:spacing w:before="54" w:line="240" w:lineRule="auto"/>
              <w:ind w:right="0"/>
              <w:jc w:val="center"/>
              <w:rPr>
                <w:rFonts w:ascii="宋体" w:hAnsi="宋体" w:eastAsia="宋体" w:cs="宋体"/>
                <w:sz w:val="21"/>
                <w:szCs w:val="21"/>
                <w:u w:val="single"/>
              </w:rPr>
            </w:pPr>
          </w:p>
        </w:tc>
        <w:tc>
          <w:tcPr>
            <w:tcW w:w="2965" w:type="dxa"/>
            <w:vMerge w:val="continue"/>
            <w:tcBorders>
              <w:left w:val="single" w:color="000000" w:sz="4" w:space="0"/>
              <w:bottom w:val="single" w:color="000000" w:sz="12" w:space="0"/>
              <w:right w:val="single" w:color="000000" w:sz="4" w:space="0"/>
            </w:tcBorders>
            <w:noWrap w:val="0"/>
            <w:vAlign w:val="center"/>
          </w:tcPr>
          <w:p>
            <w:pPr>
              <w:pStyle w:val="104"/>
              <w:spacing w:before="103" w:line="240" w:lineRule="auto"/>
              <w:ind w:right="0"/>
              <w:jc w:val="center"/>
              <w:rPr>
                <w:rFonts w:hint="eastAsia" w:ascii="Times New Roman" w:eastAsia="宋体"/>
                <w:sz w:val="21"/>
                <w:u w:val="single"/>
                <w:lang w:val="en-US" w:eastAsia="zh-CN"/>
              </w:rPr>
            </w:pPr>
          </w:p>
        </w:tc>
        <w:tc>
          <w:tcPr>
            <w:tcW w:w="3245" w:type="dxa"/>
            <w:tcBorders>
              <w:top w:val="single" w:color="000000" w:sz="4" w:space="0"/>
              <w:left w:val="single" w:color="000000" w:sz="4" w:space="0"/>
              <w:bottom w:val="single" w:color="000000" w:sz="12" w:space="0"/>
              <w:right w:val="nil"/>
            </w:tcBorders>
            <w:noWrap w:val="0"/>
            <w:vAlign w:val="center"/>
          </w:tcPr>
          <w:p>
            <w:pPr>
              <w:pStyle w:val="104"/>
              <w:spacing w:before="103" w:line="240" w:lineRule="auto"/>
              <w:ind w:right="0"/>
              <w:jc w:val="center"/>
              <w:rPr>
                <w:rFonts w:hint="default" w:ascii="Times New Roman" w:eastAsia="宋体"/>
                <w:color w:val="auto"/>
                <w:sz w:val="21"/>
                <w:u w:val="single"/>
                <w:lang w:val="en-US" w:eastAsia="zh-CN"/>
              </w:rPr>
            </w:pPr>
            <w:r>
              <w:rPr>
                <w:rFonts w:hint="eastAsia" w:ascii="Times New Roman"/>
                <w:color w:val="auto"/>
                <w:sz w:val="21"/>
                <w:u w:val="single"/>
                <w:lang w:val="en-US" w:eastAsia="zh-CN"/>
              </w:rPr>
              <w:t>出水浓度：</w:t>
            </w:r>
            <w:r>
              <w:rPr>
                <w:rFonts w:hint="eastAsia" w:ascii="Times New Roman" w:eastAsia="宋体"/>
                <w:color w:val="auto"/>
                <w:sz w:val="21"/>
                <w:u w:val="single"/>
                <w:lang w:val="en-US" w:eastAsia="zh-CN"/>
              </w:rPr>
              <w:t>0.029</w:t>
            </w:r>
          </w:p>
        </w:tc>
      </w:tr>
    </w:tbl>
    <w:p>
      <w:pPr>
        <w:spacing w:before="0" w:line="295" w:lineRule="exact"/>
        <w:ind w:right="45"/>
        <w:jc w:val="left"/>
        <w:rPr>
          <w:rFonts w:ascii="宋体" w:hAnsi="宋体" w:eastAsia="宋体" w:cs="宋体"/>
          <w:sz w:val="24"/>
          <w:szCs w:val="24"/>
          <w:u w:val="single"/>
        </w:rPr>
      </w:pPr>
      <w:r>
        <w:rPr>
          <w:rFonts w:hint="eastAsia" w:eastAsia="宋体" w:cs="Times New Roman"/>
          <w:b/>
          <w:bCs/>
          <w:sz w:val="24"/>
          <w:szCs w:val="24"/>
          <w:u w:val="single"/>
          <w:lang w:eastAsia="zh-CN"/>
        </w:rPr>
        <w:t>（</w:t>
      </w:r>
      <w:r>
        <w:rPr>
          <w:rFonts w:hint="eastAsia" w:eastAsia="宋体" w:cs="Times New Roman"/>
          <w:b/>
          <w:bCs/>
          <w:sz w:val="24"/>
          <w:szCs w:val="24"/>
          <w:u w:val="single"/>
          <w:lang w:val="en-US" w:eastAsia="zh-CN"/>
        </w:rPr>
        <w:t>4</w:t>
      </w:r>
      <w:r>
        <w:rPr>
          <w:rFonts w:hint="eastAsia" w:eastAsia="宋体" w:cs="Times New Roman"/>
          <w:b/>
          <w:bCs/>
          <w:sz w:val="24"/>
          <w:szCs w:val="24"/>
          <w:u w:val="single"/>
          <w:lang w:eastAsia="zh-CN"/>
        </w:rPr>
        <w:t>）</w:t>
      </w:r>
      <w:r>
        <w:rPr>
          <w:rFonts w:ascii="宋体" w:hAnsi="宋体" w:eastAsia="宋体" w:cs="宋体"/>
          <w:b/>
          <w:bCs/>
          <w:sz w:val="24"/>
          <w:szCs w:val="24"/>
          <w:u w:val="single"/>
        </w:rPr>
        <w:t>、湘西鼎圣利元新材料有限公司</w:t>
      </w:r>
    </w:p>
    <w:p>
      <w:pPr>
        <w:pStyle w:val="16"/>
        <w:spacing w:before="133" w:line="357" w:lineRule="auto"/>
        <w:ind w:left="177" w:right="195" w:firstLine="480"/>
        <w:jc w:val="both"/>
        <w:rPr>
          <w:rFonts w:hint="default" w:ascii="Times New Roman" w:hAnsi="Times New Roman" w:eastAsia="宋体" w:cs="Times New Roman"/>
          <w:spacing w:val="-3"/>
          <w:u w:val="single"/>
          <w:lang w:val="en-US" w:eastAsia="zh-CN"/>
        </w:rPr>
      </w:pPr>
      <w:r>
        <w:rPr>
          <w:rFonts w:hint="default" w:ascii="Times New Roman" w:hAnsi="Times New Roman" w:cs="Times New Roman"/>
          <w:spacing w:val="-3"/>
          <w:u w:val="single"/>
        </w:rPr>
        <w:t>湘西鼎圣利元新材料有限公司</w:t>
      </w:r>
      <w:r>
        <w:rPr>
          <w:rFonts w:hint="default" w:ascii="Times New Roman" w:hAnsi="Times New Roman" w:cs="Times New Roman"/>
          <w:spacing w:val="-3"/>
          <w:u w:val="single"/>
          <w:lang w:eastAsia="zh-CN"/>
        </w:rPr>
        <w:t>于</w:t>
      </w:r>
      <w:r>
        <w:rPr>
          <w:rFonts w:hint="default" w:ascii="Times New Roman" w:hAnsi="Times New Roman" w:cs="Times New Roman"/>
          <w:spacing w:val="-3"/>
          <w:u w:val="single"/>
          <w:lang w:val="en-US" w:eastAsia="zh-CN"/>
        </w:rPr>
        <w:t>2016年编制了《年产100万件通用纳米电解阳极板项目》，产能设计为年产通用纳米电解阳极板100万件，其中电解锰阳极板80万件、电解锌阳极板20万件，建设年产年产100万件通用纳米阳极板生产线一条。该公司于2016年2月16日取得了花垣县环境保护局的批复，批复文号为花环评</w:t>
      </w:r>
      <w:r>
        <w:rPr>
          <w:rFonts w:hint="default" w:ascii="Times New Roman" w:hAnsi="Times New Roman" w:eastAsia="宋体" w:cs="Times New Roman"/>
          <w:spacing w:val="-3"/>
          <w:u w:val="single"/>
          <w:lang w:val="en-US" w:eastAsia="zh-CN"/>
        </w:rPr>
        <w:t>[2016]9号。</w:t>
      </w:r>
      <w:r>
        <w:rPr>
          <w:rFonts w:hint="eastAsia" w:ascii="Times New Roman" w:hAnsi="Times New Roman" w:eastAsia="宋体" w:cs="Times New Roman"/>
          <w:spacing w:val="-3"/>
          <w:u w:val="single"/>
          <w:lang w:val="en-US" w:eastAsia="zh-CN"/>
        </w:rPr>
        <w:t>根据调查，该企业虽已入驻，并编制环评报告，后期未进行建设，未办理环保验收手续。环评仅参考其环评报告中对涉重废水的水质分析。</w:t>
      </w:r>
    </w:p>
    <w:p>
      <w:pPr>
        <w:pStyle w:val="16"/>
        <w:spacing w:before="133" w:line="338" w:lineRule="auto"/>
        <w:ind w:left="177" w:right="192" w:firstLine="480"/>
        <w:jc w:val="both"/>
        <w:rPr>
          <w:u w:val="single"/>
        </w:rPr>
      </w:pPr>
      <w:r>
        <w:rPr>
          <w:rFonts w:hint="eastAsia"/>
          <w:spacing w:val="-3"/>
          <w:u w:val="single"/>
          <w:lang w:eastAsia="zh-CN"/>
        </w:rPr>
        <w:t>该企业</w:t>
      </w:r>
      <w:r>
        <w:rPr>
          <w:spacing w:val="-3"/>
          <w:u w:val="single"/>
        </w:rPr>
        <w:t>阳极板生产过程中废水主要为冷却水和初期雨水，厂区污水处理设施主要处理初期雨水、冷却水和生活废水，废水含重金属离子。</w:t>
      </w:r>
    </w:p>
    <w:p>
      <w:pPr>
        <w:spacing w:line="360" w:lineRule="auto"/>
        <w:ind w:firstLine="422"/>
        <w:jc w:val="center"/>
        <w:rPr>
          <w:rFonts w:hint="eastAsia" w:ascii="Times New Roman" w:hAnsi="Times New Roman" w:eastAsia="宋体" w:cs="Times New Roman"/>
          <w:b/>
          <w:color w:val="000000"/>
          <w:kern w:val="0"/>
          <w:sz w:val="21"/>
          <w:szCs w:val="21"/>
          <w:u w:val="single"/>
        </w:rPr>
      </w:pPr>
      <w:r>
        <w:rPr>
          <w:rFonts w:hint="eastAsia" w:ascii="Times New Roman" w:hAnsi="Times New Roman" w:eastAsia="宋体" w:cs="Times New Roman"/>
          <w:b/>
          <w:color w:val="000000"/>
          <w:kern w:val="0"/>
          <w:sz w:val="21"/>
          <w:szCs w:val="21"/>
          <w:u w:val="single"/>
        </w:rPr>
        <w:t xml:space="preserve">表 </w:t>
      </w:r>
      <w:r>
        <w:rPr>
          <w:rFonts w:hint="eastAsia" w:eastAsia="宋体" w:cs="Times New Roman"/>
          <w:b/>
          <w:color w:val="000000"/>
          <w:kern w:val="0"/>
          <w:sz w:val="21"/>
          <w:szCs w:val="21"/>
          <w:u w:val="single"/>
          <w:lang w:val="en-US" w:eastAsia="zh-CN"/>
        </w:rPr>
        <w:t>2</w:t>
      </w:r>
      <w:r>
        <w:rPr>
          <w:rFonts w:hint="eastAsia" w:ascii="Times New Roman" w:hAnsi="Times New Roman" w:eastAsia="宋体" w:cs="Times New Roman"/>
          <w:b/>
          <w:color w:val="000000"/>
          <w:kern w:val="0"/>
          <w:sz w:val="21"/>
          <w:szCs w:val="21"/>
          <w:u w:val="single"/>
        </w:rPr>
        <w:t>.1-</w:t>
      </w:r>
      <w:r>
        <w:rPr>
          <w:rFonts w:hint="eastAsia" w:eastAsia="宋体" w:cs="Times New Roman"/>
          <w:b/>
          <w:color w:val="000000"/>
          <w:kern w:val="0"/>
          <w:sz w:val="21"/>
          <w:szCs w:val="21"/>
          <w:u w:val="single"/>
          <w:lang w:val="en-US" w:eastAsia="zh-CN"/>
        </w:rPr>
        <w:t>7</w:t>
      </w:r>
      <w:r>
        <w:rPr>
          <w:rFonts w:hint="eastAsia" w:ascii="Times New Roman" w:hAnsi="Times New Roman" w:eastAsia="宋体" w:cs="Times New Roman"/>
          <w:b/>
          <w:color w:val="000000"/>
          <w:kern w:val="0"/>
          <w:sz w:val="21"/>
          <w:szCs w:val="21"/>
          <w:u w:val="single"/>
        </w:rPr>
        <w:tab/>
      </w:r>
      <w:r>
        <w:rPr>
          <w:rFonts w:hint="eastAsia" w:ascii="Times New Roman" w:hAnsi="Times New Roman" w:eastAsia="宋体" w:cs="Times New Roman"/>
          <w:b/>
          <w:color w:val="000000"/>
          <w:kern w:val="0"/>
          <w:sz w:val="21"/>
          <w:szCs w:val="21"/>
          <w:u w:val="single"/>
        </w:rPr>
        <w:t>废水</w:t>
      </w:r>
      <w:r>
        <w:rPr>
          <w:rFonts w:hint="eastAsia" w:ascii="Times New Roman" w:hAnsi="Times New Roman" w:eastAsia="宋体" w:cs="Times New Roman"/>
          <w:b/>
          <w:color w:val="000000"/>
          <w:kern w:val="0"/>
          <w:sz w:val="21"/>
          <w:szCs w:val="21"/>
          <w:u w:val="single"/>
          <w:lang w:eastAsia="zh-CN"/>
        </w:rPr>
        <w:t>重金属</w:t>
      </w:r>
      <w:r>
        <w:rPr>
          <w:rFonts w:hint="eastAsia" w:ascii="Times New Roman" w:hAnsi="Times New Roman" w:eastAsia="宋体" w:cs="Times New Roman"/>
          <w:b/>
          <w:color w:val="000000"/>
          <w:kern w:val="0"/>
          <w:sz w:val="21"/>
          <w:szCs w:val="21"/>
          <w:u w:val="single"/>
        </w:rPr>
        <w:t>污染物进出水水质情况</w:t>
      </w:r>
    </w:p>
    <w:p>
      <w:pPr>
        <w:spacing w:before="3" w:line="240" w:lineRule="auto"/>
        <w:rPr>
          <w:rFonts w:ascii="宋体" w:hAnsi="宋体" w:eastAsia="宋体" w:cs="宋体"/>
          <w:b/>
          <w:bCs/>
          <w:sz w:val="2"/>
          <w:szCs w:val="2"/>
          <w:u w:val="single"/>
        </w:rPr>
      </w:pPr>
    </w:p>
    <w:tbl>
      <w:tblPr>
        <w:tblStyle w:val="37"/>
        <w:tblW w:w="8558"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fixed"/>
        <w:tblCellMar>
          <w:top w:w="0" w:type="dxa"/>
          <w:left w:w="0" w:type="dxa"/>
          <w:bottom w:w="0" w:type="dxa"/>
          <w:right w:w="0" w:type="dxa"/>
        </w:tblCellMar>
      </w:tblPr>
      <w:tblGrid>
        <w:gridCol w:w="1849"/>
        <w:gridCol w:w="1881"/>
        <w:gridCol w:w="2562"/>
        <w:gridCol w:w="2266"/>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750" w:hRule="exact"/>
          <w:jc w:val="center"/>
        </w:trPr>
        <w:tc>
          <w:tcPr>
            <w:tcW w:w="1849" w:type="dxa"/>
            <w:tcBorders>
              <w:tl2br w:val="nil"/>
              <w:tr2bl w:val="nil"/>
            </w:tcBorders>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single"/>
              </w:rPr>
            </w:pPr>
            <w:r>
              <w:rPr>
                <w:rFonts w:ascii="Times New Roman" w:hAnsi="Times New Roman" w:eastAsia="宋体" w:cs="Times New Roman"/>
                <w:sz w:val="21"/>
                <w:szCs w:val="21"/>
                <w:u w:val="single"/>
              </w:rPr>
              <w:t>污水量（m</w:t>
            </w:r>
            <w:r>
              <w:rPr>
                <w:rFonts w:ascii="Times New Roman" w:hAnsi="Times New Roman" w:eastAsia="宋体" w:cs="Times New Roman"/>
                <w:sz w:val="21"/>
                <w:szCs w:val="21"/>
                <w:u w:val="single"/>
                <w:vertAlign w:val="superscript"/>
              </w:rPr>
              <w:t>3</w:t>
            </w:r>
            <w:r>
              <w:rPr>
                <w:rFonts w:ascii="Times New Roman" w:hAnsi="Times New Roman" w:eastAsia="宋体" w:cs="Times New Roman"/>
                <w:sz w:val="21"/>
                <w:szCs w:val="21"/>
                <w:u w:val="single"/>
              </w:rPr>
              <w:t>/d）</w:t>
            </w:r>
          </w:p>
        </w:tc>
        <w:tc>
          <w:tcPr>
            <w:tcW w:w="1881" w:type="dxa"/>
            <w:tcBorders>
              <w:tl2br w:val="nil"/>
              <w:tr2bl w:val="nil"/>
            </w:tcBorders>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single"/>
              </w:rPr>
            </w:pPr>
            <w:r>
              <w:rPr>
                <w:rFonts w:ascii="Times New Roman" w:hAnsi="Times New Roman" w:eastAsia="宋体" w:cs="Times New Roman"/>
                <w:sz w:val="21"/>
                <w:szCs w:val="21"/>
                <w:u w:val="single"/>
              </w:rPr>
              <w:t>污染物名称</w:t>
            </w:r>
          </w:p>
        </w:tc>
        <w:tc>
          <w:tcPr>
            <w:tcW w:w="2562" w:type="dxa"/>
            <w:tcBorders>
              <w:tl2br w:val="nil"/>
              <w:tr2bl w:val="nil"/>
            </w:tcBorders>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single"/>
              </w:rPr>
            </w:pPr>
            <w:r>
              <w:rPr>
                <w:rFonts w:ascii="Times New Roman" w:hAnsi="Times New Roman" w:eastAsia="宋体" w:cs="Times New Roman"/>
                <w:sz w:val="21"/>
                <w:szCs w:val="21"/>
                <w:u w:val="single"/>
              </w:rPr>
              <w:t>进水浓度(mg/L)</w:t>
            </w:r>
          </w:p>
        </w:tc>
        <w:tc>
          <w:tcPr>
            <w:tcW w:w="2266" w:type="dxa"/>
            <w:tcBorders>
              <w:tl2br w:val="nil"/>
              <w:tr2bl w:val="nil"/>
            </w:tcBorders>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single"/>
              </w:rPr>
            </w:pPr>
            <w:r>
              <w:rPr>
                <w:rFonts w:hint="eastAsia" w:ascii="Times New Roman" w:hAnsi="Times New Roman" w:eastAsia="宋体" w:cs="Times New Roman"/>
                <w:sz w:val="21"/>
                <w:szCs w:val="21"/>
                <w:u w:val="single"/>
                <w:lang w:eastAsia="zh-CN"/>
              </w:rPr>
              <w:t>出水</w:t>
            </w:r>
            <w:r>
              <w:rPr>
                <w:rFonts w:ascii="Times New Roman" w:hAnsi="Times New Roman" w:eastAsia="宋体" w:cs="Times New Roman"/>
                <w:sz w:val="21"/>
                <w:szCs w:val="21"/>
                <w:u w:val="single"/>
              </w:rPr>
              <w:t>浓度(mg/L)</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327" w:hRule="exact"/>
          <w:jc w:val="center"/>
        </w:trPr>
        <w:tc>
          <w:tcPr>
            <w:tcW w:w="1849" w:type="dxa"/>
            <w:vMerge w:val="restart"/>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20</w:t>
            </w:r>
          </w:p>
        </w:tc>
        <w:tc>
          <w:tcPr>
            <w:tcW w:w="1881"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铅</w:t>
            </w:r>
          </w:p>
        </w:tc>
        <w:tc>
          <w:tcPr>
            <w:tcW w:w="256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30.08</w:t>
            </w:r>
          </w:p>
        </w:tc>
        <w:tc>
          <w:tcPr>
            <w:tcW w:w="2266"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1.00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327" w:hRule="exact"/>
          <w:jc w:val="center"/>
        </w:trPr>
        <w:tc>
          <w:tcPr>
            <w:tcW w:w="1849" w:type="dxa"/>
            <w:vMerge w:val="continue"/>
            <w:tcBorders>
              <w:tl2br w:val="nil"/>
              <w:tr2bl w:val="nil"/>
            </w:tcBorders>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single"/>
              </w:rPr>
            </w:pPr>
          </w:p>
        </w:tc>
        <w:tc>
          <w:tcPr>
            <w:tcW w:w="1881"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锌</w:t>
            </w:r>
          </w:p>
        </w:tc>
        <w:tc>
          <w:tcPr>
            <w:tcW w:w="256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22.60</w:t>
            </w:r>
          </w:p>
        </w:tc>
        <w:tc>
          <w:tcPr>
            <w:tcW w:w="2266"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lang w:val="en-US"/>
              </w:rPr>
            </w:pPr>
            <w:r>
              <w:rPr>
                <w:rFonts w:hint="eastAsia" w:ascii="Times New Roman" w:hAnsi="Times New Roman" w:eastAsia="宋体" w:cs="Times New Roman"/>
                <w:sz w:val="21"/>
                <w:szCs w:val="21"/>
                <w:u w:val="single"/>
                <w:lang w:val="en-US" w:eastAsia="zh-CN"/>
              </w:rPr>
              <w:t>5.00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355" w:hRule="exact"/>
          <w:jc w:val="center"/>
        </w:trPr>
        <w:tc>
          <w:tcPr>
            <w:tcW w:w="1849" w:type="dxa"/>
            <w:vMerge w:val="continue"/>
            <w:tcBorders>
              <w:tl2br w:val="nil"/>
              <w:tr2bl w:val="nil"/>
            </w:tcBorders>
            <w:noWrap w:val="0"/>
            <w:vAlign w:val="center"/>
          </w:tcPr>
          <w:p>
            <w:pPr>
              <w:widowControl w:val="0"/>
              <w:suppressAutoHyphens/>
              <w:wordWrap w:val="0"/>
              <w:topLinePunct/>
              <w:spacing w:line="240" w:lineRule="auto"/>
              <w:ind w:firstLine="0" w:firstLineChars="0"/>
              <w:jc w:val="center"/>
              <w:rPr>
                <w:rFonts w:ascii="Times New Roman" w:hAnsi="Times New Roman" w:eastAsia="宋体" w:cs="Times New Roman"/>
                <w:sz w:val="21"/>
                <w:szCs w:val="21"/>
                <w:u w:val="single"/>
              </w:rPr>
            </w:pPr>
          </w:p>
        </w:tc>
        <w:tc>
          <w:tcPr>
            <w:tcW w:w="1881"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锰</w:t>
            </w:r>
          </w:p>
        </w:tc>
        <w:tc>
          <w:tcPr>
            <w:tcW w:w="2562"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135.70</w:t>
            </w:r>
          </w:p>
        </w:tc>
        <w:tc>
          <w:tcPr>
            <w:tcW w:w="2266" w:type="dxa"/>
            <w:tcBorders>
              <w:tl2br w:val="nil"/>
              <w:tr2bl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10.20</w:t>
            </w:r>
          </w:p>
        </w:tc>
      </w:tr>
    </w:tbl>
    <w:p>
      <w:pPr>
        <w:pStyle w:val="16"/>
        <w:spacing w:before="133" w:line="338" w:lineRule="auto"/>
        <w:ind w:left="177" w:right="192" w:firstLine="480"/>
        <w:jc w:val="both"/>
        <w:rPr>
          <w:rFonts w:hint="eastAsia" w:ascii="Times New Roman" w:hAnsi="Times New Roman" w:eastAsia="宋体" w:cs="Times New Roman"/>
          <w:u w:val="single"/>
          <w:lang w:eastAsia="zh-CN"/>
        </w:rPr>
      </w:pPr>
      <w:r>
        <w:rPr>
          <w:rFonts w:hint="default" w:ascii="Times New Roman" w:hAnsi="Times New Roman" w:eastAsia="宋体" w:cs="Times New Roman"/>
          <w:u w:val="single"/>
        </w:rPr>
        <w:t>综上所述，园区内</w:t>
      </w:r>
      <w:r>
        <w:rPr>
          <w:rFonts w:hint="eastAsia" w:ascii="Times New Roman" w:hAnsi="Times New Roman" w:eastAsia="宋体" w:cs="Times New Roman"/>
          <w:u w:val="single"/>
          <w:lang w:eastAsia="zh-CN"/>
        </w:rPr>
        <w:t>目前已入驻</w:t>
      </w:r>
      <w:r>
        <w:rPr>
          <w:rFonts w:hint="default" w:ascii="Times New Roman" w:hAnsi="Times New Roman" w:eastAsia="宋体" w:cs="Times New Roman"/>
          <w:u w:val="single"/>
        </w:rPr>
        <w:t>涉重企业废水排放量为</w:t>
      </w:r>
      <w:r>
        <w:rPr>
          <w:rFonts w:hint="eastAsia" w:ascii="Times New Roman" w:hAnsi="Times New Roman" w:eastAsia="宋体" w:cs="Times New Roman"/>
          <w:u w:val="single"/>
          <w:lang w:val="en-US" w:eastAsia="zh-CN"/>
        </w:rPr>
        <w:t>1450</w:t>
      </w:r>
      <w:r>
        <w:rPr>
          <w:rFonts w:hint="default" w:ascii="Times New Roman" w:hAnsi="Times New Roman" w:eastAsia="宋体" w:cs="Times New Roman"/>
          <w:u w:val="single"/>
        </w:rPr>
        <w:t>m</w:t>
      </w:r>
      <w:r>
        <w:rPr>
          <w:rFonts w:hint="default" w:ascii="Times New Roman" w:hAnsi="Times New Roman" w:eastAsia="宋体" w:cs="Times New Roman"/>
          <w:u w:val="single"/>
          <w:vertAlign w:val="superscript"/>
        </w:rPr>
        <w:t>3</w:t>
      </w:r>
      <w:r>
        <w:rPr>
          <w:rFonts w:hint="default" w:ascii="Times New Roman" w:hAnsi="Times New Roman" w:eastAsia="宋体" w:cs="Times New Roman"/>
          <w:u w:val="single"/>
        </w:rPr>
        <w:t>/d，</w:t>
      </w:r>
      <w:r>
        <w:rPr>
          <w:rFonts w:hint="eastAsia" w:ascii="Times New Roman" w:hAnsi="Times New Roman" w:eastAsia="宋体" w:cs="Times New Roman"/>
          <w:u w:val="single"/>
          <w:lang w:eastAsia="zh-CN"/>
        </w:rPr>
        <w:t>本项目近期纳污范围废水量不到</w:t>
      </w:r>
      <w:r>
        <w:rPr>
          <w:rFonts w:hint="eastAsia" w:ascii="Times New Roman" w:hAnsi="Times New Roman" w:eastAsia="宋体" w:cs="Times New Roman"/>
          <w:u w:val="single"/>
          <w:lang w:val="en-US" w:eastAsia="zh-CN"/>
        </w:rPr>
        <w:t>1500t/d，近期处理规模约为2000t/d，</w:t>
      </w:r>
      <w:r>
        <w:rPr>
          <w:rFonts w:hint="default" w:ascii="Times New Roman" w:hAnsi="Times New Roman" w:eastAsia="宋体" w:cs="Times New Roman"/>
          <w:u w:val="single"/>
        </w:rPr>
        <w:t>考虑到目前入驻企业情况、预计未来几年入驻企业的数量及废水量，污水处理站近期建设规模为3000m</w:t>
      </w:r>
      <w:r>
        <w:rPr>
          <w:rFonts w:hint="default" w:ascii="Times New Roman" w:hAnsi="Times New Roman" w:eastAsia="宋体" w:cs="Times New Roman"/>
          <w:u w:val="single"/>
          <w:vertAlign w:val="superscript"/>
        </w:rPr>
        <w:t>3</w:t>
      </w:r>
      <w:r>
        <w:rPr>
          <w:rFonts w:hint="default" w:ascii="Times New Roman" w:hAnsi="Times New Roman" w:eastAsia="宋体" w:cs="Times New Roman"/>
          <w:u w:val="single"/>
        </w:rPr>
        <w:t>/d</w:t>
      </w:r>
      <w:r>
        <w:rPr>
          <w:rFonts w:hint="eastAsia" w:ascii="Times New Roman" w:hAnsi="Times New Roman" w:eastAsia="宋体" w:cs="Times New Roman"/>
          <w:u w:val="single"/>
          <w:lang w:eastAsia="zh-CN"/>
        </w:rPr>
        <w:t>。</w:t>
      </w:r>
    </w:p>
    <w:p>
      <w:pPr>
        <w:pStyle w:val="81"/>
        <w:rPr>
          <w:color w:val="000000"/>
        </w:rPr>
      </w:pPr>
      <w:bookmarkStart w:id="171" w:name="_Toc489350251"/>
      <w:bookmarkStart w:id="172" w:name="_Toc489349990"/>
      <w:bookmarkStart w:id="173" w:name="_Toc489350150"/>
      <w:r>
        <w:rPr>
          <w:color w:val="000000"/>
        </w:rPr>
        <w:t>2</w:t>
      </w:r>
      <w:r>
        <w:rPr>
          <w:rFonts w:hint="eastAsia"/>
          <w:color w:val="000000"/>
        </w:rPr>
        <w:t>.</w:t>
      </w:r>
      <w:r>
        <w:rPr>
          <w:color w:val="000000"/>
        </w:rPr>
        <w:t>1</w:t>
      </w:r>
      <w:r>
        <w:rPr>
          <w:rFonts w:hint="eastAsia"/>
          <w:color w:val="000000"/>
        </w:rPr>
        <w:t>.6.</w:t>
      </w:r>
      <w:r>
        <w:rPr>
          <w:rFonts w:hint="eastAsia"/>
          <w:color w:val="000000"/>
          <w:lang w:val="en-US" w:eastAsia="zh-CN"/>
        </w:rPr>
        <w:t>2重金属</w:t>
      </w:r>
      <w:r>
        <w:rPr>
          <w:rFonts w:hint="eastAsia"/>
          <w:color w:val="000000"/>
        </w:rPr>
        <w:t>污水处理</w:t>
      </w:r>
      <w:r>
        <w:rPr>
          <w:rFonts w:hint="eastAsia"/>
          <w:color w:val="000000"/>
          <w:lang w:val="en-US" w:eastAsia="zh-CN"/>
        </w:rPr>
        <w:t>站进、</w:t>
      </w:r>
      <w:r>
        <w:rPr>
          <w:rFonts w:hint="eastAsia"/>
          <w:color w:val="000000"/>
        </w:rPr>
        <w:t>出水水质确定</w:t>
      </w:r>
    </w:p>
    <w:p>
      <w:pPr>
        <w:pStyle w:val="16"/>
        <w:numPr>
          <w:ilvl w:val="0"/>
          <w:numId w:val="0"/>
        </w:numPr>
        <w:spacing w:before="133" w:line="338" w:lineRule="auto"/>
        <w:ind w:left="657" w:leftChars="0" w:right="192" w:rightChars="0"/>
        <w:jc w:val="both"/>
        <w:rPr>
          <w:rFonts w:hint="default" w:ascii="Times New Roman" w:hAnsi="Times New Roman" w:eastAsia="宋体" w:cs="Times New Roman"/>
          <w:b/>
          <w:bCs/>
        </w:rPr>
      </w:pPr>
      <w:r>
        <w:rPr>
          <w:rFonts w:hint="eastAsia" w:ascii="Times New Roman" w:hAnsi="Times New Roman" w:eastAsia="宋体" w:cs="Times New Roman"/>
          <w:b/>
          <w:bCs/>
          <w:lang w:eastAsia="zh-CN"/>
        </w:rPr>
        <w:t>（</w:t>
      </w:r>
      <w:r>
        <w:rPr>
          <w:rFonts w:hint="eastAsia" w:ascii="Times New Roman" w:hAnsi="Times New Roman" w:eastAsia="宋体" w:cs="Times New Roman"/>
          <w:b/>
          <w:bCs/>
          <w:lang w:val="en-US" w:eastAsia="zh-CN"/>
        </w:rPr>
        <w:t>1</w:t>
      </w:r>
      <w:r>
        <w:rPr>
          <w:rFonts w:hint="eastAsia" w:ascii="Times New Roman" w:hAnsi="Times New Roman" w:eastAsia="宋体" w:cs="Times New Roman"/>
          <w:b/>
          <w:bCs/>
          <w:lang w:eastAsia="zh-CN"/>
        </w:rPr>
        <w:t>）、</w:t>
      </w:r>
      <w:r>
        <w:rPr>
          <w:rFonts w:hint="default" w:ascii="Times New Roman" w:hAnsi="Times New Roman" w:eastAsia="宋体" w:cs="Times New Roman"/>
          <w:b/>
          <w:bCs/>
        </w:rPr>
        <w:t xml:space="preserve">设计进水水质 </w:t>
      </w:r>
    </w:p>
    <w:p>
      <w:pPr>
        <w:pStyle w:val="16"/>
        <w:spacing w:before="133" w:line="338" w:lineRule="auto"/>
        <w:ind w:left="177" w:right="192" w:firstLine="480"/>
        <w:jc w:val="both"/>
        <w:rPr>
          <w:rFonts w:hint="default" w:ascii="Times New Roman" w:hAnsi="Times New Roman" w:eastAsia="宋体" w:cs="Times New Roman"/>
        </w:rPr>
      </w:pPr>
      <w:r>
        <w:rPr>
          <w:rFonts w:hint="eastAsia" w:ascii="Times New Roman" w:hAnsi="Times New Roman" w:eastAsia="宋体" w:cs="Times New Roman"/>
          <w:lang w:val="en-US" w:eastAsia="zh-CN"/>
        </w:rPr>
        <w:t>本项目污水</w:t>
      </w:r>
      <w:r>
        <w:rPr>
          <w:rFonts w:hint="default" w:ascii="Times New Roman" w:hAnsi="Times New Roman" w:eastAsia="宋体" w:cs="Times New Roman"/>
        </w:rPr>
        <w:t>处理站的出水达标排放后接入工业园集中区污水处理设施进行集中处理，因此本方案主要针对涉重企业排放的废水中重金属的去除，未</w:t>
      </w:r>
      <w:r>
        <w:rPr>
          <w:rFonts w:hint="eastAsia" w:ascii="Times New Roman" w:hAnsi="Times New Roman" w:eastAsia="宋体" w:cs="Times New Roman"/>
          <w:lang w:eastAsia="zh-CN"/>
        </w:rPr>
        <w:t>考虑</w:t>
      </w:r>
      <w:r>
        <w:rPr>
          <w:rFonts w:hint="default" w:ascii="Times New Roman" w:hAnsi="Times New Roman" w:eastAsia="宋体" w:cs="Times New Roman"/>
        </w:rPr>
        <w:t>COD</w:t>
      </w:r>
      <w:r>
        <w:rPr>
          <w:rFonts w:hint="eastAsia" w:ascii="Times New Roman" w:hAnsi="Times New Roman" w:eastAsia="宋体" w:cs="Times New Roman"/>
          <w:lang w:val="en-US" w:eastAsia="zh-CN"/>
        </w:rPr>
        <w:t>cr</w:t>
      </w:r>
      <w:r>
        <w:rPr>
          <w:rFonts w:hint="default" w:ascii="Times New Roman" w:hAnsi="Times New Roman" w:eastAsia="宋体" w:cs="Times New Roman"/>
        </w:rPr>
        <w:t>、BOD</w:t>
      </w:r>
      <w:r>
        <w:rPr>
          <w:rFonts w:hint="eastAsia" w:ascii="Times New Roman" w:hAnsi="Times New Roman" w:eastAsia="宋体" w:cs="Times New Roman"/>
          <w:vertAlign w:val="subscript"/>
          <w:lang w:val="en-US" w:eastAsia="zh-CN"/>
        </w:rPr>
        <w:t>5</w:t>
      </w:r>
      <w:r>
        <w:rPr>
          <w:rFonts w:hint="default" w:ascii="Times New Roman" w:hAnsi="Times New Roman" w:eastAsia="宋体" w:cs="Times New Roman"/>
        </w:rPr>
        <w:t>、氨氮等常规指标。为确保污水处理站的正常运行，应对进站水质进行监控。根据现场调研和环保部门提供的各个涉重企业的环评报告、</w:t>
      </w:r>
      <w:r>
        <w:rPr>
          <w:rFonts w:hint="eastAsia" w:ascii="Times New Roman" w:hAnsi="Times New Roman" w:eastAsia="宋体" w:cs="Times New Roman"/>
          <w:lang w:eastAsia="zh-CN"/>
        </w:rPr>
        <w:t>验收</w:t>
      </w:r>
      <w:r>
        <w:rPr>
          <w:rFonts w:hint="default" w:ascii="Times New Roman" w:hAnsi="Times New Roman" w:eastAsia="宋体" w:cs="Times New Roman"/>
        </w:rPr>
        <w:t>监测报告，相关企业均配套了污水处理设施，生产车间产生的废水经过企业的污水处理站处理后达到</w:t>
      </w:r>
      <w:r>
        <w:rPr>
          <w:rFonts w:hint="eastAsia" w:ascii="Times New Roman" w:hAnsi="Times New Roman" w:eastAsia="宋体" w:cs="Times New Roman"/>
          <w:lang w:eastAsia="zh-CN"/>
        </w:rPr>
        <w:t>本项目污水处理站的接管标准</w:t>
      </w:r>
      <w:r>
        <w:rPr>
          <w:rFonts w:hint="default" w:ascii="Times New Roman" w:hAnsi="Times New Roman" w:eastAsia="宋体" w:cs="Times New Roman"/>
        </w:rPr>
        <w:t>，其中第一类污染物按最高允许排放浓度执行。因此，工业园集中区重金属废水处理站进水水质按下表进行设计：</w:t>
      </w:r>
    </w:p>
    <w:p>
      <w:pPr>
        <w:spacing w:line="360" w:lineRule="auto"/>
        <w:ind w:firstLine="422"/>
        <w:jc w:val="center"/>
        <w:rPr>
          <w:rFonts w:hint="eastAsia" w:ascii="Times New Roman" w:hAnsi="Times New Roman" w:eastAsia="宋体" w:cs="Times New Roman"/>
          <w:b/>
          <w:color w:val="000000"/>
          <w:kern w:val="0"/>
          <w:sz w:val="21"/>
          <w:szCs w:val="21"/>
        </w:rPr>
      </w:pPr>
      <w:r>
        <w:rPr>
          <w:rFonts w:hint="eastAsia" w:ascii="Times New Roman" w:hAnsi="Times New Roman" w:eastAsia="宋体" w:cs="Times New Roman"/>
          <w:b/>
          <w:color w:val="000000"/>
          <w:kern w:val="0"/>
          <w:sz w:val="21"/>
          <w:szCs w:val="21"/>
        </w:rPr>
        <w:t xml:space="preserve">表 </w:t>
      </w:r>
      <w:r>
        <w:rPr>
          <w:rFonts w:hint="eastAsia" w:eastAsia="宋体" w:cs="Times New Roman"/>
          <w:b/>
          <w:color w:val="000000"/>
          <w:kern w:val="0"/>
          <w:sz w:val="21"/>
          <w:szCs w:val="21"/>
          <w:lang w:val="en-US" w:eastAsia="zh-CN"/>
        </w:rPr>
        <w:t>2</w:t>
      </w:r>
      <w:r>
        <w:rPr>
          <w:rFonts w:hint="eastAsia" w:ascii="Times New Roman" w:hAnsi="Times New Roman" w:eastAsia="宋体" w:cs="Times New Roman"/>
          <w:b/>
          <w:color w:val="000000"/>
          <w:kern w:val="0"/>
          <w:sz w:val="21"/>
          <w:szCs w:val="21"/>
        </w:rPr>
        <w:t>.1-</w:t>
      </w:r>
      <w:r>
        <w:rPr>
          <w:rFonts w:hint="eastAsia" w:eastAsia="宋体" w:cs="Times New Roman"/>
          <w:b/>
          <w:color w:val="000000"/>
          <w:kern w:val="0"/>
          <w:sz w:val="21"/>
          <w:szCs w:val="21"/>
          <w:lang w:val="en-US" w:eastAsia="zh-CN"/>
        </w:rPr>
        <w:t>8</w:t>
      </w:r>
      <w:r>
        <w:rPr>
          <w:rFonts w:hint="eastAsia" w:ascii="Times New Roman" w:hAnsi="Times New Roman" w:eastAsia="宋体" w:cs="Times New Roman"/>
          <w:b/>
          <w:color w:val="000000"/>
          <w:kern w:val="0"/>
          <w:sz w:val="21"/>
          <w:szCs w:val="21"/>
        </w:rPr>
        <w:t xml:space="preserve"> 进水水质</w:t>
      </w:r>
    </w:p>
    <w:tbl>
      <w:tblPr>
        <w:tblStyle w:val="37"/>
        <w:tblW w:w="0" w:type="auto"/>
        <w:tblInd w:w="138" w:type="dxa"/>
        <w:tblLayout w:type="fixed"/>
        <w:tblCellMar>
          <w:top w:w="0" w:type="dxa"/>
          <w:left w:w="0" w:type="dxa"/>
          <w:bottom w:w="0" w:type="dxa"/>
          <w:right w:w="0" w:type="dxa"/>
        </w:tblCellMar>
      </w:tblPr>
      <w:tblGrid>
        <w:gridCol w:w="1808"/>
        <w:gridCol w:w="3135"/>
        <w:gridCol w:w="3537"/>
      </w:tblGrid>
      <w:tr>
        <w:tblPrEx>
          <w:tblCellMar>
            <w:top w:w="0" w:type="dxa"/>
            <w:left w:w="0" w:type="dxa"/>
            <w:bottom w:w="0" w:type="dxa"/>
            <w:right w:w="0" w:type="dxa"/>
          </w:tblCellMar>
        </w:tblPrEx>
        <w:trPr>
          <w:trHeight w:val="420" w:hRule="exact"/>
        </w:trPr>
        <w:tc>
          <w:tcPr>
            <w:tcW w:w="1808" w:type="dxa"/>
            <w:tcBorders>
              <w:top w:val="single" w:color="000000" w:sz="12"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序号</w:t>
            </w:r>
          </w:p>
        </w:tc>
        <w:tc>
          <w:tcPr>
            <w:tcW w:w="3135" w:type="dxa"/>
            <w:tcBorders>
              <w:top w:val="single" w:color="000000" w:sz="12"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项目</w:t>
            </w:r>
          </w:p>
        </w:tc>
        <w:tc>
          <w:tcPr>
            <w:tcW w:w="3537" w:type="dxa"/>
            <w:tcBorders>
              <w:top w:val="single" w:color="000000" w:sz="12"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指标</w:t>
            </w:r>
          </w:p>
        </w:tc>
      </w:tr>
      <w:tr>
        <w:tblPrEx>
          <w:tblCellMar>
            <w:top w:w="0" w:type="dxa"/>
            <w:left w:w="0" w:type="dxa"/>
            <w:bottom w:w="0" w:type="dxa"/>
            <w:right w:w="0" w:type="dxa"/>
          </w:tblCellMar>
        </w:tblPrEx>
        <w:trPr>
          <w:trHeight w:val="393" w:hRule="exact"/>
        </w:trPr>
        <w:tc>
          <w:tcPr>
            <w:tcW w:w="1808" w:type="dxa"/>
            <w:tcBorders>
              <w:top w:val="single" w:color="000000" w:sz="4"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1</w:t>
            </w:r>
          </w:p>
        </w:tc>
        <w:tc>
          <w:tcPr>
            <w:tcW w:w="313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pH</w:t>
            </w:r>
          </w:p>
        </w:tc>
        <w:tc>
          <w:tcPr>
            <w:tcW w:w="3537" w:type="dxa"/>
            <w:tcBorders>
              <w:top w:val="single" w:color="000000" w:sz="4"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6～9</w:t>
            </w:r>
          </w:p>
        </w:tc>
      </w:tr>
      <w:tr>
        <w:tblPrEx>
          <w:tblCellMar>
            <w:top w:w="0" w:type="dxa"/>
            <w:left w:w="0" w:type="dxa"/>
            <w:bottom w:w="0" w:type="dxa"/>
            <w:right w:w="0" w:type="dxa"/>
          </w:tblCellMar>
        </w:tblPrEx>
        <w:trPr>
          <w:trHeight w:val="393" w:hRule="exact"/>
        </w:trPr>
        <w:tc>
          <w:tcPr>
            <w:tcW w:w="1808" w:type="dxa"/>
            <w:tcBorders>
              <w:top w:val="single" w:color="000000" w:sz="4"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2</w:t>
            </w:r>
          </w:p>
        </w:tc>
        <w:tc>
          <w:tcPr>
            <w:tcW w:w="313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总锰（Mn）</w:t>
            </w:r>
          </w:p>
        </w:tc>
        <w:tc>
          <w:tcPr>
            <w:tcW w:w="3537" w:type="dxa"/>
            <w:tcBorders>
              <w:top w:val="single" w:color="000000" w:sz="4"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eastAsia" w:ascii="Times New Roman" w:hAnsi="Times New Roman" w:eastAsia="宋体" w:cs="Times New Roman"/>
                <w:sz w:val="21"/>
                <w:szCs w:val="21"/>
                <w:u w:val="none"/>
                <w:lang w:val="en-US" w:eastAsia="zh-CN"/>
              </w:rPr>
              <w:t>2</w:t>
            </w:r>
            <w:r>
              <w:rPr>
                <w:rFonts w:hint="default" w:ascii="Times New Roman" w:hAnsi="Times New Roman" w:eastAsia="宋体" w:cs="Times New Roman"/>
                <w:sz w:val="21"/>
                <w:szCs w:val="21"/>
                <w:u w:val="none"/>
              </w:rPr>
              <w:t>5.0mg/L</w:t>
            </w:r>
          </w:p>
        </w:tc>
      </w:tr>
      <w:tr>
        <w:tblPrEx>
          <w:tblCellMar>
            <w:top w:w="0" w:type="dxa"/>
            <w:left w:w="0" w:type="dxa"/>
            <w:bottom w:w="0" w:type="dxa"/>
            <w:right w:w="0" w:type="dxa"/>
          </w:tblCellMar>
        </w:tblPrEx>
        <w:trPr>
          <w:trHeight w:val="393" w:hRule="exact"/>
        </w:trPr>
        <w:tc>
          <w:tcPr>
            <w:tcW w:w="1808" w:type="dxa"/>
            <w:tcBorders>
              <w:top w:val="single" w:color="000000" w:sz="4"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3</w:t>
            </w:r>
          </w:p>
        </w:tc>
        <w:tc>
          <w:tcPr>
            <w:tcW w:w="313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总铬（Cr）</w:t>
            </w:r>
          </w:p>
        </w:tc>
        <w:tc>
          <w:tcPr>
            <w:tcW w:w="3537" w:type="dxa"/>
            <w:tcBorders>
              <w:top w:val="single" w:color="000000" w:sz="4"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1.5mg/L</w:t>
            </w:r>
          </w:p>
        </w:tc>
      </w:tr>
      <w:tr>
        <w:tblPrEx>
          <w:tblCellMar>
            <w:top w:w="0" w:type="dxa"/>
            <w:left w:w="0" w:type="dxa"/>
            <w:bottom w:w="0" w:type="dxa"/>
            <w:right w:w="0" w:type="dxa"/>
          </w:tblCellMar>
        </w:tblPrEx>
        <w:trPr>
          <w:trHeight w:val="393" w:hRule="exact"/>
        </w:trPr>
        <w:tc>
          <w:tcPr>
            <w:tcW w:w="1808" w:type="dxa"/>
            <w:tcBorders>
              <w:top w:val="single" w:color="000000" w:sz="4"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4</w:t>
            </w:r>
          </w:p>
        </w:tc>
        <w:tc>
          <w:tcPr>
            <w:tcW w:w="313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六价铬（Cr</w:t>
            </w:r>
            <w:r>
              <w:rPr>
                <w:rFonts w:hint="default" w:ascii="Times New Roman" w:hAnsi="Times New Roman" w:eastAsia="宋体" w:cs="Times New Roman"/>
                <w:sz w:val="21"/>
                <w:szCs w:val="21"/>
                <w:u w:val="none"/>
                <w:vertAlign w:val="superscript"/>
              </w:rPr>
              <w:t>6+</w:t>
            </w:r>
            <w:r>
              <w:rPr>
                <w:rFonts w:hint="default" w:ascii="Times New Roman" w:hAnsi="Times New Roman" w:eastAsia="宋体" w:cs="Times New Roman"/>
                <w:sz w:val="21"/>
                <w:szCs w:val="21"/>
                <w:u w:val="none"/>
              </w:rPr>
              <w:t>）</w:t>
            </w:r>
          </w:p>
        </w:tc>
        <w:tc>
          <w:tcPr>
            <w:tcW w:w="3537" w:type="dxa"/>
            <w:tcBorders>
              <w:top w:val="single" w:color="000000" w:sz="4"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0.5mg/L</w:t>
            </w:r>
          </w:p>
        </w:tc>
      </w:tr>
      <w:tr>
        <w:tblPrEx>
          <w:tblCellMar>
            <w:top w:w="0" w:type="dxa"/>
            <w:left w:w="0" w:type="dxa"/>
            <w:bottom w:w="0" w:type="dxa"/>
            <w:right w:w="0" w:type="dxa"/>
          </w:tblCellMar>
        </w:tblPrEx>
        <w:trPr>
          <w:trHeight w:val="393" w:hRule="exact"/>
        </w:trPr>
        <w:tc>
          <w:tcPr>
            <w:tcW w:w="1808" w:type="dxa"/>
            <w:tcBorders>
              <w:top w:val="single" w:color="000000" w:sz="4"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5</w:t>
            </w:r>
          </w:p>
        </w:tc>
        <w:tc>
          <w:tcPr>
            <w:tcW w:w="313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总钒（V）</w:t>
            </w:r>
          </w:p>
        </w:tc>
        <w:tc>
          <w:tcPr>
            <w:tcW w:w="3537" w:type="dxa"/>
            <w:tcBorders>
              <w:top w:val="single" w:color="000000" w:sz="4"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4.0mg/L</w:t>
            </w:r>
          </w:p>
        </w:tc>
      </w:tr>
      <w:tr>
        <w:tblPrEx>
          <w:tblCellMar>
            <w:top w:w="0" w:type="dxa"/>
            <w:left w:w="0" w:type="dxa"/>
            <w:bottom w:w="0" w:type="dxa"/>
            <w:right w:w="0" w:type="dxa"/>
          </w:tblCellMar>
        </w:tblPrEx>
        <w:trPr>
          <w:trHeight w:val="393" w:hRule="exact"/>
        </w:trPr>
        <w:tc>
          <w:tcPr>
            <w:tcW w:w="1808" w:type="dxa"/>
            <w:tcBorders>
              <w:top w:val="single" w:color="000000" w:sz="4"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6</w:t>
            </w:r>
          </w:p>
        </w:tc>
        <w:tc>
          <w:tcPr>
            <w:tcW w:w="313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锌（Zn）</w:t>
            </w:r>
          </w:p>
        </w:tc>
        <w:tc>
          <w:tcPr>
            <w:tcW w:w="3537" w:type="dxa"/>
            <w:tcBorders>
              <w:top w:val="single" w:color="000000" w:sz="4"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5.0mg/L</w:t>
            </w:r>
          </w:p>
        </w:tc>
      </w:tr>
      <w:tr>
        <w:tblPrEx>
          <w:tblCellMar>
            <w:top w:w="0" w:type="dxa"/>
            <w:left w:w="0" w:type="dxa"/>
            <w:bottom w:w="0" w:type="dxa"/>
            <w:right w:w="0" w:type="dxa"/>
          </w:tblCellMar>
        </w:tblPrEx>
        <w:trPr>
          <w:trHeight w:val="428" w:hRule="exact"/>
        </w:trPr>
        <w:tc>
          <w:tcPr>
            <w:tcW w:w="1808" w:type="dxa"/>
            <w:tcBorders>
              <w:top w:val="single" w:color="000000" w:sz="4" w:space="0"/>
              <w:left w:val="nil"/>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7</w:t>
            </w:r>
          </w:p>
        </w:tc>
        <w:tc>
          <w:tcPr>
            <w:tcW w:w="3135" w:type="dxa"/>
            <w:tcBorders>
              <w:top w:val="single" w:color="000000" w:sz="4" w:space="0"/>
              <w:left w:val="single" w:color="000000" w:sz="4" w:space="0"/>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铅（Pb）</w:t>
            </w:r>
          </w:p>
        </w:tc>
        <w:tc>
          <w:tcPr>
            <w:tcW w:w="3537" w:type="dxa"/>
            <w:tcBorders>
              <w:top w:val="single" w:color="000000" w:sz="4" w:space="0"/>
              <w:left w:val="single" w:color="000000" w:sz="4" w:space="0"/>
              <w:bottom w:val="single" w:color="000000" w:sz="12"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1.0mg/L</w:t>
            </w:r>
          </w:p>
        </w:tc>
      </w:tr>
    </w:tbl>
    <w:p>
      <w:pPr>
        <w:spacing w:before="0" w:line="294" w:lineRule="exact"/>
        <w:ind w:right="115"/>
        <w:jc w:val="left"/>
        <w:rPr>
          <w:rFonts w:ascii="宋体" w:hAnsi="宋体" w:eastAsia="宋体" w:cs="宋体"/>
          <w:sz w:val="24"/>
          <w:szCs w:val="24"/>
        </w:rPr>
      </w:pPr>
      <w:r>
        <w:rPr>
          <w:rFonts w:hint="eastAsia" w:eastAsia="宋体" w:cs="Times New Roman"/>
          <w:b/>
          <w:bCs/>
          <w:sz w:val="24"/>
          <w:szCs w:val="24"/>
          <w:lang w:eastAsia="zh-CN"/>
        </w:rPr>
        <w:t>（</w:t>
      </w:r>
      <w:r>
        <w:rPr>
          <w:rFonts w:hint="eastAsia" w:eastAsia="宋体" w:cs="Times New Roman"/>
          <w:b/>
          <w:bCs/>
          <w:sz w:val="24"/>
          <w:szCs w:val="24"/>
          <w:lang w:val="en-US" w:eastAsia="zh-CN"/>
        </w:rPr>
        <w:t>2</w:t>
      </w:r>
      <w:r>
        <w:rPr>
          <w:rFonts w:hint="eastAsia" w:eastAsia="宋体" w:cs="Times New Roman"/>
          <w:b/>
          <w:bCs/>
          <w:sz w:val="24"/>
          <w:szCs w:val="24"/>
          <w:lang w:eastAsia="zh-CN"/>
        </w:rPr>
        <w:t>）</w:t>
      </w:r>
      <w:r>
        <w:rPr>
          <w:rFonts w:ascii="宋体" w:hAnsi="宋体" w:eastAsia="宋体" w:cs="宋体"/>
          <w:b/>
          <w:bCs/>
          <w:sz w:val="24"/>
          <w:szCs w:val="24"/>
        </w:rPr>
        <w:t>、设计出水水质</w:t>
      </w:r>
    </w:p>
    <w:p>
      <w:pPr>
        <w:pStyle w:val="16"/>
        <w:keepNext w:val="0"/>
        <w:keepLines w:val="0"/>
        <w:pageBreakBefore w:val="0"/>
        <w:widowControl/>
        <w:kinsoku/>
        <w:wordWrap w:val="0"/>
        <w:overflowPunct/>
        <w:topLinePunct w:val="0"/>
        <w:autoSpaceDE w:val="0"/>
        <w:autoSpaceDN w:val="0"/>
        <w:bidi w:val="0"/>
        <w:adjustRightInd/>
        <w:snapToGrid/>
        <w:spacing w:before="135" w:line="336" w:lineRule="auto"/>
        <w:ind w:left="238" w:right="113" w:firstLine="482"/>
        <w:jc w:val="left"/>
        <w:textAlignment w:val="auto"/>
        <w:rPr>
          <w:color w:val="auto"/>
        </w:rPr>
      </w:pPr>
      <w:r>
        <w:rPr>
          <w:spacing w:val="2"/>
        </w:rPr>
        <w:t>第一类污染物排放执行《城镇污水处理厂污染物排放标准》</w:t>
      </w:r>
      <w:r>
        <w:rPr>
          <w:rFonts w:ascii="Times New Roman" w:hAnsi="Times New Roman" w:eastAsia="Times New Roman" w:cs="Times New Roman"/>
          <w:spacing w:val="2"/>
        </w:rPr>
        <w:t>GB18918-2002</w:t>
      </w:r>
      <w:r>
        <w:rPr>
          <w:rFonts w:ascii="Times New Roman" w:hAnsi="Times New Roman" w:eastAsia="Times New Roman" w:cs="Times New Roman"/>
        </w:rPr>
        <w:t xml:space="preserve"> </w:t>
      </w:r>
      <w:r>
        <w:t>表</w:t>
      </w:r>
      <w:r>
        <w:rPr>
          <w:spacing w:val="-63"/>
        </w:rPr>
        <w:t xml:space="preserve"> </w:t>
      </w:r>
      <w:r>
        <w:rPr>
          <w:rFonts w:ascii="Times New Roman" w:hAnsi="Times New Roman" w:eastAsia="Times New Roman" w:cs="Times New Roman"/>
        </w:rPr>
        <w:t>2</w:t>
      </w:r>
      <w:r>
        <w:t>表</w:t>
      </w:r>
      <w:r>
        <w:rPr>
          <w:spacing w:val="-63"/>
        </w:rPr>
        <w:t xml:space="preserve"> </w:t>
      </w:r>
      <w:r>
        <w:rPr>
          <w:rFonts w:ascii="Times New Roman" w:hAnsi="Times New Roman" w:eastAsia="Times New Roman" w:cs="Times New Roman"/>
        </w:rPr>
        <w:t>3</w:t>
      </w:r>
      <w:r>
        <w:t>的规</w:t>
      </w:r>
      <w:r>
        <w:rPr>
          <w:color w:val="auto"/>
        </w:rPr>
        <w:t>定；总钒指标执行《钒工业污染物排放标准》</w:t>
      </w:r>
      <w:r>
        <w:rPr>
          <w:rFonts w:ascii="Times New Roman" w:hAnsi="Times New Roman" w:eastAsia="Times New Roman" w:cs="Times New Roman"/>
          <w:color w:val="auto"/>
        </w:rPr>
        <w:t>GB26452-2011</w:t>
      </w:r>
      <w:r>
        <w:rPr>
          <w:rFonts w:hint="eastAsia" w:ascii="Times New Roman" w:hAnsi="Times New Roman" w:eastAsia="宋体" w:cs="Times New Roman"/>
          <w:color w:val="auto"/>
          <w:lang w:eastAsia="zh-CN"/>
        </w:rPr>
        <w:t>表</w:t>
      </w:r>
      <w:r>
        <w:rPr>
          <w:rFonts w:hint="eastAsia" w:ascii="Times New Roman" w:hAnsi="Times New Roman" w:eastAsia="宋体" w:cs="Times New Roman"/>
          <w:color w:val="auto"/>
          <w:lang w:val="en-US" w:eastAsia="zh-CN"/>
        </w:rPr>
        <w:t>2标准限值</w:t>
      </w:r>
      <w:r>
        <w:rPr>
          <w:color w:val="auto"/>
        </w:rPr>
        <w:t>。</w:t>
      </w:r>
    </w:p>
    <w:p>
      <w:pPr>
        <w:spacing w:line="360" w:lineRule="auto"/>
        <w:ind w:firstLine="422"/>
        <w:jc w:val="center"/>
        <w:rPr>
          <w:rFonts w:hint="eastAsia" w:ascii="Times New Roman" w:hAnsi="Times New Roman" w:eastAsia="宋体" w:cs="Times New Roman"/>
          <w:b/>
          <w:color w:val="000000"/>
          <w:kern w:val="0"/>
          <w:sz w:val="21"/>
          <w:szCs w:val="21"/>
          <w:u w:val="single"/>
        </w:rPr>
      </w:pPr>
      <w:r>
        <w:rPr>
          <w:rFonts w:hint="eastAsia" w:ascii="Times New Roman" w:hAnsi="Times New Roman" w:eastAsia="宋体" w:cs="Times New Roman"/>
          <w:b/>
          <w:color w:val="000000"/>
          <w:kern w:val="0"/>
          <w:sz w:val="21"/>
          <w:szCs w:val="21"/>
          <w:u w:val="single"/>
        </w:rPr>
        <w:t xml:space="preserve">表 </w:t>
      </w:r>
      <w:r>
        <w:rPr>
          <w:rFonts w:hint="eastAsia" w:eastAsia="宋体" w:cs="Times New Roman"/>
          <w:b/>
          <w:color w:val="000000"/>
          <w:kern w:val="0"/>
          <w:sz w:val="21"/>
          <w:szCs w:val="21"/>
          <w:u w:val="single"/>
          <w:lang w:val="en-US" w:eastAsia="zh-CN"/>
        </w:rPr>
        <w:t>2</w:t>
      </w:r>
      <w:r>
        <w:rPr>
          <w:rFonts w:hint="eastAsia" w:ascii="Times New Roman" w:hAnsi="Times New Roman" w:eastAsia="宋体" w:cs="Times New Roman"/>
          <w:b/>
          <w:color w:val="000000"/>
          <w:kern w:val="0"/>
          <w:sz w:val="21"/>
          <w:szCs w:val="21"/>
          <w:u w:val="single"/>
        </w:rPr>
        <w:t>.1-</w:t>
      </w:r>
      <w:r>
        <w:rPr>
          <w:rFonts w:hint="eastAsia" w:eastAsia="宋体" w:cs="Times New Roman"/>
          <w:b/>
          <w:color w:val="000000"/>
          <w:kern w:val="0"/>
          <w:sz w:val="21"/>
          <w:szCs w:val="21"/>
          <w:u w:val="single"/>
          <w:lang w:val="en-US" w:eastAsia="zh-CN"/>
        </w:rPr>
        <w:t>9</w:t>
      </w:r>
      <w:r>
        <w:rPr>
          <w:rFonts w:hint="eastAsia" w:ascii="Times New Roman" w:hAnsi="Times New Roman" w:eastAsia="宋体" w:cs="Times New Roman"/>
          <w:b/>
          <w:color w:val="000000"/>
          <w:kern w:val="0"/>
          <w:sz w:val="21"/>
          <w:szCs w:val="21"/>
          <w:u w:val="single"/>
        </w:rPr>
        <w:t xml:space="preserve"> 设计出水水质</w:t>
      </w:r>
    </w:p>
    <w:tbl>
      <w:tblPr>
        <w:tblStyle w:val="37"/>
        <w:tblW w:w="0" w:type="auto"/>
        <w:tblInd w:w="208" w:type="dxa"/>
        <w:tblLayout w:type="fixed"/>
        <w:tblCellMar>
          <w:top w:w="0" w:type="dxa"/>
          <w:left w:w="0" w:type="dxa"/>
          <w:bottom w:w="0" w:type="dxa"/>
          <w:right w:w="0" w:type="dxa"/>
        </w:tblCellMar>
      </w:tblPr>
      <w:tblGrid>
        <w:gridCol w:w="1793"/>
        <w:gridCol w:w="3053"/>
        <w:gridCol w:w="3494"/>
      </w:tblGrid>
      <w:tr>
        <w:tblPrEx>
          <w:tblCellMar>
            <w:top w:w="0" w:type="dxa"/>
            <w:left w:w="0" w:type="dxa"/>
            <w:bottom w:w="0" w:type="dxa"/>
            <w:right w:w="0" w:type="dxa"/>
          </w:tblCellMar>
        </w:tblPrEx>
        <w:trPr>
          <w:trHeight w:val="400" w:hRule="exact"/>
        </w:trPr>
        <w:tc>
          <w:tcPr>
            <w:tcW w:w="1793" w:type="dxa"/>
            <w:tcBorders>
              <w:top w:val="single" w:color="000000" w:sz="12"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序号</w:t>
            </w:r>
          </w:p>
        </w:tc>
        <w:tc>
          <w:tcPr>
            <w:tcW w:w="3053" w:type="dxa"/>
            <w:tcBorders>
              <w:top w:val="single" w:color="000000" w:sz="12"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项 目</w:t>
            </w:r>
          </w:p>
        </w:tc>
        <w:tc>
          <w:tcPr>
            <w:tcW w:w="3494" w:type="dxa"/>
            <w:tcBorders>
              <w:top w:val="single" w:color="000000" w:sz="12"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指标</w:t>
            </w:r>
          </w:p>
        </w:tc>
      </w:tr>
      <w:tr>
        <w:tblPrEx>
          <w:tblCellMar>
            <w:top w:w="0" w:type="dxa"/>
            <w:left w:w="0" w:type="dxa"/>
            <w:bottom w:w="0" w:type="dxa"/>
            <w:right w:w="0" w:type="dxa"/>
          </w:tblCellMar>
        </w:tblPrEx>
        <w:trPr>
          <w:trHeight w:val="390" w:hRule="exact"/>
        </w:trPr>
        <w:tc>
          <w:tcPr>
            <w:tcW w:w="1793" w:type="dxa"/>
            <w:tcBorders>
              <w:top w:val="single" w:color="000000" w:sz="4"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1</w:t>
            </w:r>
          </w:p>
        </w:tc>
        <w:tc>
          <w:tcPr>
            <w:tcW w:w="3053"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pH</w:t>
            </w:r>
          </w:p>
        </w:tc>
        <w:tc>
          <w:tcPr>
            <w:tcW w:w="3494" w:type="dxa"/>
            <w:tcBorders>
              <w:top w:val="single" w:color="000000" w:sz="4"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6～9</w:t>
            </w:r>
          </w:p>
        </w:tc>
      </w:tr>
      <w:tr>
        <w:tblPrEx>
          <w:tblCellMar>
            <w:top w:w="0" w:type="dxa"/>
            <w:left w:w="0" w:type="dxa"/>
            <w:bottom w:w="0" w:type="dxa"/>
            <w:right w:w="0" w:type="dxa"/>
          </w:tblCellMar>
        </w:tblPrEx>
        <w:trPr>
          <w:trHeight w:val="390" w:hRule="exact"/>
        </w:trPr>
        <w:tc>
          <w:tcPr>
            <w:tcW w:w="1793" w:type="dxa"/>
            <w:tcBorders>
              <w:top w:val="single" w:color="000000" w:sz="4"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2</w:t>
            </w:r>
          </w:p>
        </w:tc>
        <w:tc>
          <w:tcPr>
            <w:tcW w:w="3053"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总锰</w:t>
            </w:r>
          </w:p>
        </w:tc>
        <w:tc>
          <w:tcPr>
            <w:tcW w:w="3494" w:type="dxa"/>
            <w:tcBorders>
              <w:top w:val="single" w:color="000000" w:sz="4"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2.0mg/L</w:t>
            </w:r>
          </w:p>
        </w:tc>
      </w:tr>
      <w:tr>
        <w:tblPrEx>
          <w:tblCellMar>
            <w:top w:w="0" w:type="dxa"/>
            <w:left w:w="0" w:type="dxa"/>
            <w:bottom w:w="0" w:type="dxa"/>
            <w:right w:w="0" w:type="dxa"/>
          </w:tblCellMar>
        </w:tblPrEx>
        <w:trPr>
          <w:trHeight w:val="390" w:hRule="exact"/>
        </w:trPr>
        <w:tc>
          <w:tcPr>
            <w:tcW w:w="1793" w:type="dxa"/>
            <w:tcBorders>
              <w:top w:val="single" w:color="000000" w:sz="4"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3</w:t>
            </w:r>
          </w:p>
        </w:tc>
        <w:tc>
          <w:tcPr>
            <w:tcW w:w="3053"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总铬</w:t>
            </w:r>
          </w:p>
        </w:tc>
        <w:tc>
          <w:tcPr>
            <w:tcW w:w="3494" w:type="dxa"/>
            <w:tcBorders>
              <w:top w:val="single" w:color="000000" w:sz="4"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0.1mg/L</w:t>
            </w:r>
          </w:p>
        </w:tc>
      </w:tr>
      <w:tr>
        <w:tblPrEx>
          <w:tblCellMar>
            <w:top w:w="0" w:type="dxa"/>
            <w:left w:w="0" w:type="dxa"/>
            <w:bottom w:w="0" w:type="dxa"/>
            <w:right w:w="0" w:type="dxa"/>
          </w:tblCellMar>
        </w:tblPrEx>
        <w:trPr>
          <w:trHeight w:val="390" w:hRule="exact"/>
        </w:trPr>
        <w:tc>
          <w:tcPr>
            <w:tcW w:w="1793" w:type="dxa"/>
            <w:tcBorders>
              <w:top w:val="single" w:color="000000" w:sz="4"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4</w:t>
            </w:r>
          </w:p>
        </w:tc>
        <w:tc>
          <w:tcPr>
            <w:tcW w:w="3053"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六价铬</w:t>
            </w:r>
          </w:p>
        </w:tc>
        <w:tc>
          <w:tcPr>
            <w:tcW w:w="3494" w:type="dxa"/>
            <w:tcBorders>
              <w:top w:val="single" w:color="000000" w:sz="4"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0.05mg/L</w:t>
            </w:r>
          </w:p>
        </w:tc>
      </w:tr>
      <w:tr>
        <w:tblPrEx>
          <w:tblCellMar>
            <w:top w:w="0" w:type="dxa"/>
            <w:left w:w="0" w:type="dxa"/>
            <w:bottom w:w="0" w:type="dxa"/>
            <w:right w:w="0" w:type="dxa"/>
          </w:tblCellMar>
        </w:tblPrEx>
        <w:trPr>
          <w:trHeight w:val="390" w:hRule="exact"/>
        </w:trPr>
        <w:tc>
          <w:tcPr>
            <w:tcW w:w="1793" w:type="dxa"/>
            <w:tcBorders>
              <w:top w:val="single" w:color="000000" w:sz="4"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5</w:t>
            </w:r>
          </w:p>
        </w:tc>
        <w:tc>
          <w:tcPr>
            <w:tcW w:w="3053"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总钒</w:t>
            </w:r>
          </w:p>
        </w:tc>
        <w:tc>
          <w:tcPr>
            <w:tcW w:w="3494" w:type="dxa"/>
            <w:tcBorders>
              <w:top w:val="single" w:color="000000" w:sz="4"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eastAsia" w:eastAsia="宋体" w:cs="Times New Roman"/>
                <w:sz w:val="21"/>
                <w:szCs w:val="21"/>
                <w:u w:val="single"/>
                <w:lang w:val="en-US" w:eastAsia="zh-CN"/>
              </w:rPr>
              <w:t>1</w:t>
            </w:r>
            <w:r>
              <w:rPr>
                <w:rFonts w:hint="default" w:ascii="Times New Roman" w:hAnsi="Times New Roman" w:eastAsia="宋体" w:cs="Times New Roman"/>
                <w:sz w:val="21"/>
                <w:szCs w:val="21"/>
                <w:u w:val="single"/>
              </w:rPr>
              <w:t>.0mg/L</w:t>
            </w:r>
          </w:p>
        </w:tc>
      </w:tr>
      <w:tr>
        <w:tblPrEx>
          <w:tblCellMar>
            <w:top w:w="0" w:type="dxa"/>
            <w:left w:w="0" w:type="dxa"/>
            <w:bottom w:w="0" w:type="dxa"/>
            <w:right w:w="0" w:type="dxa"/>
          </w:tblCellMar>
        </w:tblPrEx>
        <w:trPr>
          <w:trHeight w:val="390" w:hRule="exact"/>
        </w:trPr>
        <w:tc>
          <w:tcPr>
            <w:tcW w:w="1793" w:type="dxa"/>
            <w:tcBorders>
              <w:top w:val="single" w:color="000000" w:sz="4"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6</w:t>
            </w:r>
          </w:p>
        </w:tc>
        <w:tc>
          <w:tcPr>
            <w:tcW w:w="3053"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锌</w:t>
            </w:r>
          </w:p>
        </w:tc>
        <w:tc>
          <w:tcPr>
            <w:tcW w:w="3494" w:type="dxa"/>
            <w:tcBorders>
              <w:top w:val="single" w:color="000000" w:sz="4"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1.0mg/L</w:t>
            </w:r>
          </w:p>
        </w:tc>
      </w:tr>
      <w:tr>
        <w:tblPrEx>
          <w:tblCellMar>
            <w:top w:w="0" w:type="dxa"/>
            <w:left w:w="0" w:type="dxa"/>
            <w:bottom w:w="0" w:type="dxa"/>
            <w:right w:w="0" w:type="dxa"/>
          </w:tblCellMar>
        </w:tblPrEx>
        <w:trPr>
          <w:trHeight w:val="400" w:hRule="exact"/>
        </w:trPr>
        <w:tc>
          <w:tcPr>
            <w:tcW w:w="1793" w:type="dxa"/>
            <w:tcBorders>
              <w:top w:val="single" w:color="000000" w:sz="4" w:space="0"/>
              <w:left w:val="nil"/>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7</w:t>
            </w:r>
          </w:p>
        </w:tc>
        <w:tc>
          <w:tcPr>
            <w:tcW w:w="3053" w:type="dxa"/>
            <w:tcBorders>
              <w:top w:val="single" w:color="000000" w:sz="4" w:space="0"/>
              <w:left w:val="single" w:color="000000" w:sz="4" w:space="0"/>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铅</w:t>
            </w:r>
          </w:p>
        </w:tc>
        <w:tc>
          <w:tcPr>
            <w:tcW w:w="3494" w:type="dxa"/>
            <w:tcBorders>
              <w:top w:val="single" w:color="000000" w:sz="4" w:space="0"/>
              <w:left w:val="single" w:color="000000" w:sz="4" w:space="0"/>
              <w:bottom w:val="single" w:color="000000" w:sz="12"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0.1mg/L</w:t>
            </w:r>
          </w:p>
        </w:tc>
      </w:tr>
    </w:tbl>
    <w:p>
      <w:pPr>
        <w:spacing w:before="0" w:line="294" w:lineRule="exact"/>
        <w:ind w:right="115"/>
        <w:jc w:val="left"/>
        <w:rPr>
          <w:rFonts w:ascii="宋体" w:hAnsi="宋体" w:eastAsia="宋体" w:cs="宋体"/>
          <w:sz w:val="24"/>
          <w:szCs w:val="24"/>
        </w:rPr>
      </w:pPr>
      <w:r>
        <w:rPr>
          <w:rFonts w:hint="eastAsia" w:eastAsia="宋体" w:cs="Times New Roman"/>
          <w:b/>
          <w:bCs/>
          <w:sz w:val="24"/>
          <w:szCs w:val="24"/>
          <w:lang w:eastAsia="zh-CN"/>
        </w:rPr>
        <w:t>（</w:t>
      </w:r>
      <w:r>
        <w:rPr>
          <w:rFonts w:hint="eastAsia" w:eastAsia="宋体" w:cs="Times New Roman"/>
          <w:b/>
          <w:bCs/>
          <w:sz w:val="24"/>
          <w:szCs w:val="24"/>
          <w:lang w:val="en-US" w:eastAsia="zh-CN"/>
        </w:rPr>
        <w:t>3</w:t>
      </w:r>
      <w:r>
        <w:rPr>
          <w:rFonts w:hint="eastAsia" w:eastAsia="宋体" w:cs="Times New Roman"/>
          <w:b/>
          <w:bCs/>
          <w:sz w:val="24"/>
          <w:szCs w:val="24"/>
          <w:lang w:eastAsia="zh-CN"/>
        </w:rPr>
        <w:t>）</w:t>
      </w:r>
      <w:r>
        <w:rPr>
          <w:rFonts w:ascii="宋体" w:hAnsi="宋体" w:eastAsia="宋体" w:cs="宋体"/>
          <w:b/>
          <w:bCs/>
          <w:sz w:val="24"/>
          <w:szCs w:val="24"/>
        </w:rPr>
        <w:t>、设计处理程度</w:t>
      </w:r>
    </w:p>
    <w:p>
      <w:pPr>
        <w:pStyle w:val="16"/>
        <w:spacing w:before="135" w:line="355" w:lineRule="auto"/>
        <w:ind w:left="237" w:right="115" w:firstLine="480"/>
        <w:jc w:val="left"/>
        <w:rPr>
          <w:rFonts w:hint="default" w:ascii="Times New Roman" w:hAnsi="Times New Roman" w:cs="Times New Roman"/>
        </w:rPr>
      </w:pPr>
      <w:r>
        <w:rPr>
          <w:rFonts w:hint="default" w:ascii="Times New Roman" w:hAnsi="Times New Roman" w:cs="Times New Roman"/>
          <w:spacing w:val="-3"/>
        </w:rPr>
        <w:t>根据废水处理站的进水水质和所要达到的出水水质，废水处理程度（污染物</w:t>
      </w:r>
      <w:r>
        <w:rPr>
          <w:rFonts w:hint="default" w:ascii="Times New Roman" w:hAnsi="Times New Roman" w:cs="Times New Roman"/>
        </w:rPr>
        <w:t xml:space="preserve"> 去除率）必须达到</w:t>
      </w:r>
      <w:r>
        <w:rPr>
          <w:rFonts w:hint="default" w:ascii="Times New Roman" w:hAnsi="Times New Roman" w:cs="Times New Roman"/>
          <w:spacing w:val="-3"/>
        </w:rPr>
        <w:t>的数值见表</w:t>
      </w:r>
      <w:r>
        <w:rPr>
          <w:rFonts w:hint="default" w:ascii="Times New Roman" w:hAnsi="Times New Roman" w:cs="Times New Roman"/>
          <w:spacing w:val="-3"/>
          <w:lang w:val="en-US" w:eastAsia="zh-CN"/>
        </w:rPr>
        <w:t>2.1-10</w:t>
      </w:r>
      <w:r>
        <w:rPr>
          <w:rFonts w:hint="default" w:ascii="Times New Roman" w:hAnsi="Times New Roman" w:cs="Times New Roman"/>
          <w:spacing w:val="-3"/>
        </w:rPr>
        <w:t>。</w:t>
      </w:r>
    </w:p>
    <w:p>
      <w:pPr>
        <w:spacing w:line="360" w:lineRule="auto"/>
        <w:ind w:firstLine="422"/>
        <w:jc w:val="center"/>
        <w:rPr>
          <w:rFonts w:hint="eastAsia" w:ascii="Times New Roman" w:hAnsi="Times New Roman" w:eastAsia="宋体" w:cs="Times New Roman"/>
          <w:b/>
          <w:color w:val="000000"/>
          <w:kern w:val="0"/>
          <w:sz w:val="21"/>
          <w:szCs w:val="21"/>
          <w:u w:val="single"/>
        </w:rPr>
      </w:pPr>
      <w:r>
        <w:rPr>
          <w:rFonts w:hint="eastAsia" w:ascii="Times New Roman" w:hAnsi="Times New Roman" w:eastAsia="宋体" w:cs="Times New Roman"/>
          <w:b/>
          <w:color w:val="000000"/>
          <w:kern w:val="0"/>
          <w:sz w:val="21"/>
          <w:szCs w:val="21"/>
          <w:u w:val="single"/>
        </w:rPr>
        <w:t xml:space="preserve">表 </w:t>
      </w:r>
      <w:r>
        <w:rPr>
          <w:rFonts w:hint="eastAsia" w:eastAsia="宋体" w:cs="Times New Roman"/>
          <w:b/>
          <w:color w:val="000000"/>
          <w:kern w:val="0"/>
          <w:sz w:val="21"/>
          <w:szCs w:val="21"/>
          <w:u w:val="single"/>
          <w:lang w:val="en-US" w:eastAsia="zh-CN"/>
        </w:rPr>
        <w:t>2</w:t>
      </w:r>
      <w:r>
        <w:rPr>
          <w:rFonts w:hint="eastAsia" w:ascii="Times New Roman" w:hAnsi="Times New Roman" w:eastAsia="宋体" w:cs="Times New Roman"/>
          <w:b/>
          <w:color w:val="000000"/>
          <w:kern w:val="0"/>
          <w:sz w:val="21"/>
          <w:szCs w:val="21"/>
          <w:u w:val="single"/>
        </w:rPr>
        <w:t>.1-</w:t>
      </w:r>
      <w:r>
        <w:rPr>
          <w:rFonts w:hint="eastAsia" w:eastAsia="宋体" w:cs="Times New Roman"/>
          <w:b/>
          <w:color w:val="000000"/>
          <w:kern w:val="0"/>
          <w:sz w:val="21"/>
          <w:szCs w:val="21"/>
          <w:u w:val="single"/>
          <w:lang w:val="en-US" w:eastAsia="zh-CN"/>
        </w:rPr>
        <w:t>10</w:t>
      </w:r>
      <w:r>
        <w:rPr>
          <w:rFonts w:hint="eastAsia" w:ascii="Times New Roman" w:hAnsi="Times New Roman" w:eastAsia="宋体" w:cs="Times New Roman"/>
          <w:b/>
          <w:color w:val="000000"/>
          <w:kern w:val="0"/>
          <w:sz w:val="21"/>
          <w:szCs w:val="21"/>
          <w:u w:val="single"/>
        </w:rPr>
        <w:t xml:space="preserve"> 废水处理站进、出水水质主要指标去除率（单位 mg/L）</w:t>
      </w:r>
    </w:p>
    <w:tbl>
      <w:tblPr>
        <w:tblStyle w:val="37"/>
        <w:tblW w:w="0" w:type="auto"/>
        <w:tblInd w:w="117" w:type="dxa"/>
        <w:tblLayout w:type="fixed"/>
        <w:tblCellMar>
          <w:top w:w="0" w:type="dxa"/>
          <w:left w:w="0" w:type="dxa"/>
          <w:bottom w:w="0" w:type="dxa"/>
          <w:right w:w="0" w:type="dxa"/>
        </w:tblCellMar>
      </w:tblPr>
      <w:tblGrid>
        <w:gridCol w:w="1993"/>
        <w:gridCol w:w="1025"/>
        <w:gridCol w:w="1114"/>
        <w:gridCol w:w="1024"/>
        <w:gridCol w:w="1024"/>
        <w:gridCol w:w="1171"/>
        <w:gridCol w:w="1171"/>
      </w:tblGrid>
      <w:tr>
        <w:tblPrEx>
          <w:tblCellMar>
            <w:top w:w="0" w:type="dxa"/>
            <w:left w:w="0" w:type="dxa"/>
            <w:bottom w:w="0" w:type="dxa"/>
            <w:right w:w="0" w:type="dxa"/>
          </w:tblCellMar>
        </w:tblPrEx>
        <w:trPr>
          <w:trHeight w:val="400" w:hRule="exact"/>
        </w:trPr>
        <w:tc>
          <w:tcPr>
            <w:tcW w:w="1993" w:type="dxa"/>
            <w:tcBorders>
              <w:top w:val="single" w:color="000000" w:sz="12"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项目</w:t>
            </w:r>
          </w:p>
        </w:tc>
        <w:tc>
          <w:tcPr>
            <w:tcW w:w="1025" w:type="dxa"/>
            <w:tcBorders>
              <w:top w:val="single" w:color="000000" w:sz="12"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总锰</w:t>
            </w:r>
          </w:p>
        </w:tc>
        <w:tc>
          <w:tcPr>
            <w:tcW w:w="1114" w:type="dxa"/>
            <w:tcBorders>
              <w:top w:val="single" w:color="000000" w:sz="12"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总铬</w:t>
            </w:r>
          </w:p>
        </w:tc>
        <w:tc>
          <w:tcPr>
            <w:tcW w:w="1024" w:type="dxa"/>
            <w:tcBorders>
              <w:top w:val="single" w:color="000000" w:sz="12"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六价铬</w:t>
            </w:r>
          </w:p>
        </w:tc>
        <w:tc>
          <w:tcPr>
            <w:tcW w:w="1024" w:type="dxa"/>
            <w:tcBorders>
              <w:top w:val="single" w:color="000000" w:sz="12"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总钒</w:t>
            </w:r>
          </w:p>
        </w:tc>
        <w:tc>
          <w:tcPr>
            <w:tcW w:w="1171" w:type="dxa"/>
            <w:tcBorders>
              <w:top w:val="single" w:color="000000" w:sz="12"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锌</w:t>
            </w:r>
          </w:p>
        </w:tc>
        <w:tc>
          <w:tcPr>
            <w:tcW w:w="1171" w:type="dxa"/>
            <w:tcBorders>
              <w:top w:val="single" w:color="000000" w:sz="12"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铅</w:t>
            </w:r>
          </w:p>
        </w:tc>
      </w:tr>
      <w:tr>
        <w:tblPrEx>
          <w:tblCellMar>
            <w:top w:w="0" w:type="dxa"/>
            <w:left w:w="0" w:type="dxa"/>
            <w:bottom w:w="0" w:type="dxa"/>
            <w:right w:w="0" w:type="dxa"/>
          </w:tblCellMar>
        </w:tblPrEx>
        <w:trPr>
          <w:trHeight w:val="390" w:hRule="exact"/>
        </w:trPr>
        <w:tc>
          <w:tcPr>
            <w:tcW w:w="1993" w:type="dxa"/>
            <w:tcBorders>
              <w:top w:val="single" w:color="000000" w:sz="4"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设计进水水质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eastAsia" w:eastAsia="宋体" w:cs="Times New Roman"/>
                <w:sz w:val="21"/>
                <w:szCs w:val="21"/>
                <w:u w:val="single"/>
                <w:lang w:val="en-US" w:eastAsia="zh-CN"/>
              </w:rPr>
              <w:t>2</w:t>
            </w:r>
            <w:r>
              <w:rPr>
                <w:rFonts w:hint="default" w:ascii="Times New Roman" w:hAnsi="Times New Roman" w:eastAsia="宋体" w:cs="Times New Roman"/>
                <w:sz w:val="21"/>
                <w:szCs w:val="21"/>
                <w:u w:val="single"/>
              </w:rPr>
              <w:t>5.0</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1.5</w:t>
            </w:r>
          </w:p>
        </w:tc>
        <w:tc>
          <w:tcPr>
            <w:tcW w:w="1024"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0.5</w:t>
            </w:r>
          </w:p>
        </w:tc>
        <w:tc>
          <w:tcPr>
            <w:tcW w:w="1024"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4.0</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5.0</w:t>
            </w:r>
          </w:p>
        </w:tc>
        <w:tc>
          <w:tcPr>
            <w:tcW w:w="1171" w:type="dxa"/>
            <w:tcBorders>
              <w:top w:val="single" w:color="000000" w:sz="4"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1.0</w:t>
            </w:r>
          </w:p>
        </w:tc>
      </w:tr>
      <w:tr>
        <w:tblPrEx>
          <w:tblCellMar>
            <w:top w:w="0" w:type="dxa"/>
            <w:left w:w="0" w:type="dxa"/>
            <w:bottom w:w="0" w:type="dxa"/>
            <w:right w:w="0" w:type="dxa"/>
          </w:tblCellMar>
        </w:tblPrEx>
        <w:trPr>
          <w:trHeight w:val="390" w:hRule="exact"/>
        </w:trPr>
        <w:tc>
          <w:tcPr>
            <w:tcW w:w="1993" w:type="dxa"/>
            <w:tcBorders>
              <w:top w:val="single" w:color="000000" w:sz="4"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设计出水水质</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2.0</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0.1</w:t>
            </w:r>
          </w:p>
        </w:tc>
        <w:tc>
          <w:tcPr>
            <w:tcW w:w="1024"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0.05</w:t>
            </w:r>
          </w:p>
        </w:tc>
        <w:tc>
          <w:tcPr>
            <w:tcW w:w="1024"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eastAsia" w:eastAsia="宋体" w:cs="Times New Roman"/>
                <w:sz w:val="21"/>
                <w:szCs w:val="21"/>
                <w:u w:val="single"/>
                <w:lang w:val="en-US" w:eastAsia="zh-CN"/>
              </w:rPr>
              <w:t>1</w:t>
            </w:r>
            <w:r>
              <w:rPr>
                <w:rFonts w:hint="default" w:ascii="Times New Roman" w:hAnsi="Times New Roman" w:eastAsia="宋体" w:cs="Times New Roman"/>
                <w:sz w:val="21"/>
                <w:szCs w:val="21"/>
                <w:u w:val="single"/>
              </w:rPr>
              <w:t>.0</w:t>
            </w:r>
          </w:p>
        </w:tc>
        <w:tc>
          <w:tcPr>
            <w:tcW w:w="1171"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1.0</w:t>
            </w:r>
          </w:p>
        </w:tc>
        <w:tc>
          <w:tcPr>
            <w:tcW w:w="1171" w:type="dxa"/>
            <w:tcBorders>
              <w:top w:val="single" w:color="000000" w:sz="4"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0.1</w:t>
            </w:r>
          </w:p>
        </w:tc>
      </w:tr>
      <w:tr>
        <w:trPr>
          <w:trHeight w:val="400" w:hRule="exact"/>
        </w:trPr>
        <w:tc>
          <w:tcPr>
            <w:tcW w:w="1993" w:type="dxa"/>
            <w:tcBorders>
              <w:top w:val="single" w:color="000000" w:sz="4" w:space="0"/>
              <w:left w:val="nil"/>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去除率(%)</w:t>
            </w:r>
          </w:p>
        </w:tc>
        <w:tc>
          <w:tcPr>
            <w:tcW w:w="1025" w:type="dxa"/>
            <w:tcBorders>
              <w:top w:val="single" w:color="000000" w:sz="4" w:space="0"/>
              <w:left w:val="single" w:color="000000" w:sz="4" w:space="0"/>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rPr>
              <w:t>≥</w:t>
            </w:r>
            <w:r>
              <w:rPr>
                <w:rFonts w:hint="eastAsia" w:eastAsia="宋体" w:cs="Times New Roman"/>
                <w:sz w:val="21"/>
                <w:szCs w:val="21"/>
                <w:u w:val="single"/>
                <w:lang w:val="en-US" w:eastAsia="zh-CN"/>
              </w:rPr>
              <w:t>92</w:t>
            </w:r>
          </w:p>
        </w:tc>
        <w:tc>
          <w:tcPr>
            <w:tcW w:w="1114" w:type="dxa"/>
            <w:tcBorders>
              <w:top w:val="single" w:color="000000" w:sz="4" w:space="0"/>
              <w:left w:val="single" w:color="000000" w:sz="4" w:space="0"/>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≥94</w:t>
            </w:r>
          </w:p>
        </w:tc>
        <w:tc>
          <w:tcPr>
            <w:tcW w:w="1024" w:type="dxa"/>
            <w:tcBorders>
              <w:top w:val="single" w:color="000000" w:sz="4" w:space="0"/>
              <w:left w:val="single" w:color="000000" w:sz="4" w:space="0"/>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≥90</w:t>
            </w:r>
          </w:p>
        </w:tc>
        <w:tc>
          <w:tcPr>
            <w:tcW w:w="1024" w:type="dxa"/>
            <w:tcBorders>
              <w:top w:val="single" w:color="000000" w:sz="4" w:space="0"/>
              <w:left w:val="single" w:color="000000" w:sz="4" w:space="0"/>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≥50</w:t>
            </w:r>
          </w:p>
        </w:tc>
        <w:tc>
          <w:tcPr>
            <w:tcW w:w="1171" w:type="dxa"/>
            <w:tcBorders>
              <w:top w:val="single" w:color="000000" w:sz="4" w:space="0"/>
              <w:left w:val="single" w:color="000000" w:sz="4" w:space="0"/>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≥80</w:t>
            </w:r>
          </w:p>
        </w:tc>
        <w:tc>
          <w:tcPr>
            <w:tcW w:w="1171" w:type="dxa"/>
            <w:tcBorders>
              <w:top w:val="single" w:color="000000" w:sz="4" w:space="0"/>
              <w:left w:val="single" w:color="000000" w:sz="4" w:space="0"/>
              <w:bottom w:val="single" w:color="000000" w:sz="12"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≥90</w:t>
            </w:r>
          </w:p>
        </w:tc>
      </w:tr>
      <w:bookmarkEnd w:id="171"/>
      <w:bookmarkEnd w:id="172"/>
      <w:bookmarkEnd w:id="173"/>
    </w:tbl>
    <w:p>
      <w:pPr>
        <w:pStyle w:val="86"/>
        <w:spacing w:before="120" w:after="120"/>
        <w:rPr>
          <w:rFonts w:hint="eastAsia"/>
          <w:color w:val="000000"/>
          <w:kern w:val="0"/>
        </w:rPr>
      </w:pPr>
      <w:bookmarkStart w:id="174" w:name="_Toc489349345"/>
      <w:bookmarkStart w:id="175" w:name="_Toc26256"/>
      <w:bookmarkStart w:id="176" w:name="_Toc29308656"/>
      <w:bookmarkStart w:id="177" w:name="_Toc489350163"/>
      <w:r>
        <w:rPr>
          <w:color w:val="000000"/>
          <w:kern w:val="0"/>
        </w:rPr>
        <w:t>2</w:t>
      </w:r>
      <w:r>
        <w:rPr>
          <w:rFonts w:hint="eastAsia"/>
          <w:color w:val="000000"/>
          <w:kern w:val="0"/>
        </w:rPr>
        <w:t>.</w:t>
      </w:r>
      <w:r>
        <w:rPr>
          <w:color w:val="000000"/>
          <w:kern w:val="0"/>
        </w:rPr>
        <w:t>2</w:t>
      </w:r>
      <w:r>
        <w:rPr>
          <w:rFonts w:hint="eastAsia"/>
          <w:color w:val="000000"/>
          <w:kern w:val="0"/>
        </w:rPr>
        <w:t>公用及辅助工程</w:t>
      </w:r>
      <w:bookmarkEnd w:id="174"/>
      <w:bookmarkEnd w:id="175"/>
      <w:bookmarkEnd w:id="176"/>
      <w:bookmarkEnd w:id="177"/>
    </w:p>
    <w:p>
      <w:pPr>
        <w:pStyle w:val="8"/>
        <w:keepNext w:val="0"/>
        <w:keepLines w:val="0"/>
        <w:spacing w:before="120"/>
        <w:rPr>
          <w:rFonts w:hint="eastAsia"/>
          <w:color w:val="000000"/>
          <w:kern w:val="0"/>
        </w:rPr>
      </w:pPr>
      <w:bookmarkStart w:id="178" w:name="_Toc489350164"/>
      <w:bookmarkStart w:id="179" w:name="_Toc489349346"/>
      <w:bookmarkStart w:id="180" w:name="_Toc489350265"/>
      <w:bookmarkStart w:id="181" w:name="_Toc489350000"/>
      <w:r>
        <w:rPr>
          <w:color w:val="000000"/>
          <w:kern w:val="0"/>
        </w:rPr>
        <w:t>2</w:t>
      </w:r>
      <w:r>
        <w:rPr>
          <w:rFonts w:hint="eastAsia"/>
          <w:color w:val="000000"/>
          <w:kern w:val="0"/>
        </w:rPr>
        <w:t>.</w:t>
      </w:r>
      <w:r>
        <w:rPr>
          <w:color w:val="000000"/>
          <w:kern w:val="0"/>
        </w:rPr>
        <w:t>2</w:t>
      </w:r>
      <w:r>
        <w:rPr>
          <w:rFonts w:hint="eastAsia"/>
          <w:color w:val="000000"/>
          <w:kern w:val="0"/>
        </w:rPr>
        <w:t>.1</w:t>
      </w:r>
      <w:r>
        <w:rPr>
          <w:color w:val="000000"/>
          <w:kern w:val="0"/>
        </w:rPr>
        <w:t xml:space="preserve"> </w:t>
      </w:r>
      <w:r>
        <w:rPr>
          <w:rFonts w:hint="eastAsia"/>
          <w:color w:val="000000"/>
          <w:kern w:val="0"/>
        </w:rPr>
        <w:t>给水工程</w:t>
      </w:r>
      <w:bookmarkEnd w:id="178"/>
      <w:bookmarkEnd w:id="179"/>
      <w:bookmarkEnd w:id="180"/>
      <w:bookmarkEnd w:id="181"/>
    </w:p>
    <w:p>
      <w:pPr>
        <w:widowControl w:val="0"/>
        <w:ind w:firstLine="480"/>
        <w:rPr>
          <w:color w:val="000000"/>
          <w:kern w:val="0"/>
          <w:szCs w:val="20"/>
        </w:rPr>
      </w:pPr>
      <w:r>
        <w:rPr>
          <w:rFonts w:hint="eastAsia"/>
          <w:color w:val="000000"/>
          <w:kern w:val="0"/>
        </w:rPr>
        <w:t>项目区员工生活用水以及厂区消防用水均来自</w:t>
      </w:r>
      <w:r>
        <w:rPr>
          <w:color w:val="000000"/>
          <w:kern w:val="0"/>
          <w:szCs w:val="20"/>
        </w:rPr>
        <w:t>自城市给水管网，厂区给水管网呈环状布置，以满足消防要求。</w:t>
      </w:r>
    </w:p>
    <w:p>
      <w:pPr>
        <w:spacing w:line="360" w:lineRule="auto"/>
        <w:ind w:firstLine="480"/>
        <w:rPr>
          <w:rFonts w:hint="eastAsia"/>
          <w:color w:val="000000"/>
        </w:rPr>
      </w:pPr>
      <w:r>
        <w:rPr>
          <w:rFonts w:hint="eastAsia"/>
          <w:color w:val="000000"/>
        </w:rPr>
        <w:t>1）生活废水</w:t>
      </w:r>
    </w:p>
    <w:p>
      <w:pPr>
        <w:spacing w:line="360" w:lineRule="auto"/>
        <w:ind w:firstLine="480"/>
        <w:rPr>
          <w:color w:val="000000"/>
        </w:rPr>
      </w:pPr>
      <w:r>
        <w:rPr>
          <w:color w:val="000000"/>
        </w:rPr>
        <w:t>本项目劳动定员</w:t>
      </w:r>
      <w:r>
        <w:rPr>
          <w:rFonts w:hint="eastAsia"/>
          <w:color w:val="000000"/>
          <w:lang w:val="en-US" w:eastAsia="zh-CN"/>
        </w:rPr>
        <w:t>4</w:t>
      </w:r>
      <w:r>
        <w:rPr>
          <w:color w:val="000000"/>
        </w:rPr>
        <w:t>人，</w:t>
      </w:r>
      <w:r>
        <w:rPr>
          <w:rFonts w:hint="eastAsia"/>
          <w:color w:val="000000"/>
          <w:lang w:eastAsia="zh-CN"/>
        </w:rPr>
        <w:t>仅在厂区值班，不设置食宿，</w:t>
      </w:r>
      <w:r>
        <w:rPr>
          <w:color w:val="000000"/>
        </w:rPr>
        <w:t>人均用水量按</w:t>
      </w:r>
      <w:r>
        <w:rPr>
          <w:rFonts w:hint="eastAsia"/>
          <w:color w:val="000000"/>
          <w:lang w:val="en-US" w:eastAsia="zh-CN"/>
        </w:rPr>
        <w:t>90</w:t>
      </w:r>
      <w:r>
        <w:rPr>
          <w:color w:val="000000"/>
        </w:rPr>
        <w:t>L/人·d计，核算本项目员工生活</w:t>
      </w:r>
      <w:r>
        <w:rPr>
          <w:rFonts w:hint="eastAsia"/>
          <w:color w:val="000000"/>
          <w:lang w:eastAsia="zh-CN"/>
        </w:rPr>
        <w:t>用水</w:t>
      </w:r>
      <w:r>
        <w:rPr>
          <w:color w:val="000000"/>
        </w:rPr>
        <w:t>量为</w:t>
      </w:r>
      <w:r>
        <w:rPr>
          <w:rFonts w:hint="eastAsia"/>
          <w:color w:val="000000"/>
          <w:lang w:val="en-US" w:eastAsia="zh-CN"/>
        </w:rPr>
        <w:t>0.36</w:t>
      </w:r>
      <w:r>
        <w:rPr>
          <w:color w:val="000000"/>
        </w:rPr>
        <w:t>m</w:t>
      </w:r>
      <w:r>
        <w:rPr>
          <w:rFonts w:hint="eastAsia"/>
          <w:color w:val="000000"/>
          <w:vertAlign w:val="superscript"/>
        </w:rPr>
        <w:t>3</w:t>
      </w:r>
      <w:r>
        <w:rPr>
          <w:color w:val="000000"/>
        </w:rPr>
        <w:t>/d</w:t>
      </w:r>
      <w:r>
        <w:rPr>
          <w:rFonts w:hint="eastAsia"/>
          <w:color w:val="000000"/>
          <w:lang w:eastAsia="zh-CN"/>
        </w:rPr>
        <w:t>（</w:t>
      </w:r>
      <w:r>
        <w:rPr>
          <w:rFonts w:hint="eastAsia"/>
          <w:color w:val="000000"/>
          <w:lang w:val="en-US" w:eastAsia="zh-CN"/>
        </w:rPr>
        <w:t>131.4t/a</w:t>
      </w:r>
      <w:r>
        <w:rPr>
          <w:rFonts w:hint="eastAsia"/>
          <w:color w:val="000000"/>
          <w:lang w:eastAsia="zh-CN"/>
        </w:rPr>
        <w:t>）</w:t>
      </w:r>
      <w:r>
        <w:rPr>
          <w:rFonts w:hint="eastAsia"/>
          <w:color w:val="000000"/>
        </w:rPr>
        <w:t>。</w:t>
      </w:r>
      <w:r>
        <w:rPr>
          <w:rFonts w:hint="eastAsia"/>
          <w:color w:val="000000"/>
          <w:lang w:eastAsia="zh-CN"/>
        </w:rPr>
        <w:t>项目用水由园区供水管网提供</w:t>
      </w:r>
      <w:r>
        <w:rPr>
          <w:color w:val="000000"/>
        </w:rPr>
        <w:t>。</w:t>
      </w:r>
    </w:p>
    <w:p>
      <w:pPr>
        <w:ind w:firstLine="480"/>
        <w:rPr>
          <w:color w:val="000000"/>
        </w:rPr>
      </w:pPr>
      <w:r>
        <w:rPr>
          <w:rFonts w:hint="eastAsia"/>
          <w:color w:val="000000"/>
        </w:rPr>
        <w:t>2）生产</w:t>
      </w:r>
      <w:r>
        <w:rPr>
          <w:rFonts w:hint="eastAsia"/>
          <w:color w:val="000000"/>
          <w:lang w:eastAsia="zh-CN"/>
        </w:rPr>
        <w:t>用</w:t>
      </w:r>
      <w:r>
        <w:rPr>
          <w:rFonts w:hint="eastAsia"/>
          <w:color w:val="000000"/>
        </w:rPr>
        <w:t>水</w:t>
      </w:r>
    </w:p>
    <w:p>
      <w:pPr>
        <w:ind w:firstLine="480"/>
        <w:rPr>
          <w:rFonts w:hint="eastAsia"/>
          <w:color w:val="000000"/>
        </w:rPr>
      </w:pPr>
      <w:r>
        <w:rPr>
          <w:rFonts w:hint="eastAsia"/>
          <w:color w:val="000000"/>
        </w:rPr>
        <w:t>①</w:t>
      </w:r>
      <w:r>
        <w:rPr>
          <w:color w:val="000000"/>
        </w:rPr>
        <w:t>配制药剂：</w:t>
      </w:r>
      <w:r>
        <w:rPr>
          <w:rFonts w:hint="eastAsia"/>
          <w:color w:val="000000"/>
        </w:rPr>
        <w:t>本项目设有自动加药装置，</w:t>
      </w:r>
      <w:r>
        <w:rPr>
          <w:color w:val="000000"/>
        </w:rPr>
        <w:t>用水量约为</w:t>
      </w:r>
      <w:r>
        <w:rPr>
          <w:rFonts w:hint="eastAsia"/>
          <w:color w:val="000000"/>
          <w:lang w:val="en-US" w:eastAsia="zh-CN"/>
        </w:rPr>
        <w:t>3.21</w:t>
      </w:r>
      <w:r>
        <w:rPr>
          <w:color w:val="000000"/>
        </w:rPr>
        <w:t>m</w:t>
      </w:r>
      <w:r>
        <w:rPr>
          <w:color w:val="000000"/>
          <w:vertAlign w:val="superscript"/>
        </w:rPr>
        <w:t>3</w:t>
      </w:r>
      <w:r>
        <w:rPr>
          <w:color w:val="000000"/>
        </w:rPr>
        <w:t>/d</w:t>
      </w:r>
      <w:r>
        <w:rPr>
          <w:rFonts w:hint="eastAsia"/>
          <w:color w:val="000000"/>
          <w:lang w:eastAsia="zh-CN"/>
        </w:rPr>
        <w:t>（</w:t>
      </w:r>
      <w:r>
        <w:rPr>
          <w:rFonts w:hint="eastAsia"/>
          <w:color w:val="000000"/>
          <w:lang w:val="en-US" w:eastAsia="zh-CN"/>
        </w:rPr>
        <w:t>1171.65t/a</w:t>
      </w:r>
      <w:r>
        <w:rPr>
          <w:rFonts w:hint="eastAsia"/>
          <w:color w:val="000000"/>
          <w:lang w:eastAsia="zh-CN"/>
        </w:rPr>
        <w:t>）</w:t>
      </w:r>
      <w:r>
        <w:rPr>
          <w:color w:val="000000"/>
        </w:rPr>
        <w:t>，采用新鲜水</w:t>
      </w:r>
      <w:r>
        <w:rPr>
          <w:rFonts w:hint="eastAsia"/>
          <w:color w:val="000000"/>
        </w:rPr>
        <w:t>。</w:t>
      </w:r>
    </w:p>
    <w:p>
      <w:pPr>
        <w:ind w:firstLine="480"/>
        <w:rPr>
          <w:rFonts w:hint="eastAsia"/>
          <w:color w:val="000000"/>
        </w:rPr>
      </w:pPr>
      <w:r>
        <w:rPr>
          <w:rFonts w:hint="eastAsia"/>
          <w:color w:val="000000"/>
        </w:rPr>
        <w:t>②设备冲洗水：需要定期冲洗压滤脱水机、药液搅拌机、纤维转盘等设备，设备冲洗水使用量约</w:t>
      </w:r>
      <w:r>
        <w:rPr>
          <w:rFonts w:hint="eastAsia"/>
          <w:color w:val="000000"/>
          <w:lang w:val="en-US" w:eastAsia="zh-CN"/>
        </w:rPr>
        <w:t>0.8</w:t>
      </w:r>
      <w:r>
        <w:rPr>
          <w:rFonts w:hint="eastAsia"/>
          <w:color w:val="000000"/>
        </w:rPr>
        <w:t>m</w:t>
      </w:r>
      <w:r>
        <w:rPr>
          <w:rFonts w:hint="eastAsia"/>
          <w:color w:val="000000"/>
          <w:vertAlign w:val="superscript"/>
        </w:rPr>
        <w:t>3</w:t>
      </w:r>
      <w:r>
        <w:rPr>
          <w:rFonts w:hint="eastAsia"/>
          <w:color w:val="000000"/>
        </w:rPr>
        <w:t>/d</w:t>
      </w:r>
      <w:r>
        <w:rPr>
          <w:rFonts w:hint="eastAsia"/>
          <w:color w:val="000000"/>
          <w:lang w:eastAsia="zh-CN"/>
        </w:rPr>
        <w:t>（</w:t>
      </w:r>
      <w:r>
        <w:rPr>
          <w:rFonts w:hint="eastAsia"/>
          <w:color w:val="000000"/>
          <w:lang w:val="en-US" w:eastAsia="zh-CN"/>
        </w:rPr>
        <w:t>292t/a</w:t>
      </w:r>
      <w:r>
        <w:rPr>
          <w:rFonts w:hint="eastAsia"/>
          <w:color w:val="000000"/>
          <w:lang w:eastAsia="zh-CN"/>
        </w:rPr>
        <w:t>）</w:t>
      </w:r>
      <w:r>
        <w:rPr>
          <w:rFonts w:hint="eastAsia"/>
          <w:color w:val="000000"/>
        </w:rPr>
        <w:t>。</w:t>
      </w:r>
    </w:p>
    <w:p>
      <w:pPr>
        <w:pStyle w:val="8"/>
        <w:spacing w:before="120"/>
        <w:rPr>
          <w:rFonts w:hint="eastAsia"/>
          <w:color w:val="000000"/>
        </w:rPr>
      </w:pPr>
      <w:bookmarkStart w:id="182" w:name="_Toc489350165"/>
      <w:bookmarkStart w:id="183" w:name="_Toc489350001"/>
      <w:bookmarkStart w:id="184" w:name="_Toc489349347"/>
      <w:bookmarkStart w:id="185" w:name="_Toc489350266"/>
      <w:r>
        <w:rPr>
          <w:color w:val="000000"/>
        </w:rPr>
        <w:t>2</w:t>
      </w:r>
      <w:r>
        <w:rPr>
          <w:rFonts w:hint="eastAsia"/>
          <w:color w:val="000000"/>
        </w:rPr>
        <w:t>.</w:t>
      </w:r>
      <w:r>
        <w:rPr>
          <w:color w:val="000000"/>
        </w:rPr>
        <w:t>2</w:t>
      </w:r>
      <w:r>
        <w:rPr>
          <w:rFonts w:hint="eastAsia"/>
          <w:color w:val="000000"/>
        </w:rPr>
        <w:t>.2  排水工程</w:t>
      </w:r>
      <w:bookmarkEnd w:id="182"/>
      <w:bookmarkEnd w:id="183"/>
      <w:bookmarkEnd w:id="184"/>
      <w:bookmarkEnd w:id="185"/>
    </w:p>
    <w:p>
      <w:pPr>
        <w:ind w:firstLine="480"/>
        <w:rPr>
          <w:color w:val="000000"/>
          <w:kern w:val="0"/>
          <w:szCs w:val="21"/>
        </w:rPr>
      </w:pPr>
      <w:r>
        <w:rPr>
          <w:rFonts w:hint="eastAsia"/>
          <w:color w:val="000000"/>
        </w:rPr>
        <w:t>本项目</w:t>
      </w:r>
      <w:r>
        <w:rPr>
          <w:color w:val="000000"/>
          <w:kern w:val="0"/>
          <w:szCs w:val="21"/>
        </w:rPr>
        <w:t>厂内排水将由厂内排水管道收集后排至</w:t>
      </w:r>
      <w:r>
        <w:rPr>
          <w:rFonts w:hint="eastAsia"/>
          <w:color w:val="000000"/>
          <w:kern w:val="0"/>
          <w:szCs w:val="21"/>
          <w:lang w:eastAsia="zh-CN"/>
        </w:rPr>
        <w:t>花垣工业集中区污水处理厂进行处理</w:t>
      </w:r>
      <w:r>
        <w:rPr>
          <w:rFonts w:hint="eastAsia"/>
          <w:color w:val="000000"/>
          <w:kern w:val="0"/>
          <w:szCs w:val="21"/>
        </w:rPr>
        <w:t>。</w:t>
      </w:r>
      <w:r>
        <w:rPr>
          <w:color w:val="000000"/>
          <w:kern w:val="0"/>
          <w:szCs w:val="21"/>
        </w:rPr>
        <w:t>雨水沿厂区道路布置的雨水沟排至厂外。</w:t>
      </w:r>
    </w:p>
    <w:p>
      <w:pPr>
        <w:spacing w:line="360" w:lineRule="auto"/>
        <w:ind w:firstLine="480"/>
        <w:rPr>
          <w:rFonts w:hint="eastAsia"/>
          <w:color w:val="000000"/>
        </w:rPr>
      </w:pPr>
      <w:r>
        <w:rPr>
          <w:rFonts w:hint="eastAsia"/>
          <w:color w:val="000000"/>
        </w:rPr>
        <w:t>1）生活废水</w:t>
      </w:r>
    </w:p>
    <w:p>
      <w:pPr>
        <w:spacing w:line="360" w:lineRule="auto"/>
        <w:ind w:firstLine="480"/>
        <w:rPr>
          <w:color w:val="000000"/>
        </w:rPr>
      </w:pPr>
      <w:r>
        <w:rPr>
          <w:color w:val="000000"/>
        </w:rPr>
        <w:t>本项目生活污水产生指数为0.85，核算本项目员工生活污水产生量为</w:t>
      </w:r>
      <w:r>
        <w:rPr>
          <w:rFonts w:hint="eastAsia"/>
          <w:color w:val="000000"/>
          <w:lang w:val="en-US" w:eastAsia="zh-CN"/>
        </w:rPr>
        <w:t>0.3</w:t>
      </w:r>
      <w:r>
        <w:rPr>
          <w:color w:val="000000"/>
        </w:rPr>
        <w:t>m</w:t>
      </w:r>
      <w:r>
        <w:rPr>
          <w:rFonts w:hint="eastAsia"/>
          <w:color w:val="000000"/>
          <w:vertAlign w:val="superscript"/>
        </w:rPr>
        <w:t>3</w:t>
      </w:r>
      <w:r>
        <w:rPr>
          <w:color w:val="000000"/>
        </w:rPr>
        <w:t>/d</w:t>
      </w:r>
      <w:r>
        <w:rPr>
          <w:rFonts w:hint="eastAsia"/>
          <w:color w:val="000000"/>
          <w:lang w:eastAsia="zh-CN"/>
        </w:rPr>
        <w:t>（</w:t>
      </w:r>
      <w:r>
        <w:rPr>
          <w:rFonts w:hint="eastAsia"/>
          <w:color w:val="000000"/>
          <w:lang w:val="en-US" w:eastAsia="zh-CN"/>
        </w:rPr>
        <w:t>109.5t/a</w:t>
      </w:r>
      <w:r>
        <w:rPr>
          <w:rFonts w:hint="eastAsia"/>
          <w:color w:val="000000"/>
          <w:lang w:eastAsia="zh-CN"/>
        </w:rPr>
        <w:t>）</w:t>
      </w:r>
      <w:r>
        <w:rPr>
          <w:rFonts w:hint="eastAsia"/>
          <w:color w:val="000000"/>
        </w:rPr>
        <w:t>。</w:t>
      </w:r>
      <w:r>
        <w:rPr>
          <w:color w:val="000000"/>
        </w:rPr>
        <w:t>主要污染物为COD、BOD</w:t>
      </w:r>
      <w:r>
        <w:rPr>
          <w:color w:val="000000"/>
          <w:vertAlign w:val="subscript"/>
        </w:rPr>
        <w:t>5</w:t>
      </w:r>
      <w:r>
        <w:rPr>
          <w:color w:val="000000"/>
        </w:rPr>
        <w:t>、SS、氨氮等，废水经</w:t>
      </w:r>
      <w:r>
        <w:rPr>
          <w:rFonts w:hint="eastAsia"/>
          <w:color w:val="000000"/>
          <w:lang w:eastAsia="zh-CN"/>
        </w:rPr>
        <w:t>化粪池收集后排污花垣工业集中区污水处理厂处理</w:t>
      </w:r>
      <w:r>
        <w:rPr>
          <w:color w:val="000000"/>
        </w:rPr>
        <w:t>。</w:t>
      </w:r>
    </w:p>
    <w:p>
      <w:pPr>
        <w:ind w:firstLine="480"/>
        <w:rPr>
          <w:color w:val="000000"/>
        </w:rPr>
      </w:pPr>
      <w:r>
        <w:rPr>
          <w:rFonts w:hint="eastAsia"/>
          <w:color w:val="000000"/>
        </w:rPr>
        <w:t>2）生产废水</w:t>
      </w:r>
    </w:p>
    <w:p>
      <w:pPr>
        <w:ind w:firstLine="480"/>
        <w:rPr>
          <w:rFonts w:hint="eastAsia"/>
          <w:color w:val="000000"/>
        </w:rPr>
      </w:pPr>
      <w:r>
        <w:rPr>
          <w:rFonts w:hint="eastAsia"/>
          <w:color w:val="000000"/>
        </w:rPr>
        <w:t>①</w:t>
      </w:r>
      <w:r>
        <w:rPr>
          <w:color w:val="000000"/>
        </w:rPr>
        <w:t>配制药剂：</w:t>
      </w:r>
      <w:r>
        <w:rPr>
          <w:rFonts w:hint="eastAsia"/>
          <w:color w:val="000000"/>
        </w:rPr>
        <w:t>本项目设有自动加药装置，</w:t>
      </w:r>
      <w:r>
        <w:rPr>
          <w:color w:val="000000"/>
        </w:rPr>
        <w:t>用水量约为</w:t>
      </w:r>
      <w:r>
        <w:rPr>
          <w:rFonts w:hint="eastAsia"/>
          <w:color w:val="000000"/>
          <w:lang w:val="en-US" w:eastAsia="zh-CN"/>
        </w:rPr>
        <w:t>3.21</w:t>
      </w:r>
      <w:r>
        <w:rPr>
          <w:color w:val="000000"/>
        </w:rPr>
        <w:t>m</w:t>
      </w:r>
      <w:r>
        <w:rPr>
          <w:color w:val="000000"/>
          <w:vertAlign w:val="superscript"/>
        </w:rPr>
        <w:t>3</w:t>
      </w:r>
      <w:r>
        <w:rPr>
          <w:color w:val="000000"/>
        </w:rPr>
        <w:t>/d</w:t>
      </w:r>
      <w:r>
        <w:rPr>
          <w:rFonts w:hint="eastAsia"/>
          <w:color w:val="000000"/>
          <w:lang w:eastAsia="zh-CN"/>
        </w:rPr>
        <w:t>（</w:t>
      </w:r>
      <w:r>
        <w:rPr>
          <w:rFonts w:hint="eastAsia"/>
          <w:color w:val="000000"/>
          <w:lang w:val="en-US" w:eastAsia="zh-CN"/>
        </w:rPr>
        <w:t>1171.65t/a</w:t>
      </w:r>
      <w:r>
        <w:rPr>
          <w:rFonts w:hint="eastAsia"/>
          <w:color w:val="000000"/>
          <w:lang w:eastAsia="zh-CN"/>
        </w:rPr>
        <w:t>）</w:t>
      </w:r>
      <w:r>
        <w:rPr>
          <w:color w:val="000000"/>
        </w:rPr>
        <w:t>，采用新鲜水</w:t>
      </w:r>
      <w:r>
        <w:rPr>
          <w:rFonts w:hint="eastAsia"/>
          <w:color w:val="000000"/>
        </w:rPr>
        <w:t>，</w:t>
      </w:r>
      <w:r>
        <w:rPr>
          <w:rFonts w:hint="eastAsia"/>
          <w:color w:val="000000"/>
          <w:lang w:eastAsia="zh-CN"/>
        </w:rPr>
        <w:t>废水随药剂</w:t>
      </w:r>
      <w:r>
        <w:rPr>
          <w:color w:val="000000"/>
        </w:rPr>
        <w:t>进入污水处理系统处理</w:t>
      </w:r>
      <w:r>
        <w:rPr>
          <w:rFonts w:hint="eastAsia"/>
          <w:color w:val="000000"/>
        </w:rPr>
        <w:t>。</w:t>
      </w:r>
    </w:p>
    <w:p>
      <w:pPr>
        <w:ind w:firstLine="480"/>
        <w:rPr>
          <w:color w:val="000000"/>
        </w:rPr>
      </w:pPr>
      <w:r>
        <w:rPr>
          <w:rFonts w:hint="eastAsia"/>
          <w:color w:val="000000"/>
        </w:rPr>
        <w:t>②</w:t>
      </w:r>
      <w:r>
        <w:rPr>
          <w:color w:val="000000"/>
        </w:rPr>
        <w:t>污泥脱水分离的污水</w:t>
      </w:r>
      <w:r>
        <w:rPr>
          <w:rFonts w:hint="eastAsia"/>
          <w:color w:val="000000"/>
        </w:rPr>
        <w:t>：</w:t>
      </w:r>
      <w:r>
        <w:rPr>
          <w:rFonts w:hint="eastAsia"/>
          <w:color w:val="000000"/>
          <w:kern w:val="0"/>
        </w:rPr>
        <w:t>污泥脱水分离的污水均来源于自身污水处理系统</w:t>
      </w:r>
      <w:r>
        <w:rPr>
          <w:rFonts w:hint="eastAsia"/>
          <w:color w:val="000000"/>
          <w:kern w:val="0"/>
          <w:lang w:eastAsia="zh-CN"/>
        </w:rPr>
        <w:t>，脱泥水进入调节池，</w:t>
      </w:r>
      <w:r>
        <w:rPr>
          <w:rFonts w:hint="eastAsia"/>
          <w:color w:val="000000"/>
          <w:kern w:val="0"/>
        </w:rPr>
        <w:t>可直接排入本项目处理。</w:t>
      </w:r>
    </w:p>
    <w:p>
      <w:pPr>
        <w:ind w:firstLine="480"/>
        <w:rPr>
          <w:rFonts w:hint="eastAsia"/>
          <w:color w:val="000000"/>
        </w:rPr>
      </w:pPr>
      <w:r>
        <w:rPr>
          <w:rFonts w:hint="eastAsia"/>
          <w:color w:val="000000"/>
        </w:rPr>
        <w:t>③设备冲洗水：需要定期冲洗压滤脱水机、药液搅拌机、纤维转盘等设备，设备冲洗水使用量约</w:t>
      </w:r>
      <w:r>
        <w:rPr>
          <w:rFonts w:hint="eastAsia"/>
          <w:color w:val="000000"/>
          <w:lang w:val="en-US" w:eastAsia="zh-CN"/>
        </w:rPr>
        <w:t>0.8</w:t>
      </w:r>
      <w:r>
        <w:rPr>
          <w:rFonts w:hint="eastAsia"/>
          <w:color w:val="000000"/>
        </w:rPr>
        <w:t>m</w:t>
      </w:r>
      <w:r>
        <w:rPr>
          <w:rFonts w:hint="eastAsia"/>
          <w:color w:val="000000"/>
          <w:vertAlign w:val="superscript"/>
        </w:rPr>
        <w:t>3</w:t>
      </w:r>
      <w:r>
        <w:rPr>
          <w:rFonts w:hint="eastAsia"/>
          <w:color w:val="000000"/>
        </w:rPr>
        <w:t>/d</w:t>
      </w:r>
      <w:r>
        <w:rPr>
          <w:rFonts w:hint="eastAsia"/>
          <w:color w:val="000000"/>
          <w:lang w:eastAsia="zh-CN"/>
        </w:rPr>
        <w:t>（</w:t>
      </w:r>
      <w:r>
        <w:rPr>
          <w:rFonts w:hint="eastAsia"/>
          <w:color w:val="000000"/>
          <w:lang w:val="en-US" w:eastAsia="zh-CN"/>
        </w:rPr>
        <w:t>292t/a</w:t>
      </w:r>
      <w:r>
        <w:rPr>
          <w:rFonts w:hint="eastAsia"/>
          <w:color w:val="000000"/>
          <w:lang w:eastAsia="zh-CN"/>
        </w:rPr>
        <w:t>）</w:t>
      </w:r>
      <w:r>
        <w:rPr>
          <w:rFonts w:hint="eastAsia"/>
          <w:color w:val="000000"/>
        </w:rPr>
        <w:t>。</w:t>
      </w:r>
    </w:p>
    <w:p>
      <w:pPr>
        <w:pStyle w:val="6"/>
        <w:jc w:val="center"/>
        <w:rPr>
          <w:rFonts w:hint="eastAsia" w:eastAsia="宋体"/>
          <w:lang w:eastAsia="zh-CN"/>
        </w:rPr>
      </w:pPr>
      <w:r>
        <w:drawing>
          <wp:inline distT="0" distB="0" distL="114300" distR="114300">
            <wp:extent cx="3972560" cy="2608580"/>
            <wp:effectExtent l="0" t="0" r="8890" b="1270"/>
            <wp:docPr id="7" name="图片 8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81"/>
                    <pic:cNvPicPr>
                      <a:picLocks noChangeAspect="true"/>
                    </pic:cNvPicPr>
                  </pic:nvPicPr>
                  <pic:blipFill>
                    <a:blip r:embed="rId35"/>
                    <a:stretch>
                      <a:fillRect/>
                    </a:stretch>
                  </pic:blipFill>
                  <pic:spPr>
                    <a:xfrm>
                      <a:off x="0" y="0"/>
                      <a:ext cx="3972560" cy="2608580"/>
                    </a:xfrm>
                    <a:prstGeom prst="rect">
                      <a:avLst/>
                    </a:prstGeom>
                    <a:noFill/>
                    <a:ln>
                      <a:noFill/>
                    </a:ln>
                  </pic:spPr>
                </pic:pic>
              </a:graphicData>
            </a:graphic>
          </wp:inline>
        </w:drawing>
      </w:r>
    </w:p>
    <w:p>
      <w:pPr>
        <w:jc w:val="center"/>
        <w:rPr>
          <w:rFonts w:hint="default"/>
          <w:b/>
          <w:bCs/>
          <w:lang w:val="en-US" w:eastAsia="zh-CN"/>
        </w:rPr>
      </w:pPr>
      <w:r>
        <w:rPr>
          <w:rFonts w:hint="eastAsia"/>
          <w:b/>
          <w:bCs/>
          <w:lang w:eastAsia="zh-CN"/>
        </w:rPr>
        <w:t>图</w:t>
      </w:r>
      <w:r>
        <w:rPr>
          <w:rFonts w:hint="eastAsia"/>
          <w:b/>
          <w:bCs/>
          <w:lang w:val="en-US" w:eastAsia="zh-CN"/>
        </w:rPr>
        <w:t xml:space="preserve"> 2.2.2-1 项目水平衡图（t/d）</w:t>
      </w:r>
    </w:p>
    <w:p>
      <w:pPr>
        <w:pStyle w:val="8"/>
        <w:spacing w:before="120"/>
        <w:rPr>
          <w:rFonts w:hint="eastAsia"/>
          <w:color w:val="000000"/>
        </w:rPr>
      </w:pPr>
      <w:bookmarkStart w:id="186" w:name="_Toc489350002"/>
      <w:bookmarkStart w:id="187" w:name="_Toc489350267"/>
      <w:bookmarkStart w:id="188" w:name="_Toc489350166"/>
      <w:bookmarkStart w:id="189" w:name="_Toc489349348"/>
      <w:r>
        <w:rPr>
          <w:color w:val="000000"/>
        </w:rPr>
        <w:t>2</w:t>
      </w:r>
      <w:r>
        <w:rPr>
          <w:rFonts w:hint="eastAsia"/>
          <w:color w:val="000000"/>
        </w:rPr>
        <w:t>.</w:t>
      </w:r>
      <w:r>
        <w:rPr>
          <w:color w:val="000000"/>
        </w:rPr>
        <w:t>2</w:t>
      </w:r>
      <w:r>
        <w:rPr>
          <w:rFonts w:hint="eastAsia"/>
          <w:color w:val="000000"/>
        </w:rPr>
        <w:t>.3  采暖通风工程</w:t>
      </w:r>
      <w:bookmarkEnd w:id="186"/>
      <w:bookmarkEnd w:id="187"/>
      <w:bookmarkEnd w:id="188"/>
      <w:bookmarkEnd w:id="189"/>
    </w:p>
    <w:p>
      <w:pPr>
        <w:ind w:firstLine="480"/>
        <w:rPr>
          <w:rFonts w:hint="eastAsia"/>
          <w:color w:val="000000"/>
          <w:kern w:val="0"/>
          <w:szCs w:val="21"/>
        </w:rPr>
      </w:pPr>
      <w:r>
        <w:rPr>
          <w:rFonts w:hint="eastAsia"/>
          <w:color w:val="000000"/>
          <w:kern w:val="0"/>
          <w:szCs w:val="21"/>
          <w:lang w:eastAsia="zh-CN"/>
        </w:rPr>
        <w:t>值班室</w:t>
      </w:r>
      <w:r>
        <w:rPr>
          <w:color w:val="000000"/>
          <w:kern w:val="0"/>
          <w:szCs w:val="21"/>
        </w:rPr>
        <w:t>设置分体式冷暖空调，该机组夏季提供冷负荷，冬季提供热负荷，可满足本过程对空调负荷的要求。</w:t>
      </w:r>
    </w:p>
    <w:p>
      <w:pPr>
        <w:pStyle w:val="8"/>
        <w:spacing w:before="120"/>
        <w:rPr>
          <w:rFonts w:hint="eastAsia"/>
          <w:color w:val="000000"/>
          <w:szCs w:val="20"/>
        </w:rPr>
      </w:pPr>
      <w:r>
        <w:rPr>
          <w:color w:val="000000"/>
        </w:rPr>
        <w:t>2</w:t>
      </w:r>
      <w:r>
        <w:rPr>
          <w:rFonts w:hint="eastAsia"/>
          <w:color w:val="000000"/>
        </w:rPr>
        <w:t>.</w:t>
      </w:r>
      <w:r>
        <w:rPr>
          <w:color w:val="000000"/>
        </w:rPr>
        <w:t>2</w:t>
      </w:r>
      <w:r>
        <w:rPr>
          <w:rFonts w:hint="eastAsia"/>
          <w:color w:val="000000"/>
        </w:rPr>
        <w:t>.4  供电工程</w:t>
      </w:r>
    </w:p>
    <w:p>
      <w:pPr>
        <w:ind w:firstLine="480"/>
        <w:rPr>
          <w:color w:val="000000"/>
          <w:kern w:val="0"/>
          <w:szCs w:val="21"/>
        </w:rPr>
      </w:pPr>
      <w:r>
        <w:rPr>
          <w:rFonts w:hint="eastAsia"/>
          <w:color w:val="000000"/>
          <w:kern w:val="0"/>
          <w:szCs w:val="21"/>
        </w:rPr>
        <w:t>本工程电源从花垣县工业集中区配电室处引出1回架空供电线路接至本项目的电控室</w:t>
      </w:r>
      <w:r>
        <w:rPr>
          <w:color w:val="000000"/>
          <w:kern w:val="0"/>
          <w:szCs w:val="21"/>
        </w:rPr>
        <w:t>。</w:t>
      </w:r>
    </w:p>
    <w:p>
      <w:pPr>
        <w:pStyle w:val="8"/>
        <w:spacing w:before="120"/>
        <w:rPr>
          <w:rFonts w:hint="eastAsia"/>
          <w:color w:val="000000"/>
        </w:rPr>
      </w:pPr>
      <w:bookmarkStart w:id="190" w:name="_Toc489350003"/>
      <w:bookmarkStart w:id="191" w:name="_Toc489350167"/>
      <w:bookmarkStart w:id="192" w:name="_Toc489350268"/>
      <w:bookmarkStart w:id="193" w:name="_Toc489349349"/>
      <w:r>
        <w:rPr>
          <w:color w:val="000000"/>
        </w:rPr>
        <w:t>2</w:t>
      </w:r>
      <w:r>
        <w:rPr>
          <w:rFonts w:hint="eastAsia"/>
          <w:color w:val="000000"/>
        </w:rPr>
        <w:t>.</w:t>
      </w:r>
      <w:r>
        <w:rPr>
          <w:color w:val="000000"/>
        </w:rPr>
        <w:t>2</w:t>
      </w:r>
      <w:r>
        <w:rPr>
          <w:rFonts w:hint="eastAsia"/>
          <w:color w:val="000000"/>
        </w:rPr>
        <w:t>.5  自控设计</w:t>
      </w:r>
      <w:bookmarkEnd w:id="190"/>
      <w:bookmarkEnd w:id="191"/>
      <w:bookmarkEnd w:id="192"/>
      <w:bookmarkEnd w:id="193"/>
    </w:p>
    <w:p>
      <w:pPr>
        <w:ind w:firstLine="480"/>
        <w:rPr>
          <w:b/>
          <w:bCs/>
          <w:color w:val="000000"/>
          <w:kern w:val="0"/>
        </w:rPr>
      </w:pPr>
      <w:r>
        <w:rPr>
          <w:color w:val="000000"/>
          <w:kern w:val="0"/>
          <w:szCs w:val="21"/>
        </w:rPr>
        <w:t>自控系统采用集散型计算机控制系统。由可编程序控制器（PLC）及自动化仪表组成的检测控制系统，对污水处理</w:t>
      </w:r>
      <w:r>
        <w:rPr>
          <w:rFonts w:hint="eastAsia"/>
          <w:color w:val="000000"/>
          <w:kern w:val="0"/>
          <w:szCs w:val="21"/>
          <w:lang w:eastAsia="zh-CN"/>
        </w:rPr>
        <w:t>站</w:t>
      </w:r>
      <w:r>
        <w:rPr>
          <w:color w:val="000000"/>
          <w:kern w:val="0"/>
          <w:szCs w:val="21"/>
        </w:rPr>
        <w:t>各过程进行分散控制，并由通讯系统、监控计算机、打印机组成的控制系统对全厂实行集中管理。分控站与控制室之间由工业以太网进行数据通信，并通过构建局域网将重要信息传至综合楼厂长室。现场控制站与现场测控仪表之间由开放式现场总线连接。</w:t>
      </w:r>
    </w:p>
    <w:p>
      <w:pPr>
        <w:ind w:firstLine="480"/>
        <w:rPr>
          <w:color w:val="000000"/>
          <w:kern w:val="0"/>
          <w:szCs w:val="21"/>
        </w:rPr>
      </w:pPr>
      <w:r>
        <w:rPr>
          <w:color w:val="000000"/>
          <w:kern w:val="0"/>
          <w:szCs w:val="21"/>
        </w:rPr>
        <w:t>工厂网络系统采用客户/服务模式，TCP/IP通讯协议，自适应10/100Mbps传输速率。</w:t>
      </w:r>
    </w:p>
    <w:p>
      <w:pPr>
        <w:ind w:firstLine="480"/>
        <w:rPr>
          <w:color w:val="000000"/>
          <w:kern w:val="0"/>
          <w:szCs w:val="21"/>
        </w:rPr>
      </w:pPr>
      <w:r>
        <w:rPr>
          <w:color w:val="000000"/>
          <w:kern w:val="0"/>
          <w:szCs w:val="21"/>
        </w:rPr>
        <w:t>工艺设备的控制方式如下：</w:t>
      </w:r>
    </w:p>
    <w:p>
      <w:pPr>
        <w:ind w:firstLine="480"/>
        <w:rPr>
          <w:color w:val="000000"/>
          <w:kern w:val="0"/>
          <w:szCs w:val="21"/>
        </w:rPr>
      </w:pPr>
      <w:r>
        <w:rPr>
          <w:color w:val="000000"/>
          <w:kern w:val="0"/>
          <w:szCs w:val="21"/>
        </w:rPr>
        <w:t>现场手动模式：设备的MCC控制柜上的</w:t>
      </w:r>
      <w:r>
        <w:rPr>
          <w:rFonts w:hint="eastAsia"/>
          <w:color w:val="000000"/>
          <w:kern w:val="0"/>
          <w:szCs w:val="21"/>
        </w:rPr>
        <w:t>“</w:t>
      </w:r>
      <w:r>
        <w:rPr>
          <w:color w:val="000000"/>
          <w:kern w:val="0"/>
          <w:szCs w:val="21"/>
        </w:rPr>
        <w:t>就地/远程</w:t>
      </w:r>
      <w:r>
        <w:rPr>
          <w:rFonts w:hint="eastAsia"/>
          <w:color w:val="000000"/>
          <w:kern w:val="0"/>
          <w:szCs w:val="21"/>
        </w:rPr>
        <w:t>”</w:t>
      </w:r>
      <w:r>
        <w:rPr>
          <w:color w:val="000000"/>
          <w:kern w:val="0"/>
          <w:szCs w:val="21"/>
        </w:rPr>
        <w:t>开关选择</w:t>
      </w:r>
      <w:r>
        <w:rPr>
          <w:rFonts w:hint="eastAsia"/>
          <w:color w:val="000000"/>
          <w:kern w:val="0"/>
          <w:szCs w:val="21"/>
        </w:rPr>
        <w:t>“</w:t>
      </w:r>
      <w:r>
        <w:rPr>
          <w:color w:val="000000"/>
          <w:kern w:val="0"/>
          <w:szCs w:val="21"/>
        </w:rPr>
        <w:t>就地</w:t>
      </w:r>
      <w:r>
        <w:rPr>
          <w:rFonts w:hint="eastAsia"/>
          <w:color w:val="000000"/>
          <w:kern w:val="0"/>
          <w:szCs w:val="21"/>
        </w:rPr>
        <w:t>”</w:t>
      </w:r>
      <w:r>
        <w:rPr>
          <w:color w:val="000000"/>
          <w:kern w:val="0"/>
          <w:szCs w:val="21"/>
        </w:rPr>
        <w:t>方式时，通过MCC控制柜上的按钮实现地设备的启</w:t>
      </w:r>
      <w:r>
        <w:rPr>
          <w:rFonts w:hint="eastAsia"/>
          <w:color w:val="000000"/>
          <w:kern w:val="0"/>
          <w:szCs w:val="21"/>
        </w:rPr>
        <w:t>/</w:t>
      </w:r>
      <w:r>
        <w:rPr>
          <w:color w:val="000000"/>
          <w:kern w:val="0"/>
          <w:szCs w:val="21"/>
        </w:rPr>
        <w:t>停、开/关操作。</w:t>
      </w:r>
    </w:p>
    <w:p>
      <w:pPr>
        <w:ind w:firstLine="480"/>
        <w:rPr>
          <w:color w:val="000000"/>
          <w:kern w:val="0"/>
          <w:szCs w:val="21"/>
        </w:rPr>
      </w:pPr>
      <w:r>
        <w:rPr>
          <w:color w:val="000000"/>
          <w:kern w:val="0"/>
          <w:szCs w:val="21"/>
        </w:rPr>
        <w:t>现场手动模式：MCC控制柜上的</w:t>
      </w:r>
      <w:r>
        <w:rPr>
          <w:rFonts w:hint="eastAsia"/>
          <w:color w:val="000000"/>
          <w:kern w:val="0"/>
          <w:szCs w:val="21"/>
        </w:rPr>
        <w:t>“</w:t>
      </w:r>
      <w:r>
        <w:rPr>
          <w:color w:val="000000"/>
          <w:kern w:val="0"/>
          <w:szCs w:val="21"/>
        </w:rPr>
        <w:t>就地/远程</w:t>
      </w:r>
      <w:r>
        <w:rPr>
          <w:rFonts w:hint="eastAsia"/>
          <w:color w:val="000000"/>
          <w:kern w:val="0"/>
          <w:szCs w:val="21"/>
        </w:rPr>
        <w:t>”</w:t>
      </w:r>
      <w:r>
        <w:rPr>
          <w:color w:val="000000"/>
          <w:kern w:val="0"/>
          <w:szCs w:val="21"/>
        </w:rPr>
        <w:t>开关选择</w:t>
      </w:r>
      <w:r>
        <w:rPr>
          <w:rFonts w:hint="eastAsia"/>
          <w:color w:val="000000"/>
          <w:kern w:val="0"/>
          <w:szCs w:val="21"/>
        </w:rPr>
        <w:t>“</w:t>
      </w:r>
      <w:r>
        <w:rPr>
          <w:color w:val="000000"/>
          <w:kern w:val="0"/>
          <w:szCs w:val="21"/>
        </w:rPr>
        <w:t>远程</w:t>
      </w:r>
      <w:r>
        <w:rPr>
          <w:rFonts w:hint="eastAsia"/>
          <w:color w:val="000000"/>
          <w:kern w:val="0"/>
          <w:szCs w:val="21"/>
        </w:rPr>
        <w:t>”</w:t>
      </w:r>
      <w:r>
        <w:rPr>
          <w:color w:val="000000"/>
          <w:kern w:val="0"/>
          <w:szCs w:val="21"/>
        </w:rPr>
        <w:t>方式，通过控制室的操作站键盘、鼠标，操作人员可以启/停全流程所有可控电气设备。</w:t>
      </w:r>
    </w:p>
    <w:p>
      <w:pPr>
        <w:widowControl w:val="0"/>
        <w:ind w:firstLine="480"/>
        <w:rPr>
          <w:color w:val="000000"/>
          <w:kern w:val="0"/>
          <w:szCs w:val="21"/>
        </w:rPr>
      </w:pPr>
      <w:r>
        <w:rPr>
          <w:color w:val="000000"/>
          <w:kern w:val="0"/>
          <w:szCs w:val="21"/>
        </w:rPr>
        <w:t>自动方式：由PLC站采集现场仪表的测量值和各设备运行状态，经PLC内部运算进行各设备的自动控制，而不需要人工干预，这种控制模式是全厂正常运行时的常用模式。</w:t>
      </w:r>
    </w:p>
    <w:p>
      <w:pPr>
        <w:pStyle w:val="8"/>
        <w:spacing w:before="120"/>
        <w:rPr>
          <w:rFonts w:hint="eastAsia"/>
          <w:color w:val="000000"/>
        </w:rPr>
      </w:pPr>
      <w:bookmarkStart w:id="194" w:name="_Toc489350168"/>
      <w:bookmarkStart w:id="195" w:name="_Toc489350004"/>
      <w:bookmarkStart w:id="196" w:name="_Toc489350269"/>
      <w:r>
        <w:rPr>
          <w:color w:val="000000"/>
        </w:rPr>
        <w:t>2</w:t>
      </w:r>
      <w:r>
        <w:rPr>
          <w:rFonts w:hint="eastAsia"/>
          <w:color w:val="000000"/>
        </w:rPr>
        <w:t>.</w:t>
      </w:r>
      <w:r>
        <w:rPr>
          <w:color w:val="000000"/>
        </w:rPr>
        <w:t>2</w:t>
      </w:r>
      <w:r>
        <w:rPr>
          <w:rFonts w:hint="eastAsia"/>
          <w:color w:val="000000"/>
        </w:rPr>
        <w:t>.6  能量消耗</w:t>
      </w:r>
      <w:bookmarkEnd w:id="194"/>
      <w:bookmarkEnd w:id="195"/>
      <w:bookmarkEnd w:id="196"/>
    </w:p>
    <w:p>
      <w:pPr>
        <w:ind w:firstLine="480"/>
        <w:rPr>
          <w:rFonts w:hint="eastAsia"/>
          <w:bCs/>
          <w:color w:val="000000"/>
          <w:kern w:val="0"/>
        </w:rPr>
      </w:pPr>
      <w:r>
        <w:rPr>
          <w:rFonts w:hint="eastAsia"/>
          <w:bCs/>
          <w:color w:val="000000"/>
          <w:kern w:val="0"/>
        </w:rPr>
        <w:t>本项目为净水工程，其主要能量消耗为水能消耗、电能消耗以及工艺投加原料消耗。</w:t>
      </w:r>
    </w:p>
    <w:p>
      <w:pPr>
        <w:ind w:firstLine="480"/>
        <w:rPr>
          <w:bCs/>
          <w:color w:val="000000"/>
          <w:kern w:val="0"/>
        </w:rPr>
      </w:pPr>
      <w:r>
        <w:rPr>
          <w:rFonts w:hint="eastAsia"/>
          <w:color w:val="000000"/>
          <w:kern w:val="0"/>
          <w:szCs w:val="21"/>
        </w:rPr>
        <w:t>（1）新水消耗</w:t>
      </w:r>
    </w:p>
    <w:p>
      <w:pPr>
        <w:autoSpaceDE w:val="0"/>
        <w:autoSpaceDN w:val="0"/>
        <w:adjustRightInd w:val="0"/>
        <w:ind w:firstLine="480"/>
        <w:textAlignment w:val="baseline"/>
        <w:rPr>
          <w:color w:val="000000"/>
          <w:kern w:val="0"/>
          <w:szCs w:val="21"/>
        </w:rPr>
      </w:pPr>
      <w:r>
        <w:rPr>
          <w:color w:val="000000"/>
          <w:kern w:val="0"/>
          <w:szCs w:val="21"/>
        </w:rPr>
        <w:t>相对于循环水而言，新水就是补充进循环水系统的自来水或处理水。</w:t>
      </w:r>
      <w:r>
        <w:rPr>
          <w:rFonts w:hint="eastAsia"/>
          <w:color w:val="000000"/>
          <w:kern w:val="0"/>
          <w:szCs w:val="21"/>
        </w:rPr>
        <w:t>本项目劳动定员为</w:t>
      </w:r>
      <w:r>
        <w:rPr>
          <w:rFonts w:hint="eastAsia"/>
          <w:color w:val="000000"/>
          <w:kern w:val="0"/>
          <w:szCs w:val="21"/>
          <w:lang w:val="en-US" w:eastAsia="zh-CN"/>
        </w:rPr>
        <w:t>4</w:t>
      </w:r>
      <w:r>
        <w:rPr>
          <w:rFonts w:hint="eastAsia"/>
          <w:color w:val="000000"/>
          <w:kern w:val="0"/>
          <w:szCs w:val="21"/>
        </w:rPr>
        <w:t>人，其用水量参考《湖南省用水定额》（DB42T388-20</w:t>
      </w:r>
      <w:r>
        <w:rPr>
          <w:color w:val="000000"/>
          <w:kern w:val="0"/>
          <w:szCs w:val="21"/>
        </w:rPr>
        <w:t>20</w:t>
      </w:r>
      <w:r>
        <w:rPr>
          <w:rFonts w:hint="eastAsia"/>
          <w:color w:val="000000"/>
          <w:kern w:val="0"/>
          <w:szCs w:val="21"/>
        </w:rPr>
        <w:t>）中的水量定额，指标取值为145L/人·d，则本项目新水消耗为</w:t>
      </w:r>
      <w:r>
        <w:rPr>
          <w:rFonts w:hint="eastAsia"/>
          <w:color w:val="000000"/>
          <w:kern w:val="0"/>
          <w:szCs w:val="21"/>
          <w:lang w:val="en-US" w:eastAsia="zh-CN"/>
        </w:rPr>
        <w:t>37.7</w:t>
      </w:r>
      <w:r>
        <w:rPr>
          <w:rFonts w:hint="eastAsia"/>
          <w:color w:val="000000"/>
          <w:kern w:val="0"/>
          <w:szCs w:val="21"/>
        </w:rPr>
        <w:t>t/a。</w:t>
      </w:r>
    </w:p>
    <w:p>
      <w:pPr>
        <w:ind w:firstLine="480"/>
        <w:rPr>
          <w:rFonts w:hint="eastAsia"/>
          <w:color w:val="000000"/>
          <w:kern w:val="0"/>
          <w:szCs w:val="21"/>
        </w:rPr>
      </w:pPr>
      <w:r>
        <w:rPr>
          <w:rFonts w:hint="eastAsia"/>
          <w:color w:val="000000"/>
          <w:kern w:val="0"/>
          <w:szCs w:val="21"/>
        </w:rPr>
        <w:t>（2）原料消耗</w:t>
      </w:r>
    </w:p>
    <w:p>
      <w:pPr>
        <w:ind w:firstLine="480"/>
        <w:rPr>
          <w:rFonts w:hint="eastAsia"/>
          <w:color w:val="000000"/>
          <w:kern w:val="0"/>
          <w:szCs w:val="21"/>
        </w:rPr>
      </w:pPr>
      <w:r>
        <w:rPr>
          <w:rFonts w:hint="eastAsia"/>
          <w:color w:val="000000"/>
          <w:kern w:val="0"/>
          <w:szCs w:val="21"/>
        </w:rPr>
        <w:t>本项目所用到的原料包括</w:t>
      </w:r>
      <w:r>
        <w:rPr>
          <w:rFonts w:hint="eastAsia"/>
          <w:szCs w:val="21"/>
          <w:lang w:eastAsia="zh-CN"/>
        </w:rPr>
        <w:t>盐酸</w:t>
      </w:r>
      <w:r>
        <w:rPr>
          <w:rFonts w:hint="eastAsia"/>
          <w:szCs w:val="21"/>
        </w:rPr>
        <w:t>、</w:t>
      </w:r>
      <w:r>
        <w:rPr>
          <w:rFonts w:hint="eastAsia"/>
          <w:szCs w:val="21"/>
          <w:lang w:val="en-US" w:eastAsia="zh-CN"/>
        </w:rPr>
        <w:t>PAC</w:t>
      </w:r>
      <w:r>
        <w:rPr>
          <w:rFonts w:hint="eastAsia"/>
          <w:szCs w:val="21"/>
        </w:rPr>
        <w:t>、PAM</w:t>
      </w:r>
      <w:r>
        <w:rPr>
          <w:rFonts w:hint="eastAsia"/>
          <w:color w:val="000000"/>
          <w:kern w:val="0"/>
          <w:szCs w:val="21"/>
        </w:rPr>
        <w:t>。结合项目建设规模，项目运营期消耗量见下表</w:t>
      </w:r>
      <w:r>
        <w:rPr>
          <w:color w:val="000000"/>
          <w:kern w:val="0"/>
          <w:szCs w:val="21"/>
        </w:rPr>
        <w:t>2</w:t>
      </w:r>
      <w:r>
        <w:rPr>
          <w:rFonts w:hint="eastAsia"/>
          <w:color w:val="000000"/>
          <w:kern w:val="0"/>
          <w:szCs w:val="21"/>
        </w:rPr>
        <w:t>.</w:t>
      </w:r>
      <w:r>
        <w:rPr>
          <w:color w:val="000000"/>
          <w:kern w:val="0"/>
          <w:szCs w:val="21"/>
        </w:rPr>
        <w:t>2</w:t>
      </w:r>
      <w:r>
        <w:rPr>
          <w:rFonts w:hint="eastAsia"/>
          <w:color w:val="000000"/>
          <w:kern w:val="0"/>
          <w:szCs w:val="21"/>
        </w:rPr>
        <w:t>-1。原辅材料理化性质见表</w:t>
      </w:r>
      <w:r>
        <w:rPr>
          <w:color w:val="000000"/>
          <w:kern w:val="0"/>
          <w:szCs w:val="21"/>
        </w:rPr>
        <w:t>2.2-2</w:t>
      </w:r>
      <w:r>
        <w:rPr>
          <w:rFonts w:hint="eastAsia"/>
          <w:color w:val="000000"/>
          <w:kern w:val="0"/>
          <w:szCs w:val="21"/>
        </w:rPr>
        <w:t>。</w:t>
      </w:r>
    </w:p>
    <w:p>
      <w:pPr>
        <w:ind w:firstLine="422"/>
        <w:jc w:val="center"/>
        <w:rPr>
          <w:rFonts w:hint="eastAsia"/>
          <w:b/>
          <w:color w:val="000000"/>
          <w:kern w:val="0"/>
          <w:sz w:val="21"/>
          <w:szCs w:val="21"/>
        </w:rPr>
      </w:pPr>
      <w:r>
        <w:rPr>
          <w:rFonts w:hint="eastAsia"/>
          <w:b/>
          <w:color w:val="000000"/>
          <w:kern w:val="0"/>
          <w:sz w:val="21"/>
          <w:szCs w:val="21"/>
        </w:rPr>
        <w:t>表</w:t>
      </w:r>
      <w:r>
        <w:rPr>
          <w:b/>
          <w:color w:val="000000"/>
          <w:kern w:val="0"/>
          <w:sz w:val="21"/>
          <w:szCs w:val="21"/>
        </w:rPr>
        <w:t>2</w:t>
      </w:r>
      <w:r>
        <w:rPr>
          <w:rFonts w:hint="eastAsia"/>
          <w:b/>
          <w:color w:val="000000"/>
          <w:kern w:val="0"/>
          <w:sz w:val="21"/>
          <w:szCs w:val="21"/>
        </w:rPr>
        <w:t>.</w:t>
      </w:r>
      <w:r>
        <w:rPr>
          <w:b/>
          <w:color w:val="000000"/>
          <w:kern w:val="0"/>
          <w:sz w:val="21"/>
          <w:szCs w:val="21"/>
        </w:rPr>
        <w:t>2</w:t>
      </w:r>
      <w:r>
        <w:rPr>
          <w:rFonts w:hint="eastAsia"/>
          <w:b/>
          <w:color w:val="000000"/>
          <w:kern w:val="0"/>
          <w:sz w:val="21"/>
          <w:szCs w:val="21"/>
        </w:rPr>
        <w:t>-1  工程原辅材料消耗一览表</w:t>
      </w:r>
    </w:p>
    <w:tbl>
      <w:tblPr>
        <w:tblStyle w:val="37"/>
        <w:tblW w:w="83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3050"/>
        <w:gridCol w:w="2033"/>
        <w:gridCol w:w="20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2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0"/>
                <w:sz w:val="21"/>
                <w:szCs w:val="21"/>
                <w:lang w:eastAsia="zh-CN"/>
              </w:rPr>
            </w:pPr>
            <w:r>
              <w:rPr>
                <w:rFonts w:hint="default" w:ascii="Times New Roman" w:hAnsi="Times New Roman" w:cs="Times New Roman"/>
                <w:b w:val="0"/>
                <w:bCs w:val="0"/>
                <w:kern w:val="0"/>
                <w:sz w:val="21"/>
                <w:szCs w:val="21"/>
                <w:lang w:eastAsia="zh-CN"/>
              </w:rPr>
              <w:t>序号</w:t>
            </w:r>
          </w:p>
        </w:tc>
        <w:tc>
          <w:tcPr>
            <w:tcW w:w="30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原辅材料名称</w:t>
            </w:r>
          </w:p>
        </w:tc>
        <w:tc>
          <w:tcPr>
            <w:tcW w:w="203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lang w:eastAsia="zh-CN"/>
              </w:rPr>
            </w:pPr>
            <w:r>
              <w:rPr>
                <w:rFonts w:hint="eastAsia" w:ascii="Times New Roman" w:hAnsi="Times New Roman" w:cs="Times New Roman"/>
                <w:b w:val="0"/>
                <w:bCs w:val="0"/>
                <w:sz w:val="21"/>
                <w:szCs w:val="21"/>
                <w:lang w:eastAsia="zh-CN"/>
              </w:rPr>
              <w:t>年</w:t>
            </w:r>
            <w:r>
              <w:rPr>
                <w:rFonts w:hint="default" w:ascii="Times New Roman" w:hAnsi="Times New Roman" w:cs="Times New Roman"/>
                <w:b w:val="0"/>
                <w:bCs w:val="0"/>
                <w:sz w:val="21"/>
                <w:szCs w:val="21"/>
                <w:lang w:eastAsia="zh-CN"/>
              </w:rPr>
              <w:t>消耗量</w:t>
            </w:r>
          </w:p>
        </w:tc>
        <w:tc>
          <w:tcPr>
            <w:tcW w:w="20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2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kern w:val="0"/>
                <w:sz w:val="21"/>
                <w:szCs w:val="21"/>
                <w:lang w:eastAsia="zh-CN"/>
              </w:rPr>
            </w:pPr>
            <w:r>
              <w:rPr>
                <w:rFonts w:hint="default" w:ascii="Times New Roman" w:hAnsi="Times New Roman" w:cs="Times New Roman"/>
                <w:b w:val="0"/>
                <w:bCs w:val="0"/>
                <w:kern w:val="0"/>
                <w:sz w:val="21"/>
                <w:szCs w:val="21"/>
                <w:lang w:val="en-US" w:eastAsia="zh-CN"/>
              </w:rPr>
              <w:t>1</w:t>
            </w:r>
          </w:p>
        </w:tc>
        <w:tc>
          <w:tcPr>
            <w:tcW w:w="3050" w:type="dxa"/>
            <w:tcBorders>
              <w:tl2br w:val="nil"/>
              <w:tr2bl w:val="nil"/>
            </w:tcBorders>
            <w:noWrap w:val="0"/>
            <w:vAlign w:val="center"/>
          </w:tcPr>
          <w:p>
            <w:pPr>
              <w:pStyle w:val="12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0"/>
                <w:position w:val="-24"/>
                <w:sz w:val="21"/>
                <w:szCs w:val="21"/>
                <w:lang w:val="en-US" w:eastAsia="zh-CN" w:bidi="ar-SA"/>
              </w:rPr>
            </w:pPr>
            <w:r>
              <w:rPr>
                <w:rFonts w:hint="default" w:ascii="Times New Roman" w:hAnsi="Times New Roman" w:eastAsia="宋体" w:cs="Times New Roman"/>
                <w:b w:val="0"/>
                <w:bCs w:val="0"/>
                <w:sz w:val="21"/>
                <w:szCs w:val="21"/>
              </w:rPr>
              <w:t>聚丙烯酰胺</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lang w:val="en-US" w:eastAsia="zh-CN"/>
              </w:rPr>
              <w:t>PAM</w:t>
            </w:r>
            <w:r>
              <w:rPr>
                <w:rFonts w:hint="default" w:ascii="Times New Roman" w:hAnsi="Times New Roman" w:eastAsia="宋体" w:cs="Times New Roman"/>
                <w:b w:val="0"/>
                <w:bCs w:val="0"/>
                <w:sz w:val="21"/>
                <w:szCs w:val="21"/>
                <w:lang w:eastAsia="zh-CN"/>
              </w:rPr>
              <w:t>）</w:t>
            </w:r>
          </w:p>
        </w:tc>
        <w:tc>
          <w:tcPr>
            <w:tcW w:w="203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6</w:t>
            </w:r>
            <w:r>
              <w:rPr>
                <w:rFonts w:hint="default" w:ascii="Times New Roman" w:hAnsi="Times New Roman" w:cs="Times New Roman"/>
                <w:b w:val="0"/>
                <w:bCs w:val="0"/>
                <w:kern w:val="0"/>
                <w:sz w:val="21"/>
                <w:szCs w:val="21"/>
                <w:lang w:val="en-US" w:eastAsia="zh-CN"/>
              </w:rPr>
              <w:t>t/a</w:t>
            </w:r>
          </w:p>
        </w:tc>
        <w:tc>
          <w:tcPr>
            <w:tcW w:w="20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lang w:val="en-US" w:eastAsia="zh-CN"/>
              </w:rPr>
            </w:pPr>
            <w:r>
              <w:rPr>
                <w:rFonts w:hint="eastAsia"/>
                <w:sz w:val="21"/>
                <w:szCs w:val="21"/>
              </w:rPr>
              <w:t>絮凝剂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2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kern w:val="0"/>
                <w:sz w:val="21"/>
                <w:szCs w:val="21"/>
                <w:lang w:eastAsia="zh-CN"/>
              </w:rPr>
            </w:pPr>
            <w:r>
              <w:rPr>
                <w:rFonts w:hint="default" w:ascii="Times New Roman" w:hAnsi="Times New Roman" w:cs="Times New Roman"/>
                <w:b w:val="0"/>
                <w:bCs w:val="0"/>
                <w:kern w:val="0"/>
                <w:sz w:val="21"/>
                <w:szCs w:val="21"/>
                <w:lang w:val="en-US" w:eastAsia="zh-CN"/>
              </w:rPr>
              <w:t>2</w:t>
            </w:r>
          </w:p>
        </w:tc>
        <w:tc>
          <w:tcPr>
            <w:tcW w:w="3050" w:type="dxa"/>
            <w:tcBorders>
              <w:tl2br w:val="nil"/>
              <w:tr2bl w:val="nil"/>
            </w:tcBorders>
            <w:noWrap w:val="0"/>
            <w:vAlign w:val="center"/>
          </w:tcPr>
          <w:p>
            <w:pPr>
              <w:pStyle w:val="12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0"/>
                <w:position w:val="-24"/>
                <w:sz w:val="21"/>
                <w:szCs w:val="21"/>
                <w:lang w:val="en-US" w:eastAsia="zh-CN" w:bidi="ar-SA"/>
              </w:rPr>
            </w:pPr>
            <w:r>
              <w:rPr>
                <w:rFonts w:hint="default" w:ascii="Times New Roman" w:hAnsi="Times New Roman" w:eastAsia="宋体" w:cs="Times New Roman"/>
                <w:b w:val="0"/>
                <w:bCs w:val="0"/>
                <w:sz w:val="21"/>
                <w:szCs w:val="21"/>
                <w:lang w:eastAsia="zh-CN"/>
              </w:rPr>
              <w:t>碱式氯化铝（</w:t>
            </w:r>
            <w:r>
              <w:rPr>
                <w:rFonts w:hint="default" w:ascii="Times New Roman" w:hAnsi="Times New Roman" w:eastAsia="宋体" w:cs="Times New Roman"/>
                <w:b w:val="0"/>
                <w:bCs w:val="0"/>
                <w:sz w:val="21"/>
                <w:szCs w:val="21"/>
                <w:lang w:val="en-US" w:eastAsia="zh-CN"/>
              </w:rPr>
              <w:t>PAC</w:t>
            </w:r>
            <w:r>
              <w:rPr>
                <w:rFonts w:hint="default" w:ascii="Times New Roman" w:hAnsi="Times New Roman" w:eastAsia="宋体" w:cs="Times New Roman"/>
                <w:b w:val="0"/>
                <w:bCs w:val="0"/>
                <w:sz w:val="21"/>
                <w:szCs w:val="21"/>
                <w:lang w:eastAsia="zh-CN"/>
              </w:rPr>
              <w:t>）</w:t>
            </w:r>
          </w:p>
        </w:tc>
        <w:tc>
          <w:tcPr>
            <w:tcW w:w="203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lang w:val="en-US" w:eastAsia="zh-CN"/>
              </w:rPr>
            </w:pPr>
            <w:r>
              <w:rPr>
                <w:rFonts w:hint="default" w:ascii="Times New Roman" w:hAnsi="Times New Roman" w:cs="Times New Roman"/>
                <w:b w:val="0"/>
                <w:bCs w:val="0"/>
                <w:sz w:val="21"/>
                <w:szCs w:val="21"/>
                <w:lang w:val="en-US" w:eastAsia="zh-CN"/>
              </w:rPr>
              <w:t>30</w:t>
            </w:r>
            <w:r>
              <w:rPr>
                <w:rFonts w:hint="default" w:ascii="Times New Roman" w:hAnsi="Times New Roman" w:cs="Times New Roman"/>
                <w:b w:val="0"/>
                <w:bCs w:val="0"/>
                <w:kern w:val="0"/>
                <w:sz w:val="21"/>
                <w:szCs w:val="21"/>
                <w:lang w:val="en-US" w:eastAsia="zh-CN"/>
              </w:rPr>
              <w:t>t/a</w:t>
            </w:r>
          </w:p>
        </w:tc>
        <w:tc>
          <w:tcPr>
            <w:tcW w:w="20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lang w:val="en-US" w:eastAsia="zh-CN"/>
              </w:rPr>
            </w:pPr>
            <w:r>
              <w:rPr>
                <w:rFonts w:hint="eastAsia"/>
                <w:sz w:val="21"/>
                <w:szCs w:val="21"/>
              </w:rPr>
              <w:t>混凝剂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2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kern w:val="0"/>
                <w:sz w:val="21"/>
                <w:szCs w:val="21"/>
                <w:lang w:val="en-US" w:eastAsia="zh-CN"/>
              </w:rPr>
            </w:pPr>
            <w:r>
              <w:rPr>
                <w:rFonts w:hint="default" w:ascii="Times New Roman" w:hAnsi="Times New Roman" w:cs="Times New Roman"/>
                <w:b w:val="0"/>
                <w:bCs w:val="0"/>
                <w:kern w:val="0"/>
                <w:sz w:val="21"/>
                <w:szCs w:val="21"/>
                <w:lang w:val="en-US" w:eastAsia="zh-CN"/>
              </w:rPr>
              <w:t>3</w:t>
            </w:r>
          </w:p>
        </w:tc>
        <w:tc>
          <w:tcPr>
            <w:tcW w:w="3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重金属补集-生物制剂</w:t>
            </w:r>
          </w:p>
        </w:tc>
        <w:tc>
          <w:tcPr>
            <w:tcW w:w="203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57.6</w:t>
            </w:r>
            <w:r>
              <w:rPr>
                <w:rFonts w:hint="default" w:ascii="Times New Roman" w:hAnsi="Times New Roman" w:cs="Times New Roman"/>
                <w:b w:val="0"/>
                <w:bCs w:val="0"/>
                <w:kern w:val="0"/>
                <w:sz w:val="21"/>
                <w:szCs w:val="21"/>
                <w:lang w:val="en-US" w:eastAsia="zh-CN"/>
              </w:rPr>
              <w:t>t/a</w:t>
            </w:r>
          </w:p>
        </w:tc>
        <w:tc>
          <w:tcPr>
            <w:tcW w:w="20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lang w:val="en-US" w:eastAsia="zh-CN"/>
              </w:rPr>
            </w:pPr>
            <w:r>
              <w:rPr>
                <w:rFonts w:hint="eastAsia"/>
                <w:sz w:val="21"/>
                <w:szCs w:val="21"/>
              </w:rPr>
              <w:t>净水作用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2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kern w:val="0"/>
                <w:sz w:val="21"/>
                <w:szCs w:val="21"/>
                <w:highlight w:val="none"/>
                <w:lang w:val="en-US" w:eastAsia="zh-CN" w:bidi="ar-SA"/>
              </w:rPr>
            </w:pPr>
            <w:r>
              <w:rPr>
                <w:rFonts w:hint="default" w:ascii="Times New Roman" w:hAnsi="Times New Roman" w:cs="Times New Roman"/>
                <w:b w:val="0"/>
                <w:bCs w:val="0"/>
                <w:kern w:val="0"/>
                <w:sz w:val="21"/>
                <w:szCs w:val="21"/>
                <w:highlight w:val="none"/>
                <w:lang w:val="en-US" w:eastAsia="zh-CN"/>
              </w:rPr>
              <w:t>4</w:t>
            </w:r>
          </w:p>
        </w:tc>
        <w:tc>
          <w:tcPr>
            <w:tcW w:w="3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片碱</w:t>
            </w:r>
          </w:p>
        </w:tc>
        <w:tc>
          <w:tcPr>
            <w:tcW w:w="203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5.48</w:t>
            </w:r>
            <w:r>
              <w:rPr>
                <w:rFonts w:hint="default" w:ascii="Times New Roman" w:hAnsi="Times New Roman" w:cs="Times New Roman"/>
                <w:b w:val="0"/>
                <w:bCs w:val="0"/>
                <w:kern w:val="0"/>
                <w:sz w:val="21"/>
                <w:szCs w:val="21"/>
                <w:highlight w:val="none"/>
                <w:lang w:val="en-US" w:eastAsia="zh-CN"/>
              </w:rPr>
              <w:t>t/a</w:t>
            </w:r>
          </w:p>
        </w:tc>
        <w:tc>
          <w:tcPr>
            <w:tcW w:w="20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lang w:val="en-US" w:eastAsia="zh-CN"/>
              </w:rPr>
            </w:pPr>
            <w:r>
              <w:rPr>
                <w:rFonts w:hint="eastAsia"/>
                <w:kern w:val="0"/>
                <w:sz w:val="21"/>
                <w:szCs w:val="21"/>
              </w:rPr>
              <w:t>调节p</w:t>
            </w:r>
            <w:r>
              <w:rPr>
                <w:kern w:val="0"/>
                <w:sz w:val="21"/>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2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kern w:val="0"/>
                <w:sz w:val="21"/>
                <w:szCs w:val="21"/>
                <w:highlight w:val="none"/>
                <w:lang w:val="en-US" w:eastAsia="zh-CN" w:bidi="ar-SA"/>
              </w:rPr>
            </w:pPr>
            <w:r>
              <w:rPr>
                <w:rFonts w:hint="default" w:ascii="Times New Roman" w:hAnsi="Times New Roman" w:cs="Times New Roman"/>
                <w:b w:val="0"/>
                <w:bCs w:val="0"/>
                <w:kern w:val="0"/>
                <w:sz w:val="21"/>
                <w:szCs w:val="21"/>
                <w:highlight w:val="none"/>
                <w:lang w:val="en-US" w:eastAsia="zh-CN"/>
              </w:rPr>
              <w:t>5</w:t>
            </w:r>
          </w:p>
        </w:tc>
        <w:tc>
          <w:tcPr>
            <w:tcW w:w="305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盐酸</w:t>
            </w:r>
          </w:p>
        </w:tc>
        <w:tc>
          <w:tcPr>
            <w:tcW w:w="203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11.388</w:t>
            </w:r>
            <w:r>
              <w:rPr>
                <w:rFonts w:hint="default" w:ascii="Times New Roman" w:hAnsi="Times New Roman" w:cs="Times New Roman"/>
                <w:b w:val="0"/>
                <w:bCs w:val="0"/>
                <w:kern w:val="0"/>
                <w:sz w:val="21"/>
                <w:szCs w:val="21"/>
                <w:highlight w:val="none"/>
                <w:lang w:val="en-US" w:eastAsia="zh-CN"/>
              </w:rPr>
              <w:t>t/a</w:t>
            </w:r>
          </w:p>
        </w:tc>
        <w:tc>
          <w:tcPr>
            <w:tcW w:w="20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highlight w:val="none"/>
                <w:lang w:val="en-US" w:eastAsia="zh-CN"/>
              </w:rPr>
            </w:pPr>
            <w:r>
              <w:rPr>
                <w:rFonts w:hint="eastAsia"/>
                <w:kern w:val="0"/>
                <w:sz w:val="21"/>
                <w:szCs w:val="21"/>
              </w:rPr>
              <w:t>调节p</w:t>
            </w:r>
            <w:r>
              <w:rPr>
                <w:kern w:val="0"/>
                <w:sz w:val="21"/>
                <w:szCs w:val="21"/>
              </w:rPr>
              <w:t>H</w:t>
            </w:r>
          </w:p>
        </w:tc>
      </w:tr>
    </w:tbl>
    <w:p>
      <w:pPr>
        <w:spacing w:line="360" w:lineRule="auto"/>
        <w:ind w:firstLine="422"/>
        <w:jc w:val="center"/>
        <w:rPr>
          <w:rFonts w:hint="eastAsia" w:ascii="Times New Roman" w:hAnsi="Times New Roman" w:eastAsia="宋体" w:cs="Times New Roman"/>
          <w:b/>
          <w:color w:val="000000"/>
          <w:kern w:val="0"/>
          <w:sz w:val="21"/>
          <w:szCs w:val="21"/>
        </w:rPr>
      </w:pPr>
      <w:r>
        <w:rPr>
          <w:rFonts w:hint="eastAsia" w:ascii="Times New Roman" w:hAnsi="Times New Roman" w:eastAsia="宋体" w:cs="Times New Roman"/>
          <w:b/>
          <w:color w:val="000000"/>
          <w:kern w:val="0"/>
          <w:sz w:val="21"/>
          <w:szCs w:val="21"/>
        </w:rPr>
        <w:t>表2.2-2 主要原辅材料的理化性质</w:t>
      </w:r>
    </w:p>
    <w:tbl>
      <w:tblPr>
        <w:tblStyle w:val="37"/>
        <w:tblW w:w="849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757"/>
        <w:gridCol w:w="1243"/>
        <w:gridCol w:w="1246"/>
        <w:gridCol w:w="1243"/>
        <w:gridCol w:w="1245"/>
        <w:gridCol w:w="10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restart"/>
            <w:tcBorders>
              <w:tl2br w:val="nil"/>
              <w:tr2bl w:val="nil"/>
            </w:tcBorders>
            <w:noWrap w:val="0"/>
            <w:vAlign w:val="center"/>
          </w:tcPr>
          <w:p>
            <w:pPr>
              <w:widowControl w:val="0"/>
              <w:suppressAutoHyphens/>
              <w:wordWrap w:val="0"/>
              <w:topLinePunct/>
              <w:spacing w:line="240" w:lineRule="auto"/>
              <w:ind w:firstLine="0" w:firstLineChars="0"/>
              <w:jc w:val="center"/>
              <w:rPr>
                <w:b/>
                <w:color w:val="000000"/>
                <w:kern w:val="0"/>
                <w:sz w:val="21"/>
                <w:szCs w:val="21"/>
              </w:rPr>
            </w:pPr>
            <w:r>
              <w:rPr>
                <w:b/>
                <w:color w:val="000000"/>
                <w:kern w:val="0"/>
                <w:sz w:val="21"/>
                <w:szCs w:val="21"/>
              </w:rPr>
              <w:t>标识</w:t>
            </w:r>
          </w:p>
        </w:tc>
        <w:tc>
          <w:tcPr>
            <w:tcW w:w="4246" w:type="dxa"/>
            <w:gridSpan w:val="3"/>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中文名：丙烯酰胺</w:t>
            </w:r>
            <w:r>
              <w:rPr>
                <w:rFonts w:hint="eastAsia"/>
                <w:bCs/>
                <w:color w:val="000000"/>
                <w:kern w:val="0"/>
                <w:sz w:val="21"/>
                <w:szCs w:val="21"/>
              </w:rPr>
              <w:t>（</w:t>
            </w:r>
            <w:r>
              <w:t xml:space="preserve"> </w:t>
            </w:r>
            <w:r>
              <w:rPr>
                <w:bCs/>
                <w:color w:val="000000"/>
                <w:kern w:val="0"/>
                <w:sz w:val="21"/>
                <w:szCs w:val="21"/>
              </w:rPr>
              <w:t>PAM</w:t>
            </w:r>
            <w:r>
              <w:rPr>
                <w:rFonts w:hint="eastAsia"/>
                <w:bCs/>
                <w:color w:val="000000"/>
                <w:kern w:val="0"/>
                <w:sz w:val="21"/>
                <w:szCs w:val="21"/>
              </w:rPr>
              <w:t>）</w:t>
            </w:r>
          </w:p>
        </w:tc>
        <w:tc>
          <w:tcPr>
            <w:tcW w:w="3519" w:type="dxa"/>
            <w:gridSpan w:val="3"/>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危险货物编号：61740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tcBorders>
              <w:tl2br w:val="nil"/>
              <w:tr2bl w:val="nil"/>
            </w:tcBorders>
            <w:noWrap w:val="0"/>
            <w:vAlign w:val="center"/>
          </w:tcPr>
          <w:p>
            <w:pPr>
              <w:widowControl w:val="0"/>
              <w:suppressAutoHyphens/>
              <w:wordWrap w:val="0"/>
              <w:topLinePunct/>
              <w:spacing w:line="240" w:lineRule="auto"/>
              <w:ind w:firstLine="0" w:firstLineChars="0"/>
              <w:jc w:val="center"/>
              <w:rPr>
                <w:b/>
                <w:color w:val="000000"/>
                <w:kern w:val="0"/>
                <w:sz w:val="21"/>
                <w:szCs w:val="21"/>
              </w:rPr>
            </w:pPr>
          </w:p>
        </w:tc>
        <w:tc>
          <w:tcPr>
            <w:tcW w:w="4246" w:type="dxa"/>
            <w:gridSpan w:val="3"/>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分子式：C</w:t>
            </w:r>
            <w:r>
              <w:rPr>
                <w:bCs/>
                <w:color w:val="000000"/>
                <w:kern w:val="0"/>
                <w:sz w:val="21"/>
                <w:szCs w:val="21"/>
                <w:vertAlign w:val="subscript"/>
              </w:rPr>
              <w:t>3</w:t>
            </w:r>
            <w:r>
              <w:rPr>
                <w:bCs/>
                <w:color w:val="000000"/>
                <w:kern w:val="0"/>
                <w:sz w:val="21"/>
                <w:szCs w:val="21"/>
              </w:rPr>
              <w:t>H</w:t>
            </w:r>
            <w:r>
              <w:rPr>
                <w:bCs/>
                <w:color w:val="000000"/>
                <w:kern w:val="0"/>
                <w:sz w:val="21"/>
                <w:szCs w:val="21"/>
                <w:vertAlign w:val="subscript"/>
              </w:rPr>
              <w:t>5</w:t>
            </w:r>
            <w:r>
              <w:rPr>
                <w:bCs/>
                <w:color w:val="000000"/>
                <w:kern w:val="0"/>
                <w:sz w:val="21"/>
                <w:szCs w:val="21"/>
              </w:rPr>
              <w:t>NO</w:t>
            </w:r>
          </w:p>
        </w:tc>
        <w:tc>
          <w:tcPr>
            <w:tcW w:w="3519" w:type="dxa"/>
            <w:gridSpan w:val="3"/>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UN编号：2074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tcBorders>
              <w:tl2br w:val="nil"/>
              <w:tr2bl w:val="nil"/>
            </w:tcBorders>
            <w:noWrap w:val="0"/>
            <w:vAlign w:val="center"/>
          </w:tcPr>
          <w:p>
            <w:pPr>
              <w:widowControl w:val="0"/>
              <w:suppressAutoHyphens/>
              <w:wordWrap w:val="0"/>
              <w:topLinePunct/>
              <w:spacing w:line="240" w:lineRule="auto"/>
              <w:ind w:firstLine="0" w:firstLineChars="0"/>
              <w:jc w:val="center"/>
              <w:rPr>
                <w:b/>
                <w:color w:val="000000"/>
                <w:kern w:val="0"/>
                <w:sz w:val="21"/>
                <w:szCs w:val="21"/>
              </w:rPr>
            </w:pPr>
          </w:p>
        </w:tc>
        <w:tc>
          <w:tcPr>
            <w:tcW w:w="4246" w:type="dxa"/>
            <w:gridSpan w:val="3"/>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分子量：71.08</w:t>
            </w:r>
          </w:p>
        </w:tc>
        <w:tc>
          <w:tcPr>
            <w:tcW w:w="3519" w:type="dxa"/>
            <w:gridSpan w:val="3"/>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CAS号：79-06-1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5" w:hRule="atLeast"/>
          <w:jc w:val="center"/>
        </w:trPr>
        <w:tc>
          <w:tcPr>
            <w:tcW w:w="729" w:type="dxa"/>
            <w:vMerge w:val="restart"/>
            <w:tcBorders>
              <w:tl2br w:val="nil"/>
              <w:tr2bl w:val="nil"/>
            </w:tcBorders>
            <w:noWrap w:val="0"/>
            <w:vAlign w:val="center"/>
          </w:tcPr>
          <w:p>
            <w:pPr>
              <w:widowControl w:val="0"/>
              <w:suppressAutoHyphens/>
              <w:wordWrap w:val="0"/>
              <w:topLinePunct/>
              <w:spacing w:line="240" w:lineRule="auto"/>
              <w:ind w:firstLine="0" w:firstLineChars="0"/>
              <w:jc w:val="center"/>
              <w:rPr>
                <w:b/>
                <w:color w:val="000000"/>
                <w:kern w:val="0"/>
                <w:sz w:val="21"/>
                <w:szCs w:val="21"/>
              </w:rPr>
            </w:pPr>
            <w:r>
              <w:rPr>
                <w:b/>
                <w:color w:val="000000"/>
                <w:kern w:val="0"/>
                <w:sz w:val="21"/>
                <w:szCs w:val="21"/>
              </w:rPr>
              <w:t>理化性质</w:t>
            </w:r>
          </w:p>
        </w:tc>
        <w:tc>
          <w:tcPr>
            <w:tcW w:w="1757"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外观与性质</w:t>
            </w:r>
          </w:p>
        </w:tc>
        <w:tc>
          <w:tcPr>
            <w:tcW w:w="6008" w:type="dxa"/>
            <w:gridSpan w:val="5"/>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白色结晶固体，无气温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tcBorders>
              <w:tl2br w:val="nil"/>
              <w:tr2bl w:val="nil"/>
            </w:tcBorders>
            <w:noWrap w:val="0"/>
            <w:vAlign w:val="center"/>
          </w:tcPr>
          <w:p>
            <w:pPr>
              <w:widowControl w:val="0"/>
              <w:suppressAutoHyphens/>
              <w:wordWrap w:val="0"/>
              <w:topLinePunct/>
              <w:spacing w:line="240" w:lineRule="auto"/>
              <w:ind w:firstLine="0" w:firstLineChars="0"/>
              <w:jc w:val="center"/>
              <w:rPr>
                <w:b/>
                <w:color w:val="000000"/>
                <w:kern w:val="0"/>
                <w:sz w:val="21"/>
                <w:szCs w:val="21"/>
              </w:rPr>
            </w:pPr>
          </w:p>
        </w:tc>
        <w:tc>
          <w:tcPr>
            <w:tcW w:w="1757"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熔点（</w:t>
            </w:r>
            <w:r>
              <w:rPr>
                <w:rFonts w:hint="eastAsia" w:ascii="宋体" w:hAnsi="宋体" w:cs="宋体"/>
                <w:bCs/>
                <w:color w:val="000000"/>
                <w:kern w:val="0"/>
                <w:sz w:val="21"/>
                <w:szCs w:val="21"/>
              </w:rPr>
              <w:t>℃</w:t>
            </w:r>
            <w:r>
              <w:rPr>
                <w:bCs/>
                <w:color w:val="000000"/>
                <w:kern w:val="0"/>
                <w:sz w:val="21"/>
                <w:szCs w:val="21"/>
              </w:rPr>
              <w:t>）</w:t>
            </w:r>
          </w:p>
        </w:tc>
        <w:tc>
          <w:tcPr>
            <w:tcW w:w="2489" w:type="dxa"/>
            <w:gridSpan w:val="2"/>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84.5</w:t>
            </w:r>
          </w:p>
        </w:tc>
        <w:tc>
          <w:tcPr>
            <w:tcW w:w="2488" w:type="dxa"/>
            <w:gridSpan w:val="2"/>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相对密度（水=1）</w:t>
            </w:r>
          </w:p>
        </w:tc>
        <w:tc>
          <w:tcPr>
            <w:tcW w:w="1031"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tcBorders>
              <w:tl2br w:val="nil"/>
              <w:tr2bl w:val="nil"/>
            </w:tcBorders>
            <w:noWrap w:val="0"/>
            <w:vAlign w:val="center"/>
          </w:tcPr>
          <w:p>
            <w:pPr>
              <w:widowControl w:val="0"/>
              <w:suppressAutoHyphens/>
              <w:wordWrap w:val="0"/>
              <w:topLinePunct/>
              <w:spacing w:line="240" w:lineRule="auto"/>
              <w:ind w:firstLine="0" w:firstLineChars="0"/>
              <w:jc w:val="center"/>
              <w:rPr>
                <w:b/>
                <w:color w:val="000000"/>
                <w:kern w:val="0"/>
                <w:sz w:val="21"/>
                <w:szCs w:val="21"/>
              </w:rPr>
            </w:pPr>
          </w:p>
        </w:tc>
        <w:tc>
          <w:tcPr>
            <w:tcW w:w="1757"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沸点（</w:t>
            </w:r>
            <w:r>
              <w:rPr>
                <w:rFonts w:hint="eastAsia" w:ascii="宋体" w:hAnsi="宋体" w:cs="宋体"/>
                <w:bCs/>
                <w:color w:val="000000"/>
                <w:kern w:val="0"/>
                <w:sz w:val="21"/>
                <w:szCs w:val="21"/>
              </w:rPr>
              <w:t>℃</w:t>
            </w:r>
            <w:r>
              <w:rPr>
                <w:bCs/>
                <w:color w:val="000000"/>
                <w:kern w:val="0"/>
                <w:sz w:val="21"/>
                <w:szCs w:val="21"/>
              </w:rPr>
              <w:t>）</w:t>
            </w:r>
          </w:p>
        </w:tc>
        <w:tc>
          <w:tcPr>
            <w:tcW w:w="2489" w:type="dxa"/>
            <w:gridSpan w:val="2"/>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125</w:t>
            </w:r>
          </w:p>
        </w:tc>
        <w:tc>
          <w:tcPr>
            <w:tcW w:w="2488" w:type="dxa"/>
            <w:gridSpan w:val="2"/>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饱和蒸气压（kPa）</w:t>
            </w:r>
          </w:p>
        </w:tc>
        <w:tc>
          <w:tcPr>
            <w:tcW w:w="1031"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tcBorders>
              <w:tl2br w:val="nil"/>
              <w:tr2bl w:val="nil"/>
            </w:tcBorders>
            <w:noWrap w:val="0"/>
            <w:vAlign w:val="center"/>
          </w:tcPr>
          <w:p>
            <w:pPr>
              <w:widowControl w:val="0"/>
              <w:suppressAutoHyphens/>
              <w:wordWrap w:val="0"/>
              <w:topLinePunct/>
              <w:spacing w:line="240" w:lineRule="auto"/>
              <w:ind w:firstLine="0" w:firstLineChars="0"/>
              <w:jc w:val="center"/>
              <w:rPr>
                <w:b/>
                <w:color w:val="000000"/>
                <w:kern w:val="0"/>
                <w:sz w:val="21"/>
                <w:szCs w:val="21"/>
              </w:rPr>
            </w:pPr>
          </w:p>
        </w:tc>
        <w:tc>
          <w:tcPr>
            <w:tcW w:w="1757"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溶解性</w:t>
            </w:r>
          </w:p>
        </w:tc>
        <w:tc>
          <w:tcPr>
            <w:tcW w:w="6008" w:type="dxa"/>
            <w:gridSpan w:val="5"/>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不溶于苯，易溶于水、乙醇、丙酮、乙醚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5" w:hRule="atLeast"/>
          <w:jc w:val="center"/>
        </w:trPr>
        <w:tc>
          <w:tcPr>
            <w:tcW w:w="729" w:type="dxa"/>
            <w:vMerge w:val="restart"/>
            <w:tcBorders>
              <w:tl2br w:val="nil"/>
              <w:tr2bl w:val="nil"/>
            </w:tcBorders>
            <w:noWrap w:val="0"/>
            <w:vAlign w:val="center"/>
          </w:tcPr>
          <w:p>
            <w:pPr>
              <w:widowControl w:val="0"/>
              <w:suppressAutoHyphens/>
              <w:wordWrap w:val="0"/>
              <w:topLinePunct/>
              <w:spacing w:line="240" w:lineRule="auto"/>
              <w:ind w:firstLine="0" w:firstLineChars="0"/>
              <w:jc w:val="center"/>
              <w:rPr>
                <w:b/>
                <w:color w:val="000000"/>
                <w:kern w:val="0"/>
                <w:sz w:val="21"/>
                <w:szCs w:val="21"/>
              </w:rPr>
            </w:pPr>
            <w:r>
              <w:rPr>
                <w:b/>
                <w:color w:val="000000"/>
                <w:kern w:val="0"/>
                <w:sz w:val="21"/>
                <w:szCs w:val="21"/>
              </w:rPr>
              <w:t>毒性及健康危害</w:t>
            </w:r>
          </w:p>
        </w:tc>
        <w:tc>
          <w:tcPr>
            <w:tcW w:w="1757"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侵入途径</w:t>
            </w:r>
          </w:p>
        </w:tc>
        <w:tc>
          <w:tcPr>
            <w:tcW w:w="6008" w:type="dxa"/>
            <w:gridSpan w:val="5"/>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吸入、食入、经皮吸收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tcBorders>
              <w:tl2br w:val="nil"/>
              <w:tr2bl w:val="nil"/>
            </w:tcBorders>
            <w:noWrap w:val="0"/>
            <w:vAlign w:val="center"/>
          </w:tcPr>
          <w:p>
            <w:pPr>
              <w:widowControl w:val="0"/>
              <w:suppressAutoHyphens/>
              <w:wordWrap w:val="0"/>
              <w:topLinePunct/>
              <w:spacing w:line="240" w:lineRule="auto"/>
              <w:ind w:firstLine="0" w:firstLineChars="0"/>
              <w:jc w:val="center"/>
              <w:rPr>
                <w:b/>
                <w:color w:val="000000"/>
                <w:kern w:val="0"/>
                <w:sz w:val="21"/>
                <w:szCs w:val="21"/>
              </w:rPr>
            </w:pPr>
          </w:p>
        </w:tc>
        <w:tc>
          <w:tcPr>
            <w:tcW w:w="1757"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毒性</w:t>
            </w:r>
          </w:p>
        </w:tc>
        <w:tc>
          <w:tcPr>
            <w:tcW w:w="6008" w:type="dxa"/>
            <w:gridSpan w:val="5"/>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LD</w:t>
            </w:r>
            <w:r>
              <w:rPr>
                <w:bCs/>
                <w:color w:val="000000"/>
                <w:kern w:val="0"/>
                <w:sz w:val="21"/>
                <w:szCs w:val="21"/>
                <w:vertAlign w:val="subscript"/>
              </w:rPr>
              <w:t>50</w:t>
            </w:r>
            <w:r>
              <w:rPr>
                <w:bCs/>
                <w:color w:val="000000"/>
                <w:kern w:val="0"/>
                <w:sz w:val="21"/>
                <w:szCs w:val="21"/>
              </w:rPr>
              <w:t>:150~180mg/kg（大鼠经口）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729" w:type="dxa"/>
            <w:vMerge w:val="continue"/>
            <w:tcBorders>
              <w:tl2br w:val="nil"/>
              <w:tr2bl w:val="nil"/>
            </w:tcBorders>
            <w:noWrap w:val="0"/>
            <w:vAlign w:val="center"/>
          </w:tcPr>
          <w:p>
            <w:pPr>
              <w:widowControl w:val="0"/>
              <w:suppressAutoHyphens/>
              <w:wordWrap w:val="0"/>
              <w:topLinePunct/>
              <w:spacing w:line="240" w:lineRule="auto"/>
              <w:ind w:firstLine="0" w:firstLineChars="0"/>
              <w:jc w:val="center"/>
              <w:rPr>
                <w:b/>
                <w:color w:val="000000"/>
                <w:kern w:val="0"/>
                <w:sz w:val="21"/>
                <w:szCs w:val="21"/>
              </w:rPr>
            </w:pPr>
          </w:p>
        </w:tc>
        <w:tc>
          <w:tcPr>
            <w:tcW w:w="1757"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健康危害</w:t>
            </w:r>
          </w:p>
        </w:tc>
        <w:tc>
          <w:tcPr>
            <w:tcW w:w="6008" w:type="dxa"/>
            <w:gridSpan w:val="5"/>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本品是一种蓄积性的神经毒物，主要损害神经系统</w:t>
            </w:r>
            <w:r>
              <w:rPr>
                <w:rFonts w:hint="eastAsia"/>
                <w:bCs/>
                <w:color w:val="000000"/>
                <w:kern w:val="0"/>
                <w:sz w:val="21"/>
                <w:szCs w:val="21"/>
              </w:rPr>
              <w:t>，</w:t>
            </w:r>
            <w:r>
              <w:rPr>
                <w:bCs/>
                <w:color w:val="000000"/>
                <w:kern w:val="0"/>
                <w:sz w:val="21"/>
                <w:szCs w:val="21"/>
              </w:rPr>
              <w:t>轻度中毒以周围神经损害为主；重度可引起小脑病变。中毒多为慢性经过，初起为神经衰弱综合征</w:t>
            </w:r>
            <w:r>
              <w:rPr>
                <w:rFonts w:hint="eastAsia"/>
                <w:bCs/>
                <w:color w:val="000000"/>
                <w:kern w:val="0"/>
                <w:sz w:val="21"/>
                <w:szCs w:val="21"/>
              </w:rPr>
              <w:t>，</w:t>
            </w:r>
            <w:r>
              <w:rPr>
                <w:bCs/>
                <w:color w:val="000000"/>
                <w:kern w:val="0"/>
                <w:sz w:val="21"/>
                <w:szCs w:val="21"/>
              </w:rPr>
              <w:t>继之发生周围神经病</w:t>
            </w:r>
            <w:r>
              <w:rPr>
                <w:rFonts w:hint="eastAsia"/>
                <w:bCs/>
                <w:color w:val="000000"/>
                <w:kern w:val="0"/>
                <w:sz w:val="21"/>
                <w:szCs w:val="21"/>
              </w:rPr>
              <w:t>，</w:t>
            </w:r>
            <w:r>
              <w:rPr>
                <w:bCs/>
                <w:color w:val="000000"/>
                <w:kern w:val="0"/>
                <w:sz w:val="21"/>
                <w:szCs w:val="21"/>
              </w:rPr>
              <w:t>出现四肢麻木，感觉异常，腱反射减弱或消失，抽搐，瘫痪等</w:t>
            </w:r>
            <w:r>
              <w:rPr>
                <w:rFonts w:hint="eastAsia"/>
                <w:bCs/>
                <w:color w:val="000000"/>
                <w:kern w:val="0"/>
                <w:sz w:val="21"/>
                <w:szCs w:val="21"/>
              </w:rPr>
              <w:t>，</w:t>
            </w:r>
            <w:r>
              <w:rPr>
                <w:bCs/>
                <w:color w:val="000000"/>
                <w:kern w:val="0"/>
                <w:sz w:val="21"/>
                <w:szCs w:val="21"/>
              </w:rPr>
              <w:t>重度中毒出现以小脑病变为主的中毒性脑病</w:t>
            </w:r>
            <w:r>
              <w:rPr>
                <w:rFonts w:hint="eastAsia"/>
                <w:bCs/>
                <w:color w:val="000000"/>
                <w:kern w:val="0"/>
                <w:sz w:val="21"/>
                <w:szCs w:val="21"/>
              </w:rPr>
              <w:t>，</w:t>
            </w:r>
            <w:r>
              <w:rPr>
                <w:bCs/>
                <w:color w:val="000000"/>
                <w:kern w:val="0"/>
                <w:sz w:val="21"/>
                <w:szCs w:val="21"/>
              </w:rPr>
              <w:t>出现震颤、步态反紊乱、共济失调，甚至大小便失禁或小便潴留</w:t>
            </w:r>
            <w:r>
              <w:rPr>
                <w:rFonts w:hint="eastAsia"/>
                <w:bCs/>
                <w:color w:val="000000"/>
                <w:kern w:val="0"/>
                <w:sz w:val="21"/>
                <w:szCs w:val="21"/>
              </w:rPr>
              <w:t>，</w:t>
            </w:r>
            <w:r>
              <w:rPr>
                <w:bCs/>
                <w:color w:val="000000"/>
                <w:kern w:val="0"/>
                <w:sz w:val="21"/>
                <w:szCs w:val="21"/>
              </w:rPr>
              <w:t>皮肤接触本品，可发生粗糙、角化、脱屑</w:t>
            </w:r>
            <w:r>
              <w:rPr>
                <w:rFonts w:hint="eastAsia"/>
                <w:bCs/>
                <w:color w:val="000000"/>
                <w:kern w:val="0"/>
                <w:sz w:val="21"/>
                <w:szCs w:val="21"/>
              </w:rPr>
              <w:t>，</w:t>
            </w:r>
            <w:r>
              <w:rPr>
                <w:bCs/>
                <w:color w:val="000000"/>
                <w:kern w:val="0"/>
                <w:sz w:val="21"/>
                <w:szCs w:val="21"/>
              </w:rPr>
              <w:t>本品中毒主要因皮肤吸收引起</w:t>
            </w:r>
            <w:r>
              <w:rPr>
                <w:rFonts w:hint="eastAsia"/>
                <w:bCs/>
                <w:color w:val="000000"/>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729" w:type="dxa"/>
            <w:vMerge w:val="continue"/>
            <w:tcBorders>
              <w:tl2br w:val="nil"/>
              <w:tr2bl w:val="nil"/>
            </w:tcBorders>
            <w:noWrap w:val="0"/>
            <w:vAlign w:val="center"/>
          </w:tcPr>
          <w:p>
            <w:pPr>
              <w:widowControl w:val="0"/>
              <w:suppressAutoHyphens/>
              <w:wordWrap w:val="0"/>
              <w:topLinePunct/>
              <w:spacing w:line="240" w:lineRule="auto"/>
              <w:ind w:firstLine="0" w:firstLineChars="0"/>
              <w:jc w:val="center"/>
              <w:rPr>
                <w:b/>
                <w:color w:val="000000"/>
                <w:kern w:val="0"/>
                <w:sz w:val="21"/>
                <w:szCs w:val="21"/>
              </w:rPr>
            </w:pPr>
          </w:p>
        </w:tc>
        <w:tc>
          <w:tcPr>
            <w:tcW w:w="1757"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急救方法</w:t>
            </w:r>
          </w:p>
        </w:tc>
        <w:tc>
          <w:tcPr>
            <w:tcW w:w="6008" w:type="dxa"/>
            <w:gridSpan w:val="5"/>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rFonts w:hint="eastAsia" w:ascii="宋体" w:hAnsi="宋体" w:cs="宋体"/>
                <w:bCs/>
                <w:color w:val="000000"/>
                <w:kern w:val="0"/>
                <w:sz w:val="21"/>
                <w:szCs w:val="21"/>
              </w:rPr>
              <w:t>①</w:t>
            </w:r>
            <w:r>
              <w:rPr>
                <w:bCs/>
                <w:color w:val="000000"/>
                <w:kern w:val="0"/>
                <w:sz w:val="21"/>
                <w:szCs w:val="21"/>
              </w:rPr>
              <w:t>皮肤接触：脱去污染的衣着，用肥皂水和清水彻底冲洗皮肤。</w:t>
            </w:r>
            <w:r>
              <w:rPr>
                <w:rFonts w:hint="eastAsia" w:ascii="宋体" w:hAnsi="宋体" w:cs="宋体"/>
                <w:bCs/>
                <w:color w:val="000000"/>
                <w:kern w:val="0"/>
                <w:sz w:val="21"/>
                <w:szCs w:val="21"/>
              </w:rPr>
              <w:t>②</w:t>
            </w:r>
            <w:r>
              <w:rPr>
                <w:bCs/>
                <w:color w:val="000000"/>
                <w:kern w:val="0"/>
                <w:sz w:val="21"/>
                <w:szCs w:val="21"/>
              </w:rPr>
              <w:t>眼睛接触：提起眼睑，用流动清水或生理盐水冲洗</w:t>
            </w:r>
            <w:r>
              <w:rPr>
                <w:rFonts w:hint="eastAsia"/>
                <w:bCs/>
                <w:color w:val="000000"/>
                <w:kern w:val="0"/>
                <w:sz w:val="21"/>
                <w:szCs w:val="21"/>
              </w:rPr>
              <w:t>，</w:t>
            </w:r>
            <w:r>
              <w:rPr>
                <w:bCs/>
                <w:color w:val="000000"/>
                <w:kern w:val="0"/>
                <w:sz w:val="21"/>
                <w:szCs w:val="21"/>
              </w:rPr>
              <w:t>就医</w:t>
            </w:r>
            <w:r>
              <w:rPr>
                <w:rFonts w:hint="eastAsia"/>
                <w:bCs/>
                <w:color w:val="000000"/>
                <w:kern w:val="0"/>
                <w:sz w:val="21"/>
                <w:szCs w:val="21"/>
              </w:rPr>
              <w:t>；</w:t>
            </w:r>
            <w:r>
              <w:rPr>
                <w:rFonts w:hint="eastAsia" w:ascii="宋体" w:hAnsi="宋体" w:cs="宋体"/>
                <w:bCs/>
                <w:color w:val="000000"/>
                <w:kern w:val="0"/>
                <w:sz w:val="21"/>
                <w:szCs w:val="21"/>
              </w:rPr>
              <w:t>③</w:t>
            </w:r>
            <w:r>
              <w:rPr>
                <w:bCs/>
                <w:color w:val="000000"/>
                <w:kern w:val="0"/>
                <w:sz w:val="21"/>
                <w:szCs w:val="21"/>
              </w:rPr>
              <w:t>吸入：迅速脱离现场至空气新鲜处</w:t>
            </w:r>
            <w:r>
              <w:rPr>
                <w:rFonts w:hint="eastAsia"/>
                <w:bCs/>
                <w:color w:val="000000"/>
                <w:kern w:val="0"/>
                <w:sz w:val="21"/>
                <w:szCs w:val="21"/>
              </w:rPr>
              <w:t>，</w:t>
            </w:r>
            <w:r>
              <w:rPr>
                <w:bCs/>
                <w:color w:val="000000"/>
                <w:kern w:val="0"/>
                <w:sz w:val="21"/>
                <w:szCs w:val="21"/>
              </w:rPr>
              <w:t>保持呼吸道通畅</w:t>
            </w:r>
            <w:r>
              <w:rPr>
                <w:rFonts w:hint="eastAsia"/>
                <w:bCs/>
                <w:color w:val="000000"/>
                <w:kern w:val="0"/>
                <w:sz w:val="21"/>
                <w:szCs w:val="21"/>
              </w:rPr>
              <w:t>，</w:t>
            </w:r>
            <w:r>
              <w:rPr>
                <w:bCs/>
                <w:color w:val="000000"/>
                <w:kern w:val="0"/>
                <w:sz w:val="21"/>
                <w:szCs w:val="21"/>
              </w:rPr>
              <w:t>如呼吸困难，给输氧</w:t>
            </w:r>
            <w:r>
              <w:rPr>
                <w:rFonts w:hint="eastAsia"/>
                <w:bCs/>
                <w:color w:val="000000"/>
                <w:kern w:val="0"/>
                <w:sz w:val="21"/>
                <w:szCs w:val="21"/>
              </w:rPr>
              <w:t>，</w:t>
            </w:r>
            <w:r>
              <w:rPr>
                <w:bCs/>
                <w:color w:val="000000"/>
                <w:kern w:val="0"/>
                <w:sz w:val="21"/>
                <w:szCs w:val="21"/>
              </w:rPr>
              <w:t>如呼吸停止，立即进行人工呼吸</w:t>
            </w:r>
            <w:r>
              <w:rPr>
                <w:rFonts w:hint="eastAsia"/>
                <w:bCs/>
                <w:color w:val="000000"/>
                <w:kern w:val="0"/>
                <w:sz w:val="21"/>
                <w:szCs w:val="21"/>
              </w:rPr>
              <w:t>，</w:t>
            </w:r>
            <w:r>
              <w:rPr>
                <w:bCs/>
                <w:color w:val="000000"/>
                <w:kern w:val="0"/>
                <w:sz w:val="21"/>
                <w:szCs w:val="21"/>
              </w:rPr>
              <w:t>就医</w:t>
            </w:r>
            <w:r>
              <w:rPr>
                <w:rFonts w:hint="eastAsia"/>
                <w:bCs/>
                <w:color w:val="000000"/>
                <w:kern w:val="0"/>
                <w:sz w:val="21"/>
                <w:szCs w:val="21"/>
              </w:rPr>
              <w:t>；</w:t>
            </w:r>
            <w:r>
              <w:rPr>
                <w:rFonts w:hint="eastAsia" w:ascii="宋体" w:hAnsi="宋体" w:cs="宋体"/>
                <w:bCs/>
                <w:color w:val="000000"/>
                <w:kern w:val="0"/>
                <w:sz w:val="21"/>
                <w:szCs w:val="21"/>
              </w:rPr>
              <w:t>④</w:t>
            </w:r>
            <w:r>
              <w:rPr>
                <w:bCs/>
                <w:color w:val="000000"/>
                <w:kern w:val="0"/>
                <w:sz w:val="21"/>
                <w:szCs w:val="21"/>
              </w:rPr>
              <w:t>食入：饮足量温水，催吐</w:t>
            </w:r>
            <w:r>
              <w:rPr>
                <w:rFonts w:hint="eastAsia"/>
                <w:bCs/>
                <w:color w:val="000000"/>
                <w:kern w:val="0"/>
                <w:sz w:val="21"/>
                <w:szCs w:val="21"/>
              </w:rPr>
              <w:t>，</w:t>
            </w:r>
            <w:r>
              <w:rPr>
                <w:bCs/>
                <w:color w:val="000000"/>
                <w:kern w:val="0"/>
                <w:sz w:val="21"/>
                <w:szCs w:val="21"/>
              </w:rPr>
              <w:t>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5" w:hRule="atLeast"/>
          <w:jc w:val="center"/>
        </w:trPr>
        <w:tc>
          <w:tcPr>
            <w:tcW w:w="729" w:type="dxa"/>
            <w:vMerge w:val="restart"/>
            <w:tcBorders>
              <w:tl2br w:val="nil"/>
              <w:tr2bl w:val="nil"/>
            </w:tcBorders>
            <w:noWrap w:val="0"/>
            <w:vAlign w:val="center"/>
          </w:tcPr>
          <w:p>
            <w:pPr>
              <w:widowControl w:val="0"/>
              <w:suppressAutoHyphens/>
              <w:wordWrap w:val="0"/>
              <w:topLinePunct/>
              <w:spacing w:line="240" w:lineRule="auto"/>
              <w:ind w:firstLine="0" w:firstLineChars="0"/>
              <w:jc w:val="center"/>
              <w:rPr>
                <w:b/>
                <w:color w:val="000000"/>
                <w:kern w:val="0"/>
                <w:sz w:val="21"/>
                <w:szCs w:val="21"/>
              </w:rPr>
            </w:pPr>
            <w:r>
              <w:rPr>
                <w:b/>
                <w:color w:val="000000"/>
                <w:kern w:val="0"/>
                <w:sz w:val="21"/>
                <w:szCs w:val="21"/>
              </w:rPr>
              <w:t>燃烧爆炸危险特性</w:t>
            </w:r>
          </w:p>
        </w:tc>
        <w:tc>
          <w:tcPr>
            <w:tcW w:w="1757"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燃烧性</w:t>
            </w:r>
          </w:p>
        </w:tc>
        <w:tc>
          <w:tcPr>
            <w:tcW w:w="2489" w:type="dxa"/>
            <w:gridSpan w:val="2"/>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可燃</w:t>
            </w:r>
          </w:p>
        </w:tc>
        <w:tc>
          <w:tcPr>
            <w:tcW w:w="1243"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燃烧分解物</w:t>
            </w:r>
          </w:p>
        </w:tc>
        <w:tc>
          <w:tcPr>
            <w:tcW w:w="2276" w:type="dxa"/>
            <w:gridSpan w:val="2"/>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一氧化碳、二氧化碳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p>
        </w:tc>
        <w:tc>
          <w:tcPr>
            <w:tcW w:w="1757"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闪点（</w:t>
            </w:r>
            <w:r>
              <w:rPr>
                <w:rFonts w:hint="eastAsia" w:ascii="宋体" w:hAnsi="宋体" w:cs="宋体"/>
                <w:bCs/>
                <w:color w:val="000000"/>
                <w:kern w:val="0"/>
                <w:sz w:val="21"/>
                <w:szCs w:val="21"/>
              </w:rPr>
              <w:t>℃</w:t>
            </w:r>
            <w:r>
              <w:rPr>
                <w:bCs/>
                <w:color w:val="000000"/>
                <w:kern w:val="0"/>
                <w:sz w:val="21"/>
                <w:szCs w:val="21"/>
              </w:rPr>
              <w:t>）</w:t>
            </w:r>
          </w:p>
        </w:tc>
        <w:tc>
          <w:tcPr>
            <w:tcW w:w="2489" w:type="dxa"/>
            <w:gridSpan w:val="2"/>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w:t>
            </w:r>
          </w:p>
        </w:tc>
        <w:tc>
          <w:tcPr>
            <w:tcW w:w="1243"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爆炸上限</w:t>
            </w:r>
          </w:p>
        </w:tc>
        <w:tc>
          <w:tcPr>
            <w:tcW w:w="2276" w:type="dxa"/>
            <w:gridSpan w:val="2"/>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p>
        </w:tc>
        <w:tc>
          <w:tcPr>
            <w:tcW w:w="1757"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引燃温度（</w:t>
            </w:r>
            <w:r>
              <w:rPr>
                <w:rFonts w:hint="eastAsia" w:ascii="宋体" w:hAnsi="宋体" w:cs="宋体"/>
                <w:bCs/>
                <w:color w:val="000000"/>
                <w:kern w:val="0"/>
                <w:sz w:val="21"/>
                <w:szCs w:val="21"/>
              </w:rPr>
              <w:t>℃</w:t>
            </w:r>
            <w:r>
              <w:rPr>
                <w:bCs/>
                <w:color w:val="000000"/>
                <w:kern w:val="0"/>
                <w:sz w:val="21"/>
                <w:szCs w:val="21"/>
              </w:rPr>
              <w:t>）</w:t>
            </w:r>
          </w:p>
        </w:tc>
        <w:tc>
          <w:tcPr>
            <w:tcW w:w="2489" w:type="dxa"/>
            <w:gridSpan w:val="2"/>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w:t>
            </w:r>
          </w:p>
        </w:tc>
        <w:tc>
          <w:tcPr>
            <w:tcW w:w="1243"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爆炸下限</w:t>
            </w:r>
          </w:p>
        </w:tc>
        <w:tc>
          <w:tcPr>
            <w:tcW w:w="2276" w:type="dxa"/>
            <w:gridSpan w:val="2"/>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29" w:type="dxa"/>
            <w:vMerge w:val="continue"/>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p>
        </w:tc>
        <w:tc>
          <w:tcPr>
            <w:tcW w:w="1757"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危险特性</w:t>
            </w:r>
          </w:p>
        </w:tc>
        <w:tc>
          <w:tcPr>
            <w:tcW w:w="6008" w:type="dxa"/>
            <w:gridSpan w:val="5"/>
            <w:tcBorders>
              <w:tl2br w:val="nil"/>
              <w:tr2bl w:val="nil"/>
            </w:tcBorders>
            <w:noWrap w:val="0"/>
            <w:vAlign w:val="center"/>
          </w:tcPr>
          <w:p>
            <w:pPr>
              <w:widowControl w:val="0"/>
              <w:suppressAutoHyphens/>
              <w:wordWrap w:val="0"/>
              <w:topLinePunct/>
              <w:spacing w:line="240" w:lineRule="auto"/>
              <w:ind w:firstLine="0" w:firstLineChars="0"/>
              <w:rPr>
                <w:bCs/>
                <w:color w:val="000000"/>
                <w:kern w:val="0"/>
                <w:sz w:val="21"/>
                <w:szCs w:val="21"/>
              </w:rPr>
            </w:pPr>
            <w:r>
              <w:rPr>
                <w:bCs/>
                <w:color w:val="000000"/>
                <w:kern w:val="0"/>
                <w:sz w:val="21"/>
                <w:szCs w:val="21"/>
              </w:rPr>
              <w:t>遇明火、高热可燃。若遇高热，可发生聚合反应，放出大量热量而引起容器破裂和爆炸事故。受高热分解产生有毒的腐蚀性烟气。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96" w:hRule="atLeast"/>
          <w:jc w:val="center"/>
        </w:trPr>
        <w:tc>
          <w:tcPr>
            <w:tcW w:w="729" w:type="dxa"/>
            <w:vMerge w:val="continue"/>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p>
        </w:tc>
        <w:tc>
          <w:tcPr>
            <w:tcW w:w="1757"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建规火险分级</w:t>
            </w:r>
          </w:p>
        </w:tc>
        <w:tc>
          <w:tcPr>
            <w:tcW w:w="1243"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丙</w:t>
            </w:r>
          </w:p>
        </w:tc>
        <w:tc>
          <w:tcPr>
            <w:tcW w:w="1246"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稳定性</w:t>
            </w:r>
          </w:p>
        </w:tc>
        <w:tc>
          <w:tcPr>
            <w:tcW w:w="1243"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稳定</w:t>
            </w:r>
          </w:p>
        </w:tc>
        <w:tc>
          <w:tcPr>
            <w:tcW w:w="1245"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聚合危害</w:t>
            </w:r>
          </w:p>
        </w:tc>
        <w:tc>
          <w:tcPr>
            <w:tcW w:w="1031"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729" w:type="dxa"/>
            <w:vMerge w:val="continue"/>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p>
        </w:tc>
        <w:tc>
          <w:tcPr>
            <w:tcW w:w="1757"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禁忌物</w:t>
            </w:r>
          </w:p>
        </w:tc>
        <w:tc>
          <w:tcPr>
            <w:tcW w:w="6008" w:type="dxa"/>
            <w:gridSpan w:val="5"/>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强氧化剂、酸类、碱类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29" w:type="dxa"/>
            <w:vMerge w:val="continue"/>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p>
        </w:tc>
        <w:tc>
          <w:tcPr>
            <w:tcW w:w="1757" w:type="dxa"/>
            <w:tcBorders>
              <w:tl2br w:val="nil"/>
              <w:tr2bl w:val="nil"/>
            </w:tcBorders>
            <w:noWrap w:val="0"/>
            <w:vAlign w:val="center"/>
          </w:tcPr>
          <w:p>
            <w:pPr>
              <w:widowControl w:val="0"/>
              <w:suppressAutoHyphens/>
              <w:wordWrap w:val="0"/>
              <w:topLinePunct/>
              <w:spacing w:line="240" w:lineRule="auto"/>
              <w:ind w:firstLine="0" w:firstLineChars="0"/>
              <w:jc w:val="center"/>
              <w:rPr>
                <w:bCs/>
                <w:color w:val="000000"/>
                <w:kern w:val="0"/>
                <w:sz w:val="21"/>
                <w:szCs w:val="21"/>
              </w:rPr>
            </w:pPr>
            <w:r>
              <w:rPr>
                <w:bCs/>
                <w:color w:val="000000"/>
                <w:kern w:val="0"/>
                <w:sz w:val="21"/>
                <w:szCs w:val="21"/>
              </w:rPr>
              <w:t>泄漏处理</w:t>
            </w:r>
          </w:p>
        </w:tc>
        <w:tc>
          <w:tcPr>
            <w:tcW w:w="6008" w:type="dxa"/>
            <w:gridSpan w:val="5"/>
            <w:tcBorders>
              <w:tl2br w:val="nil"/>
              <w:tr2bl w:val="nil"/>
            </w:tcBorders>
            <w:noWrap w:val="0"/>
            <w:vAlign w:val="center"/>
          </w:tcPr>
          <w:p>
            <w:pPr>
              <w:widowControl w:val="0"/>
              <w:suppressAutoHyphens/>
              <w:wordWrap w:val="0"/>
              <w:topLinePunct/>
              <w:spacing w:line="240" w:lineRule="auto"/>
              <w:ind w:firstLine="0" w:firstLineChars="0"/>
              <w:rPr>
                <w:bCs/>
                <w:color w:val="000000"/>
                <w:kern w:val="0"/>
                <w:sz w:val="21"/>
                <w:szCs w:val="21"/>
              </w:rPr>
            </w:pPr>
            <w:r>
              <w:rPr>
                <w:bCs/>
                <w:color w:val="000000"/>
                <w:kern w:val="0"/>
                <w:sz w:val="21"/>
                <w:szCs w:val="21"/>
              </w:rPr>
              <w:t>隔离泄漏污染区，限制出入</w:t>
            </w:r>
            <w:r>
              <w:rPr>
                <w:rFonts w:hint="eastAsia"/>
                <w:bCs/>
                <w:color w:val="000000"/>
                <w:kern w:val="0"/>
                <w:sz w:val="21"/>
                <w:szCs w:val="21"/>
              </w:rPr>
              <w:t>、</w:t>
            </w:r>
            <w:r>
              <w:rPr>
                <w:bCs/>
                <w:color w:val="000000"/>
                <w:kern w:val="0"/>
                <w:sz w:val="21"/>
                <w:szCs w:val="21"/>
              </w:rPr>
              <w:t>切断火源</w:t>
            </w:r>
            <w:r>
              <w:rPr>
                <w:rFonts w:hint="eastAsia"/>
                <w:bCs/>
                <w:color w:val="000000"/>
                <w:kern w:val="0"/>
                <w:sz w:val="21"/>
                <w:szCs w:val="21"/>
              </w:rPr>
              <w:t>，</w:t>
            </w:r>
            <w:r>
              <w:rPr>
                <w:bCs/>
                <w:color w:val="000000"/>
                <w:kern w:val="0"/>
                <w:sz w:val="21"/>
                <w:szCs w:val="21"/>
              </w:rPr>
              <w:t>建议应急处理人员戴防尘面具（全面罩），穿防毒服</w:t>
            </w:r>
            <w:r>
              <w:rPr>
                <w:rFonts w:hint="eastAsia"/>
                <w:bCs/>
                <w:color w:val="000000"/>
                <w:kern w:val="0"/>
                <w:sz w:val="21"/>
                <w:szCs w:val="21"/>
              </w:rPr>
              <w:t>，</w:t>
            </w:r>
            <w:r>
              <w:rPr>
                <w:bCs/>
                <w:color w:val="000000"/>
                <w:kern w:val="0"/>
                <w:sz w:val="21"/>
                <w:szCs w:val="21"/>
              </w:rPr>
              <w:t>不要直接接触泄漏物。小量泄漏：避免扬尘，用洁净的铲子收集于干燥、洁净、有盖的容器中</w:t>
            </w:r>
            <w:r>
              <w:rPr>
                <w:rFonts w:hint="eastAsia"/>
                <w:bCs/>
                <w:color w:val="000000"/>
                <w:kern w:val="0"/>
                <w:sz w:val="21"/>
                <w:szCs w:val="21"/>
              </w:rPr>
              <w:t>；</w:t>
            </w:r>
            <w:r>
              <w:rPr>
                <w:bCs/>
                <w:color w:val="000000"/>
                <w:kern w:val="0"/>
                <w:sz w:val="21"/>
                <w:szCs w:val="21"/>
              </w:rPr>
              <w:t>也可以用大量水冲洗，洗水稀释后放入废水系统。大量泄漏：收集回收或运至废物处理场所处置。</w:t>
            </w:r>
          </w:p>
        </w:tc>
      </w:tr>
    </w:tbl>
    <w:p>
      <w:pPr>
        <w:autoSpaceDE w:val="0"/>
        <w:autoSpaceDN w:val="0"/>
        <w:adjustRightInd w:val="0"/>
        <w:ind w:firstLine="480"/>
        <w:textAlignment w:val="baseline"/>
        <w:rPr>
          <w:rFonts w:hint="eastAsia"/>
          <w:color w:val="000000"/>
          <w:kern w:val="0"/>
          <w:szCs w:val="21"/>
        </w:rPr>
      </w:pPr>
      <w:r>
        <w:rPr>
          <w:rFonts w:hint="eastAsia"/>
          <w:b/>
          <w:bCs/>
          <w:color w:val="000000"/>
          <w:kern w:val="0"/>
          <w:szCs w:val="21"/>
        </w:rPr>
        <w:t>盐酸：</w:t>
      </w:r>
      <w:r>
        <w:rPr>
          <w:rFonts w:hint="eastAsia"/>
          <w:color w:val="000000"/>
          <w:kern w:val="0"/>
          <w:szCs w:val="21"/>
        </w:rPr>
        <w:t>1.性状：无色液体。2.密度（g/mL 25ºC）：1.20。相对蒸汽密度3.4（g/mL,空气=1）：1.26。4.熔点（ºC常压）-144.8：未确定5.沸点（ºC，常压）：108.6，急性毒性指标900mg/kg（兔经口）类别3。具有腐蚀性，易挥发。</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b/>
          <w:bCs/>
          <w:color w:val="000000"/>
          <w:kern w:val="0"/>
        </w:rPr>
        <w:t>片碱：</w:t>
      </w:r>
      <w:r>
        <w:rPr>
          <w:rFonts w:hint="eastAsia" w:ascii="Times New Roman" w:hAnsi="Times New Roman" w:eastAsia="宋体" w:cs="Times New Roman"/>
          <w:color w:val="000000"/>
          <w:kern w:val="0"/>
        </w:rPr>
        <w:t>白色不透明固体，易潮解。熔点318.4℃，相对密度2.12，沸点1390℃。有强烈刺激和腐蚀性。粉尘或烟雾刺激眼和呼吸道，腐蚀鼻中隔；皮肤和眼直接接触可引起灼伤；误服可造成消化道灼伤，粘膜糜烂、出血和休克。与酸发生中和反应并放热。遇潮时对铝、锌和锡有腐蚀性，并放出易燃易爆的氢气。本品不会燃烧，遇水和水蒸气大量放热, 形成腐蚀性溶液。具有腐蚀性。</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b/>
          <w:bCs/>
          <w:color w:val="000000"/>
          <w:kern w:val="0"/>
        </w:rPr>
        <w:t>重金属捕捉剂：</w:t>
      </w:r>
      <w:r>
        <w:rPr>
          <w:rFonts w:hint="eastAsia" w:ascii="Times New Roman" w:hAnsi="Times New Roman" w:eastAsia="宋体" w:cs="Times New Roman"/>
          <w:color w:val="000000"/>
          <w:kern w:val="0"/>
        </w:rPr>
        <w:t>采用投加重金属捕捉药剂处理重金属废水，其具有重金属去除率高、共存金属离子不存在干扰、沉淀物稳定性好等优点。该类捕捉剂是一种与重金属离子强力螯合的化工药剂，因能在常温和很宽的pH值条件范围内，与废水中的Cu</w:t>
      </w:r>
      <w:r>
        <w:rPr>
          <w:rFonts w:hint="eastAsia" w:ascii="Times New Roman" w:hAnsi="Times New Roman" w:eastAsia="宋体" w:cs="Times New Roman"/>
          <w:color w:val="000000"/>
          <w:kern w:val="0"/>
          <w:vertAlign w:val="superscript"/>
        </w:rPr>
        <w:t>2+</w:t>
      </w:r>
      <w:r>
        <w:rPr>
          <w:rFonts w:hint="eastAsia" w:ascii="Times New Roman" w:hAnsi="Times New Roman" w:eastAsia="宋体" w:cs="Times New Roman"/>
          <w:color w:val="000000"/>
          <w:kern w:val="0"/>
        </w:rPr>
        <w:t>、Cd</w:t>
      </w:r>
      <w:r>
        <w:rPr>
          <w:rFonts w:hint="eastAsia" w:ascii="Times New Roman" w:hAnsi="Times New Roman" w:eastAsia="宋体" w:cs="Times New Roman"/>
          <w:color w:val="000000"/>
          <w:kern w:val="0"/>
          <w:vertAlign w:val="superscript"/>
        </w:rPr>
        <w:t>2+</w:t>
      </w:r>
      <w:r>
        <w:rPr>
          <w:rFonts w:hint="eastAsia" w:ascii="Times New Roman" w:hAnsi="Times New Roman" w:eastAsia="宋体" w:cs="Times New Roman"/>
          <w:color w:val="000000"/>
          <w:kern w:val="0"/>
        </w:rPr>
        <w:t>、Hg</w:t>
      </w:r>
      <w:r>
        <w:rPr>
          <w:rFonts w:hint="eastAsia" w:ascii="Times New Roman" w:hAnsi="Times New Roman" w:eastAsia="宋体" w:cs="Times New Roman"/>
          <w:color w:val="000000"/>
          <w:kern w:val="0"/>
          <w:vertAlign w:val="superscript"/>
        </w:rPr>
        <w:t>2+</w:t>
      </w:r>
      <w:r>
        <w:rPr>
          <w:rFonts w:hint="eastAsia" w:ascii="Times New Roman" w:hAnsi="Times New Roman" w:eastAsia="宋体" w:cs="Times New Roman"/>
          <w:color w:val="000000"/>
          <w:kern w:val="0"/>
        </w:rPr>
        <w:t>、Pb</w:t>
      </w:r>
      <w:r>
        <w:rPr>
          <w:rFonts w:hint="eastAsia" w:ascii="Times New Roman" w:hAnsi="Times New Roman" w:eastAsia="宋体" w:cs="Times New Roman"/>
          <w:color w:val="000000"/>
          <w:kern w:val="0"/>
          <w:vertAlign w:val="superscript"/>
        </w:rPr>
        <w:t>2+</w:t>
      </w:r>
      <w:r>
        <w:rPr>
          <w:rFonts w:hint="eastAsia" w:ascii="Times New Roman" w:hAnsi="Times New Roman" w:eastAsia="宋体" w:cs="Times New Roman"/>
          <w:color w:val="000000"/>
          <w:kern w:val="0"/>
        </w:rPr>
        <w:t>、Mn</w:t>
      </w:r>
      <w:r>
        <w:rPr>
          <w:rFonts w:hint="eastAsia" w:ascii="Times New Roman" w:hAnsi="Times New Roman" w:eastAsia="宋体" w:cs="Times New Roman"/>
          <w:color w:val="000000"/>
          <w:kern w:val="0"/>
          <w:vertAlign w:val="superscript"/>
        </w:rPr>
        <w:t>2+</w:t>
      </w:r>
      <w:r>
        <w:rPr>
          <w:rFonts w:hint="eastAsia" w:ascii="Times New Roman" w:hAnsi="Times New Roman" w:eastAsia="宋体" w:cs="Times New Roman"/>
          <w:color w:val="000000"/>
          <w:kern w:val="0"/>
        </w:rPr>
        <w:t>、N</w:t>
      </w:r>
      <w:r>
        <w:rPr>
          <w:rFonts w:hint="eastAsia" w:ascii="Times New Roman" w:hAnsi="Times New Roman" w:eastAsia="宋体" w:cs="Times New Roman"/>
          <w:color w:val="000000"/>
          <w:kern w:val="0"/>
          <w:vertAlign w:val="superscript"/>
        </w:rPr>
        <w:t>i2+</w:t>
      </w:r>
      <w:r>
        <w:rPr>
          <w:rFonts w:hint="eastAsia" w:ascii="Times New Roman" w:hAnsi="Times New Roman" w:eastAsia="宋体" w:cs="Times New Roman"/>
          <w:color w:val="000000"/>
          <w:kern w:val="0"/>
        </w:rPr>
        <w:t>、Zn</w:t>
      </w:r>
      <w:r>
        <w:rPr>
          <w:rFonts w:hint="eastAsia" w:ascii="Times New Roman" w:hAnsi="Times New Roman" w:eastAsia="宋体" w:cs="Times New Roman"/>
          <w:color w:val="000000"/>
          <w:kern w:val="0"/>
          <w:vertAlign w:val="superscript"/>
        </w:rPr>
        <w:t>2+</w:t>
      </w:r>
      <w:r>
        <w:rPr>
          <w:rFonts w:hint="eastAsia" w:ascii="Times New Roman" w:hAnsi="Times New Roman" w:eastAsia="宋体" w:cs="Times New Roman"/>
          <w:color w:val="000000"/>
          <w:kern w:val="0"/>
        </w:rPr>
        <w:t>、Cr</w:t>
      </w:r>
      <w:r>
        <w:rPr>
          <w:rFonts w:hint="eastAsia" w:ascii="Times New Roman" w:hAnsi="Times New Roman" w:eastAsia="宋体" w:cs="Times New Roman"/>
          <w:color w:val="000000"/>
          <w:kern w:val="0"/>
          <w:vertAlign w:val="superscript"/>
        </w:rPr>
        <w:t>3+</w:t>
      </w:r>
      <w:r>
        <w:rPr>
          <w:rFonts w:hint="eastAsia" w:ascii="Times New Roman" w:hAnsi="Times New Roman" w:eastAsia="宋体" w:cs="Times New Roman"/>
          <w:color w:val="000000"/>
          <w:kern w:val="0"/>
        </w:rPr>
        <w:t>等各种重金属离子进行化学反应，并在短时间内迅速生成不溶性、低含水量、容易过滤去除的絮状沉淀，从而达到从污水中去除重金属离子的化学品。</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（3）电量消耗</w:t>
      </w:r>
    </w:p>
    <w:p>
      <w:pPr>
        <w:autoSpaceDE w:val="0"/>
        <w:autoSpaceDN w:val="0"/>
        <w:adjustRightInd w:val="0"/>
        <w:ind w:firstLine="600" w:firstLineChars="250"/>
        <w:textAlignment w:val="baseline"/>
        <w:rPr>
          <w:rFonts w:hint="eastAsia"/>
          <w:color w:val="000000"/>
          <w:kern w:val="0"/>
        </w:rPr>
      </w:pPr>
      <w:r>
        <w:rPr>
          <w:rFonts w:hint="eastAsia"/>
          <w:color w:val="000000"/>
          <w:kern w:val="0"/>
        </w:rPr>
        <w:t>电量消耗为本项目主要能量消耗，</w:t>
      </w:r>
      <w:r>
        <w:rPr>
          <w:rFonts w:hint="eastAsia"/>
          <w:color w:val="auto"/>
          <w:kern w:val="0"/>
        </w:rPr>
        <w:t>年消耗量约为</w:t>
      </w:r>
      <w:r>
        <w:rPr>
          <w:color w:val="auto"/>
          <w:kern w:val="0"/>
        </w:rPr>
        <w:t>395.78</w:t>
      </w:r>
      <w:r>
        <w:rPr>
          <w:rFonts w:hint="eastAsia"/>
          <w:color w:val="auto"/>
          <w:kern w:val="0"/>
        </w:rPr>
        <w:t>万KW·h/a，</w:t>
      </w:r>
      <w:r>
        <w:rPr>
          <w:rFonts w:hint="eastAsia"/>
          <w:color w:val="000000"/>
          <w:kern w:val="0"/>
        </w:rPr>
        <w:t>主要耗电设备为水泵、风机等。</w:t>
      </w:r>
    </w:p>
    <w:p>
      <w:pPr>
        <w:pStyle w:val="8"/>
        <w:spacing w:before="120"/>
        <w:rPr>
          <w:rFonts w:hint="eastAsia"/>
          <w:color w:val="auto"/>
        </w:rPr>
      </w:pPr>
      <w:r>
        <w:rPr>
          <w:color w:val="auto"/>
        </w:rPr>
        <w:t>2</w:t>
      </w:r>
      <w:r>
        <w:rPr>
          <w:rFonts w:hint="eastAsia"/>
          <w:color w:val="auto"/>
        </w:rPr>
        <w:t>.</w:t>
      </w:r>
      <w:r>
        <w:rPr>
          <w:color w:val="auto"/>
        </w:rPr>
        <w:t>2</w:t>
      </w:r>
      <w:r>
        <w:rPr>
          <w:rFonts w:hint="eastAsia"/>
          <w:color w:val="auto"/>
        </w:rPr>
        <w:t>.7  征地拆迁及土石方</w:t>
      </w:r>
    </w:p>
    <w:p>
      <w:pPr>
        <w:pStyle w:val="81"/>
        <w:rPr>
          <w:rFonts w:hint="eastAsia"/>
          <w:color w:val="auto"/>
        </w:rPr>
      </w:pPr>
      <w:r>
        <w:rPr>
          <w:color w:val="auto"/>
        </w:rPr>
        <w:t>2</w:t>
      </w:r>
      <w:r>
        <w:rPr>
          <w:rFonts w:hint="eastAsia"/>
          <w:color w:val="auto"/>
        </w:rPr>
        <w:t>.</w:t>
      </w:r>
      <w:r>
        <w:rPr>
          <w:color w:val="auto"/>
        </w:rPr>
        <w:t>2</w:t>
      </w:r>
      <w:r>
        <w:rPr>
          <w:rFonts w:hint="eastAsia"/>
          <w:color w:val="auto"/>
        </w:rPr>
        <w:t>.7.1项目占地及拆迁情况</w:t>
      </w:r>
    </w:p>
    <w:p>
      <w:pPr>
        <w:ind w:firstLine="480"/>
        <w:rPr>
          <w:color w:val="auto"/>
          <w:kern w:val="0"/>
        </w:rPr>
      </w:pPr>
      <w:r>
        <w:rPr>
          <w:rFonts w:hint="eastAsia"/>
          <w:color w:val="auto"/>
          <w:kern w:val="0"/>
          <w:szCs w:val="21"/>
          <w:lang w:eastAsia="zh-CN"/>
        </w:rPr>
        <w:t>项目已建设完成，未运营，根据项目用地意见项目用地属于二类工业用地，根据花垣产业开发区土地利用规划，项目规划用地属于污水处理厂建设用地。项目用地不涉及拆迁</w:t>
      </w:r>
      <w:r>
        <w:rPr>
          <w:rFonts w:hint="eastAsia"/>
          <w:color w:val="auto"/>
          <w:kern w:val="0"/>
        </w:rPr>
        <w:t>。</w:t>
      </w:r>
    </w:p>
    <w:p>
      <w:pPr>
        <w:pStyle w:val="81"/>
        <w:rPr>
          <w:rFonts w:hint="eastAsia"/>
          <w:color w:val="auto"/>
          <w:u w:val="none"/>
        </w:rPr>
      </w:pPr>
      <w:r>
        <w:rPr>
          <w:color w:val="auto"/>
          <w:u w:val="none"/>
        </w:rPr>
        <w:t>2</w:t>
      </w:r>
      <w:r>
        <w:rPr>
          <w:rFonts w:hint="eastAsia"/>
          <w:color w:val="auto"/>
          <w:u w:val="none"/>
        </w:rPr>
        <w:t>.</w:t>
      </w:r>
      <w:r>
        <w:rPr>
          <w:color w:val="auto"/>
          <w:u w:val="none"/>
        </w:rPr>
        <w:t>2</w:t>
      </w:r>
      <w:r>
        <w:rPr>
          <w:rFonts w:hint="eastAsia"/>
          <w:color w:val="auto"/>
          <w:u w:val="none"/>
        </w:rPr>
        <w:t>.7.2 项目土石方</w:t>
      </w:r>
    </w:p>
    <w:p>
      <w:pPr>
        <w:ind w:firstLine="480"/>
        <w:rPr>
          <w:rFonts w:hint="eastAsia" w:eastAsia="宋体"/>
          <w:color w:val="auto"/>
          <w:kern w:val="0"/>
          <w:szCs w:val="21"/>
          <w:u w:val="none"/>
          <w:lang w:eastAsia="zh-CN"/>
        </w:rPr>
      </w:pPr>
      <w:r>
        <w:rPr>
          <w:rFonts w:hint="eastAsia"/>
          <w:color w:val="auto"/>
          <w:kern w:val="0"/>
          <w:szCs w:val="21"/>
          <w:u w:val="none"/>
          <w:lang w:eastAsia="zh-CN"/>
        </w:rPr>
        <w:t>本项目施工期已完成，根据建设单位提供资料，对施工期土石方开挖量进行回顾性说明。</w:t>
      </w:r>
    </w:p>
    <w:p>
      <w:pPr>
        <w:pStyle w:val="16"/>
        <w:spacing w:before="55" w:line="338" w:lineRule="auto"/>
        <w:ind w:left="237" w:right="115"/>
        <w:jc w:val="left"/>
        <w:rPr>
          <w:color w:val="auto"/>
        </w:rPr>
      </w:pPr>
      <w:r>
        <w:rPr>
          <w:color w:val="auto"/>
        </w:rPr>
        <w:t xml:space="preserve"> </w:t>
      </w:r>
      <w:r>
        <w:rPr>
          <w:rFonts w:hint="eastAsia"/>
          <w:color w:val="auto"/>
          <w:lang w:eastAsia="zh-CN"/>
        </w:rPr>
        <w:t>项目土石方</w:t>
      </w:r>
      <w:r>
        <w:rPr>
          <w:color w:val="auto"/>
        </w:rPr>
        <w:t>统计</w:t>
      </w:r>
      <w:r>
        <w:rPr>
          <w:rFonts w:hint="eastAsia"/>
          <w:color w:val="auto"/>
          <w:lang w:eastAsia="zh-CN"/>
        </w:rPr>
        <w:t>根据项目施工图纸进行分析，</w:t>
      </w:r>
      <w:r>
        <w:rPr>
          <w:color w:val="auto"/>
        </w:rPr>
        <w:t>见下表</w:t>
      </w:r>
      <w:r>
        <w:rPr>
          <w:color w:val="auto"/>
          <w:spacing w:val="-61"/>
        </w:rPr>
        <w:t xml:space="preserve"> </w:t>
      </w:r>
      <w:r>
        <w:rPr>
          <w:rFonts w:hint="eastAsia" w:ascii="Times New Roman" w:hAnsi="Times New Roman" w:eastAsia="宋体" w:cs="Times New Roman"/>
          <w:color w:val="auto"/>
          <w:lang w:val="en-US" w:eastAsia="zh-CN"/>
        </w:rPr>
        <w:t>2</w:t>
      </w:r>
      <w:r>
        <w:rPr>
          <w:rFonts w:ascii="Times New Roman" w:hAnsi="Times New Roman" w:eastAsia="Times New Roman" w:cs="Times New Roman"/>
          <w:color w:val="auto"/>
        </w:rPr>
        <w:t>.</w:t>
      </w:r>
      <w:r>
        <w:rPr>
          <w:rFonts w:hint="eastAsia" w:ascii="Times New Roman" w:hAnsi="Times New Roman" w:eastAsia="宋体" w:cs="Times New Roman"/>
          <w:color w:val="auto"/>
          <w:lang w:val="en-US" w:eastAsia="zh-CN"/>
        </w:rPr>
        <w:t>2</w:t>
      </w:r>
      <w:r>
        <w:rPr>
          <w:rFonts w:ascii="Times New Roman" w:hAnsi="Times New Roman" w:eastAsia="Times New Roman" w:cs="Times New Roman"/>
          <w:color w:val="auto"/>
        </w:rPr>
        <w:t>-</w:t>
      </w:r>
      <w:r>
        <w:rPr>
          <w:rFonts w:hint="eastAsia" w:ascii="Times New Roman" w:hAnsi="Times New Roman" w:eastAsia="宋体" w:cs="Times New Roman"/>
          <w:color w:val="auto"/>
          <w:lang w:val="en-US" w:eastAsia="zh-CN"/>
        </w:rPr>
        <w:t>3</w:t>
      </w:r>
      <w:r>
        <w:rPr>
          <w:color w:val="auto"/>
        </w:rPr>
        <w:t>。</w:t>
      </w:r>
    </w:p>
    <w:p>
      <w:pPr>
        <w:pStyle w:val="98"/>
        <w:rPr>
          <w:rFonts w:hint="eastAsia"/>
          <w:color w:val="auto"/>
          <w:u w:val="none"/>
        </w:rPr>
      </w:pPr>
      <w:r>
        <w:rPr>
          <w:color w:val="auto"/>
          <w:u w:val="none"/>
        </w:rPr>
        <w:t>表</w:t>
      </w:r>
      <w:r>
        <w:rPr>
          <w:rFonts w:hint="eastAsia"/>
          <w:color w:val="auto"/>
          <w:u w:val="none"/>
          <w:lang w:val="en-US" w:eastAsia="zh-CN"/>
        </w:rPr>
        <w:t>2</w:t>
      </w:r>
      <w:r>
        <w:rPr>
          <w:color w:val="auto"/>
          <w:u w:val="none"/>
        </w:rPr>
        <w:t>.2-</w:t>
      </w:r>
      <w:r>
        <w:rPr>
          <w:rFonts w:hint="eastAsia"/>
          <w:color w:val="auto"/>
          <w:u w:val="none"/>
          <w:lang w:val="en-US" w:eastAsia="zh-CN"/>
        </w:rPr>
        <w:t>3</w:t>
      </w:r>
      <w:r>
        <w:rPr>
          <w:color w:val="auto"/>
          <w:u w:val="none"/>
        </w:rPr>
        <w:t xml:space="preserve">  项目土石方平衡估算一览表</w:t>
      </w:r>
    </w:p>
    <w:tbl>
      <w:tblPr>
        <w:tblStyle w:val="37"/>
        <w:tblW w:w="8517" w:type="dxa"/>
        <w:tblInd w:w="114" w:type="dxa"/>
        <w:tblLayout w:type="fixed"/>
        <w:tblCellMar>
          <w:top w:w="0" w:type="dxa"/>
          <w:left w:w="0" w:type="dxa"/>
          <w:bottom w:w="0" w:type="dxa"/>
          <w:right w:w="0" w:type="dxa"/>
        </w:tblCellMar>
      </w:tblPr>
      <w:tblGrid>
        <w:gridCol w:w="1808"/>
        <w:gridCol w:w="1527"/>
        <w:gridCol w:w="2595"/>
        <w:gridCol w:w="2587"/>
      </w:tblGrid>
      <w:tr>
        <w:tblPrEx>
          <w:tblCellMar>
            <w:top w:w="0" w:type="dxa"/>
            <w:left w:w="0" w:type="dxa"/>
            <w:bottom w:w="0" w:type="dxa"/>
            <w:right w:w="0" w:type="dxa"/>
          </w:tblCellMar>
        </w:tblPrEx>
        <w:trPr>
          <w:trHeight w:val="400" w:hRule="exact"/>
        </w:trPr>
        <w:tc>
          <w:tcPr>
            <w:tcW w:w="1808" w:type="dxa"/>
            <w:tcBorders>
              <w:top w:val="single" w:color="000000" w:sz="12" w:space="0"/>
              <w:left w:val="nil"/>
              <w:bottom w:val="single" w:color="000000" w:sz="4" w:space="0"/>
              <w:right w:val="single" w:color="000000"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eastAsia="zh-CN"/>
              </w:rPr>
              <w:t>工程内容</w:t>
            </w:r>
          </w:p>
        </w:tc>
        <w:tc>
          <w:tcPr>
            <w:tcW w:w="1527" w:type="dxa"/>
            <w:tcBorders>
              <w:top w:val="single" w:color="000000" w:sz="12"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挖方（m</w:t>
            </w:r>
            <w:r>
              <w:rPr>
                <w:rFonts w:hint="eastAsia" w:ascii="Times New Roman" w:hAnsi="Times New Roman" w:eastAsia="宋体" w:cs="Times New Roman"/>
                <w:color w:val="auto"/>
                <w:sz w:val="21"/>
                <w:szCs w:val="21"/>
                <w:u w:val="none"/>
                <w:vertAlign w:val="superscript"/>
              </w:rPr>
              <w:t>3</w:t>
            </w:r>
            <w:r>
              <w:rPr>
                <w:rFonts w:hint="eastAsia" w:ascii="Times New Roman" w:hAnsi="Times New Roman" w:eastAsia="宋体" w:cs="Times New Roman"/>
                <w:color w:val="auto"/>
                <w:sz w:val="21"/>
                <w:szCs w:val="21"/>
                <w:u w:val="none"/>
              </w:rPr>
              <w:t>）</w:t>
            </w:r>
          </w:p>
        </w:tc>
        <w:tc>
          <w:tcPr>
            <w:tcW w:w="2595" w:type="dxa"/>
            <w:tcBorders>
              <w:top w:val="single" w:color="000000" w:sz="12"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填方（m</w:t>
            </w:r>
            <w:r>
              <w:rPr>
                <w:rFonts w:hint="eastAsia" w:ascii="Times New Roman" w:hAnsi="Times New Roman" w:eastAsia="宋体" w:cs="Times New Roman"/>
                <w:color w:val="auto"/>
                <w:sz w:val="21"/>
                <w:szCs w:val="21"/>
                <w:u w:val="none"/>
                <w:vertAlign w:val="superscript"/>
              </w:rPr>
              <w:t>3</w:t>
            </w:r>
            <w:r>
              <w:rPr>
                <w:rFonts w:hint="eastAsia" w:ascii="Times New Roman" w:hAnsi="Times New Roman" w:eastAsia="宋体" w:cs="Times New Roman"/>
                <w:color w:val="auto"/>
                <w:sz w:val="21"/>
                <w:szCs w:val="21"/>
                <w:u w:val="none"/>
              </w:rPr>
              <w:t>）</w:t>
            </w:r>
          </w:p>
        </w:tc>
        <w:tc>
          <w:tcPr>
            <w:tcW w:w="2587" w:type="dxa"/>
            <w:tcBorders>
              <w:top w:val="single" w:color="000000" w:sz="12" w:space="0"/>
              <w:left w:val="single" w:color="000000" w:sz="4" w:space="0"/>
              <w:bottom w:val="single" w:color="000000" w:sz="4" w:space="0"/>
              <w:right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弃方（m</w:t>
            </w:r>
            <w:r>
              <w:rPr>
                <w:rFonts w:hint="eastAsia" w:ascii="Times New Roman" w:hAnsi="Times New Roman" w:eastAsia="宋体" w:cs="Times New Roman"/>
                <w:color w:val="auto"/>
                <w:sz w:val="21"/>
                <w:szCs w:val="21"/>
                <w:u w:val="none"/>
                <w:vertAlign w:val="superscript"/>
              </w:rPr>
              <w:t>3</w:t>
            </w:r>
            <w:r>
              <w:rPr>
                <w:rFonts w:hint="eastAsia" w:ascii="Times New Roman" w:hAnsi="Times New Roman" w:eastAsia="宋体" w:cs="Times New Roman"/>
                <w:color w:val="auto"/>
                <w:sz w:val="21"/>
                <w:szCs w:val="21"/>
                <w:u w:val="none"/>
              </w:rPr>
              <w:t>）</w:t>
            </w:r>
          </w:p>
        </w:tc>
      </w:tr>
      <w:tr>
        <w:trPr>
          <w:trHeight w:val="390" w:hRule="exact"/>
        </w:trPr>
        <w:tc>
          <w:tcPr>
            <w:tcW w:w="1808"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eastAsia="zh-CN"/>
              </w:rPr>
              <w:t>污水处理</w:t>
            </w:r>
            <w:r>
              <w:rPr>
                <w:rFonts w:hint="eastAsia" w:eastAsia="宋体" w:cs="Times New Roman"/>
                <w:color w:val="auto"/>
                <w:sz w:val="21"/>
                <w:szCs w:val="21"/>
                <w:u w:val="none"/>
                <w:lang w:eastAsia="zh-CN"/>
              </w:rPr>
              <w:t>站</w:t>
            </w:r>
            <w:r>
              <w:rPr>
                <w:rFonts w:hint="eastAsia" w:ascii="Times New Roman" w:hAnsi="Times New Roman" w:eastAsia="宋体" w:cs="Times New Roman"/>
                <w:color w:val="auto"/>
                <w:sz w:val="21"/>
                <w:szCs w:val="21"/>
                <w:u w:val="none"/>
                <w:lang w:eastAsia="zh-CN"/>
              </w:rPr>
              <w:t>工程</w:t>
            </w:r>
          </w:p>
        </w:tc>
        <w:tc>
          <w:tcPr>
            <w:tcW w:w="152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13509.16</w:t>
            </w:r>
          </w:p>
        </w:tc>
        <w:tc>
          <w:tcPr>
            <w:tcW w:w="259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787.60</w:t>
            </w:r>
          </w:p>
        </w:tc>
        <w:tc>
          <w:tcPr>
            <w:tcW w:w="2587" w:type="dxa"/>
            <w:tcBorders>
              <w:top w:val="single" w:color="000000" w:sz="4" w:space="0"/>
              <w:left w:val="single" w:color="000000" w:sz="4" w:space="0"/>
              <w:bottom w:val="single" w:color="000000" w:sz="4" w:space="0"/>
              <w:right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12721.56</w:t>
            </w:r>
          </w:p>
        </w:tc>
      </w:tr>
      <w:tr>
        <w:tblPrEx>
          <w:tblCellMar>
            <w:top w:w="0" w:type="dxa"/>
            <w:left w:w="0" w:type="dxa"/>
            <w:bottom w:w="0" w:type="dxa"/>
            <w:right w:w="0" w:type="dxa"/>
          </w:tblCellMar>
        </w:tblPrEx>
        <w:trPr>
          <w:trHeight w:val="390" w:hRule="exact"/>
        </w:trPr>
        <w:tc>
          <w:tcPr>
            <w:tcW w:w="1808" w:type="dxa"/>
            <w:tcBorders>
              <w:top w:val="single" w:color="000000" w:sz="4" w:space="0"/>
              <w:left w:val="nil"/>
              <w:bottom w:val="single" w:color="000000" w:sz="4" w:space="0"/>
              <w:right w:val="single" w:color="000000"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eastAsia="zh-CN"/>
              </w:rPr>
              <w:t>管道铺设</w:t>
            </w:r>
          </w:p>
        </w:tc>
        <w:tc>
          <w:tcPr>
            <w:tcW w:w="1527"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3535.96</w:t>
            </w:r>
          </w:p>
        </w:tc>
        <w:tc>
          <w:tcPr>
            <w:tcW w:w="2595"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3031.01</w:t>
            </w:r>
          </w:p>
        </w:tc>
        <w:tc>
          <w:tcPr>
            <w:tcW w:w="2587" w:type="dxa"/>
            <w:tcBorders>
              <w:top w:val="single" w:color="000000" w:sz="4" w:space="0"/>
              <w:left w:val="single" w:color="000000" w:sz="4" w:space="0"/>
              <w:bottom w:val="single" w:color="000000" w:sz="4" w:space="0"/>
              <w:right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504.95</w:t>
            </w:r>
          </w:p>
        </w:tc>
      </w:tr>
      <w:tr>
        <w:trPr>
          <w:trHeight w:val="400" w:hRule="exact"/>
        </w:trPr>
        <w:tc>
          <w:tcPr>
            <w:tcW w:w="1808" w:type="dxa"/>
            <w:tcBorders>
              <w:top w:val="single" w:color="000000" w:sz="4" w:space="0"/>
              <w:left w:val="nil"/>
              <w:bottom w:val="single" w:color="000000" w:sz="12" w:space="0"/>
              <w:right w:val="single" w:color="000000"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总计</w:t>
            </w:r>
          </w:p>
        </w:tc>
        <w:tc>
          <w:tcPr>
            <w:tcW w:w="1527" w:type="dxa"/>
            <w:tcBorders>
              <w:top w:val="single" w:color="000000" w:sz="4" w:space="0"/>
              <w:left w:val="single" w:color="000000" w:sz="4" w:space="0"/>
              <w:bottom w:val="single" w:color="000000" w:sz="12" w:space="0"/>
              <w:right w:val="single" w:color="000000"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31530.41</w:t>
            </w:r>
          </w:p>
        </w:tc>
        <w:tc>
          <w:tcPr>
            <w:tcW w:w="2595" w:type="dxa"/>
            <w:tcBorders>
              <w:top w:val="single" w:color="000000" w:sz="4" w:space="0"/>
              <w:left w:val="single" w:color="000000" w:sz="4" w:space="0"/>
              <w:bottom w:val="single" w:color="000000" w:sz="12" w:space="0"/>
              <w:right w:val="single" w:color="000000" w:sz="4" w:space="0"/>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5684.35</w:t>
            </w:r>
          </w:p>
        </w:tc>
        <w:tc>
          <w:tcPr>
            <w:tcW w:w="2587" w:type="dxa"/>
            <w:tcBorders>
              <w:top w:val="single" w:color="000000" w:sz="4" w:space="0"/>
              <w:left w:val="single" w:color="000000" w:sz="4" w:space="0"/>
              <w:bottom w:val="single" w:color="000000" w:sz="12" w:space="0"/>
              <w:right w:val="nil"/>
            </w:tcBorders>
            <w:noWrap w:val="0"/>
            <w:vAlign w:val="center"/>
          </w:tcPr>
          <w:p>
            <w:pPr>
              <w:spacing w:line="240" w:lineRule="auto"/>
              <w:ind w:firstLine="0" w:firstLineChars="0"/>
              <w:jc w:val="center"/>
              <w:rPr>
                <w:rFonts w:hint="eastAsia" w:ascii="Times New Roman" w:hAnsi="Times New Roman" w:eastAsia="宋体" w:cs="Times New Roman"/>
                <w:color w:val="auto"/>
                <w:sz w:val="21"/>
                <w:szCs w:val="21"/>
                <w:u w:val="none"/>
              </w:rPr>
            </w:pPr>
            <w:r>
              <w:rPr>
                <w:rFonts w:hint="eastAsia" w:ascii="Times New Roman" w:hAnsi="Times New Roman" w:eastAsia="宋体" w:cs="Times New Roman"/>
                <w:color w:val="auto"/>
                <w:sz w:val="21"/>
                <w:szCs w:val="21"/>
                <w:u w:val="none"/>
              </w:rPr>
              <w:t>25846.06</w:t>
            </w:r>
          </w:p>
        </w:tc>
      </w:tr>
    </w:tbl>
    <w:p>
      <w:pPr>
        <w:ind w:firstLine="480"/>
        <w:rPr>
          <w:rFonts w:hint="eastAsia" w:ascii="Times New Roman" w:hAnsi="Times New Roman" w:eastAsia="宋体" w:cs="Times New Roman"/>
          <w:color w:val="auto"/>
          <w:kern w:val="0"/>
          <w:szCs w:val="21"/>
          <w:u w:val="none"/>
          <w:lang w:eastAsia="zh-CN"/>
        </w:rPr>
      </w:pPr>
      <w:r>
        <w:rPr>
          <w:rFonts w:hint="eastAsia" w:ascii="Times New Roman" w:hAnsi="Times New Roman" w:eastAsia="宋体" w:cs="Times New Roman"/>
          <w:color w:val="auto"/>
          <w:kern w:val="0"/>
          <w:szCs w:val="21"/>
          <w:u w:val="none"/>
          <w:lang w:eastAsia="zh-CN"/>
        </w:rPr>
        <w:t>工程挖方少部分用于本工程基础回填，其余部分交由渣土管理部门处理，不单独设置弃土场。</w:t>
      </w:r>
    </w:p>
    <w:p>
      <w:pPr>
        <w:pStyle w:val="8"/>
        <w:spacing w:before="120"/>
      </w:pPr>
      <w:bookmarkStart w:id="197" w:name="_Toc29308657"/>
      <w:bookmarkStart w:id="198" w:name="_Toc90471721"/>
      <w:bookmarkStart w:id="199" w:name="_Toc90483703"/>
      <w:r>
        <w:t>2.2.8</w:t>
      </w:r>
      <w:r>
        <w:rPr>
          <w:rFonts w:hint="eastAsia"/>
        </w:rPr>
        <w:t>施工方案</w:t>
      </w:r>
      <w:bookmarkEnd w:id="197"/>
      <w:bookmarkEnd w:id="198"/>
      <w:bookmarkEnd w:id="199"/>
    </w:p>
    <w:p>
      <w:pPr>
        <w:ind w:firstLine="480"/>
        <w:rPr>
          <w:rFonts w:hint="eastAsia" w:ascii="Times New Roman" w:hAnsi="Times New Roman" w:eastAsia="宋体" w:cs="Times New Roman"/>
          <w:color w:val="000000"/>
          <w:kern w:val="0"/>
          <w:lang w:eastAsia="zh-CN"/>
        </w:rPr>
      </w:pPr>
      <w:r>
        <w:rPr>
          <w:rFonts w:hint="eastAsia" w:ascii="Times New Roman" w:hAnsi="Times New Roman" w:eastAsia="宋体" w:cs="Times New Roman"/>
          <w:color w:val="000000"/>
          <w:kern w:val="0"/>
          <w:lang w:eastAsia="zh-CN"/>
        </w:rPr>
        <w:t>项目建设内容包括污水处理</w:t>
      </w:r>
      <w:r>
        <w:rPr>
          <w:rFonts w:hint="eastAsia" w:eastAsia="宋体" w:cs="Times New Roman"/>
          <w:color w:val="000000"/>
          <w:kern w:val="0"/>
          <w:lang w:eastAsia="zh-CN"/>
        </w:rPr>
        <w:t>站</w:t>
      </w:r>
      <w:r>
        <w:rPr>
          <w:rFonts w:hint="eastAsia" w:ascii="Times New Roman" w:hAnsi="Times New Roman" w:eastAsia="宋体" w:cs="Times New Roman"/>
          <w:color w:val="000000"/>
          <w:kern w:val="0"/>
          <w:lang w:eastAsia="zh-CN"/>
        </w:rPr>
        <w:t>建设、配套管网建设，污水处理</w:t>
      </w:r>
      <w:r>
        <w:rPr>
          <w:rFonts w:hint="eastAsia" w:eastAsia="宋体" w:cs="Times New Roman"/>
          <w:color w:val="000000"/>
          <w:kern w:val="0"/>
          <w:lang w:eastAsia="zh-CN"/>
        </w:rPr>
        <w:t>站</w:t>
      </w:r>
      <w:r>
        <w:rPr>
          <w:rFonts w:hint="eastAsia" w:ascii="Times New Roman" w:hAnsi="Times New Roman" w:eastAsia="宋体" w:cs="Times New Roman"/>
          <w:color w:val="000000"/>
          <w:kern w:val="0"/>
          <w:lang w:eastAsia="zh-CN"/>
        </w:rPr>
        <w:t>规模为</w:t>
      </w:r>
      <w:r>
        <w:rPr>
          <w:rFonts w:hint="eastAsia" w:ascii="Times New Roman" w:hAnsi="Times New Roman" w:eastAsia="宋体" w:cs="Times New Roman"/>
          <w:color w:val="000000"/>
          <w:kern w:val="0"/>
          <w:lang w:val="en-US" w:eastAsia="zh-CN"/>
        </w:rPr>
        <w:t>3000</w:t>
      </w:r>
      <w:r>
        <w:rPr>
          <w:rFonts w:hint="eastAsia" w:ascii="Times New Roman" w:hAnsi="Times New Roman" w:eastAsia="宋体" w:cs="Times New Roman"/>
          <w:color w:val="000000"/>
          <w:kern w:val="0"/>
          <w:lang w:eastAsia="zh-CN"/>
        </w:rPr>
        <w:t>m</w:t>
      </w:r>
      <w:r>
        <w:rPr>
          <w:rFonts w:hint="eastAsia" w:ascii="Times New Roman" w:hAnsi="Times New Roman" w:eastAsia="宋体" w:cs="Times New Roman"/>
          <w:color w:val="000000"/>
          <w:kern w:val="0"/>
          <w:vertAlign w:val="superscript"/>
          <w:lang w:eastAsia="zh-CN"/>
        </w:rPr>
        <w:t>3</w:t>
      </w:r>
      <w:r>
        <w:rPr>
          <w:rFonts w:hint="eastAsia" w:ascii="Times New Roman" w:hAnsi="Times New Roman" w:eastAsia="宋体" w:cs="Times New Roman"/>
          <w:color w:val="000000"/>
          <w:kern w:val="0"/>
          <w:lang w:eastAsia="zh-CN"/>
        </w:rPr>
        <w:t>/d。项目开工时间为2017年5月，2019年12月底竣工，建设内容为污水处理</w:t>
      </w:r>
      <w:r>
        <w:rPr>
          <w:rFonts w:hint="eastAsia" w:eastAsia="宋体" w:cs="Times New Roman"/>
          <w:color w:val="000000"/>
          <w:kern w:val="0"/>
          <w:lang w:eastAsia="zh-CN"/>
        </w:rPr>
        <w:t>站</w:t>
      </w:r>
      <w:r>
        <w:rPr>
          <w:rFonts w:hint="eastAsia" w:ascii="Times New Roman" w:hAnsi="Times New Roman" w:eastAsia="宋体" w:cs="Times New Roman"/>
          <w:color w:val="000000"/>
          <w:kern w:val="0"/>
          <w:lang w:eastAsia="zh-CN"/>
        </w:rPr>
        <w:t>的土建工程和设备安装，污水处理</w:t>
      </w:r>
      <w:r>
        <w:rPr>
          <w:rFonts w:hint="eastAsia" w:eastAsia="宋体" w:cs="Times New Roman"/>
          <w:color w:val="000000"/>
          <w:kern w:val="0"/>
          <w:lang w:eastAsia="zh-CN"/>
        </w:rPr>
        <w:t>站</w:t>
      </w:r>
      <w:r>
        <w:rPr>
          <w:rFonts w:hint="eastAsia" w:ascii="Times New Roman" w:hAnsi="Times New Roman" w:eastAsia="宋体" w:cs="Times New Roman"/>
          <w:color w:val="000000"/>
          <w:kern w:val="0"/>
          <w:lang w:eastAsia="zh-CN"/>
        </w:rPr>
        <w:t>施工人员为20人。</w:t>
      </w:r>
    </w:p>
    <w:p>
      <w:pPr>
        <w:pStyle w:val="86"/>
        <w:spacing w:before="120" w:after="120"/>
        <w:rPr>
          <w:rFonts w:hint="eastAsia" w:ascii="Times New Roman" w:hAnsi="Times New Roman"/>
          <w:b/>
          <w:color w:val="000000"/>
          <w:kern w:val="0"/>
          <w:lang w:eastAsia="zh-CN"/>
        </w:rPr>
      </w:pPr>
      <w:bookmarkStart w:id="200" w:name="_Toc13728"/>
      <w:r>
        <w:rPr>
          <w:rFonts w:hint="eastAsia" w:ascii="Times New Roman" w:hAnsi="Times New Roman"/>
          <w:b/>
          <w:color w:val="000000"/>
          <w:kern w:val="0"/>
          <w:lang w:val="en-US" w:eastAsia="zh-CN"/>
        </w:rPr>
        <w:t>2.2.9</w:t>
      </w:r>
      <w:r>
        <w:rPr>
          <w:rFonts w:hint="eastAsia" w:ascii="Times New Roman" w:hAnsi="Times New Roman"/>
          <w:b/>
          <w:color w:val="000000"/>
          <w:kern w:val="0"/>
          <w:lang w:eastAsia="zh-CN"/>
        </w:rPr>
        <w:t>已建成工程存在的环境问题及整改措施</w:t>
      </w:r>
      <w:bookmarkEnd w:id="200"/>
    </w:p>
    <w:p>
      <w:pPr>
        <w:ind w:firstLine="480"/>
        <w:rPr>
          <w:rFonts w:hint="eastAsia" w:ascii="Times New Roman" w:hAnsi="Times New Roman" w:eastAsia="宋体" w:cs="Times New Roman"/>
          <w:color w:val="000000"/>
          <w:kern w:val="0"/>
          <w:u w:val="single"/>
          <w:lang w:eastAsia="zh-CN"/>
        </w:rPr>
      </w:pPr>
      <w:r>
        <w:rPr>
          <w:rFonts w:hint="eastAsia" w:ascii="Times New Roman" w:hAnsi="Times New Roman" w:eastAsia="宋体" w:cs="Times New Roman"/>
          <w:color w:val="000000"/>
          <w:kern w:val="0"/>
          <w:u w:val="single"/>
          <w:lang w:eastAsia="zh-CN"/>
        </w:rPr>
        <w:t>目前重金属污水处理</w:t>
      </w:r>
      <w:r>
        <w:rPr>
          <w:rFonts w:hint="eastAsia" w:eastAsia="宋体" w:cs="Times New Roman"/>
          <w:color w:val="000000"/>
          <w:kern w:val="0"/>
          <w:u w:val="single"/>
          <w:lang w:eastAsia="zh-CN"/>
        </w:rPr>
        <w:t>站</w:t>
      </w:r>
      <w:r>
        <w:rPr>
          <w:rFonts w:hint="eastAsia" w:ascii="Times New Roman" w:hAnsi="Times New Roman" w:eastAsia="宋体" w:cs="Times New Roman"/>
          <w:color w:val="000000"/>
          <w:kern w:val="0"/>
          <w:u w:val="single"/>
          <w:lang w:eastAsia="zh-CN"/>
        </w:rPr>
        <w:t>暂未投入运行，其具体的各项污染物源强未进行实测。</w:t>
      </w:r>
    </w:p>
    <w:p>
      <w:pPr>
        <w:ind w:firstLine="480"/>
        <w:rPr>
          <w:rFonts w:hint="eastAsia" w:ascii="Times New Roman" w:hAnsi="Times New Roman" w:eastAsia="宋体" w:cs="Times New Roman"/>
          <w:color w:val="000000"/>
          <w:kern w:val="0"/>
          <w:u w:val="single"/>
          <w:lang w:eastAsia="zh-CN"/>
        </w:rPr>
      </w:pPr>
      <w:r>
        <w:rPr>
          <w:rFonts w:hint="eastAsia" w:ascii="Times New Roman" w:hAnsi="Times New Roman" w:eastAsia="宋体" w:cs="Times New Roman"/>
          <w:color w:val="000000"/>
          <w:kern w:val="0"/>
          <w:u w:val="single"/>
          <w:lang w:eastAsia="zh-CN"/>
        </w:rPr>
        <w:t>根据现场了解可知，本项目已建工程存在的主要问题为：</w:t>
      </w:r>
    </w:p>
    <w:p>
      <w:pPr>
        <w:ind w:firstLine="480"/>
        <w:rPr>
          <w:rFonts w:hint="eastAsia" w:ascii="Times New Roman" w:hAnsi="Times New Roman" w:eastAsia="宋体" w:cs="Times New Roman"/>
          <w:color w:val="000000"/>
          <w:kern w:val="0"/>
          <w:u w:val="single"/>
          <w:lang w:eastAsia="zh-CN"/>
        </w:rPr>
      </w:pPr>
      <w:r>
        <w:rPr>
          <w:rFonts w:hint="eastAsia" w:ascii="Times New Roman" w:hAnsi="Times New Roman" w:eastAsia="宋体" w:cs="Times New Roman"/>
          <w:color w:val="000000"/>
          <w:kern w:val="0"/>
          <w:u w:val="single"/>
          <w:lang w:eastAsia="zh-CN"/>
        </w:rPr>
        <w:t>①</w:t>
      </w:r>
      <w:r>
        <w:rPr>
          <w:rFonts w:hint="eastAsia" w:eastAsia="宋体" w:cs="Times New Roman"/>
          <w:color w:val="000000"/>
          <w:kern w:val="0"/>
          <w:u w:val="single"/>
          <w:lang w:eastAsia="zh-CN"/>
        </w:rPr>
        <w:t>本项目现场未设置有地下水监控井，根据分析，本项目在厂区内布设1口地下水跟踪监测井，项目地西侧700米卡地村水井布设1口地下水跟踪监测井（项目区上游），项目地东侧1000米苏家湾水井处（项目区下游），并定期监测，发现异常情况，及时上报，查明原因，并采取相应措施。目前厂区内地下监控井还未进行建设，本环评建议项目在正式运行前完善厂区地下监控井的建设</w:t>
      </w:r>
      <w:r>
        <w:rPr>
          <w:rFonts w:hint="eastAsia" w:ascii="Times New Roman" w:hAnsi="Times New Roman" w:eastAsia="宋体" w:cs="Times New Roman"/>
          <w:color w:val="000000"/>
          <w:kern w:val="0"/>
          <w:u w:val="single"/>
          <w:lang w:eastAsia="zh-CN"/>
        </w:rPr>
        <w:t>。</w:t>
      </w:r>
    </w:p>
    <w:p>
      <w:pPr>
        <w:pStyle w:val="86"/>
        <w:spacing w:before="120" w:after="120"/>
        <w:rPr>
          <w:color w:val="000000"/>
          <w:kern w:val="0"/>
        </w:rPr>
      </w:pPr>
      <w:bookmarkStart w:id="201" w:name="_Toc14533"/>
      <w:bookmarkStart w:id="202" w:name="_Toc29308659"/>
      <w:r>
        <w:rPr>
          <w:color w:val="000000"/>
          <w:kern w:val="0"/>
        </w:rPr>
        <w:t>2.3</w:t>
      </w:r>
      <w:r>
        <w:rPr>
          <w:rFonts w:hint="eastAsia"/>
          <w:color w:val="000000"/>
          <w:kern w:val="0"/>
        </w:rPr>
        <w:t>工程分析</w:t>
      </w:r>
      <w:bookmarkEnd w:id="201"/>
      <w:bookmarkEnd w:id="202"/>
    </w:p>
    <w:p>
      <w:pPr>
        <w:pStyle w:val="8"/>
        <w:spacing w:before="120"/>
        <w:rPr>
          <w:color w:val="000000"/>
          <w:sz w:val="24"/>
          <w:szCs w:val="24"/>
        </w:rPr>
      </w:pPr>
      <w:r>
        <w:rPr>
          <w:color w:val="000000"/>
        </w:rPr>
        <w:t>2.3.1</w:t>
      </w:r>
      <w:r>
        <w:rPr>
          <w:rFonts w:hint="eastAsia"/>
          <w:color w:val="000000"/>
        </w:rPr>
        <w:t>工艺选择原则</w:t>
      </w:r>
    </w:p>
    <w:p>
      <w:pPr>
        <w:ind w:firstLine="480"/>
        <w:rPr>
          <w:rFonts w:hint="eastAsia"/>
          <w:color w:val="000000"/>
          <w:kern w:val="0"/>
        </w:rPr>
      </w:pPr>
      <w:r>
        <w:rPr>
          <w:rFonts w:hint="eastAsia"/>
          <w:color w:val="000000"/>
          <w:kern w:val="0"/>
          <w:lang w:eastAsia="zh-CN"/>
        </w:rPr>
        <w:t>项目</w:t>
      </w:r>
      <w:r>
        <w:rPr>
          <w:rFonts w:hint="eastAsia"/>
          <w:color w:val="000000"/>
          <w:kern w:val="0"/>
        </w:rPr>
        <w:t>污水处理</w:t>
      </w:r>
      <w:r>
        <w:rPr>
          <w:rFonts w:hint="eastAsia"/>
          <w:color w:val="000000"/>
          <w:kern w:val="0"/>
          <w:lang w:eastAsia="zh-CN"/>
        </w:rPr>
        <w:t>站</w:t>
      </w:r>
      <w:r>
        <w:rPr>
          <w:rFonts w:hint="eastAsia"/>
          <w:color w:val="000000"/>
          <w:kern w:val="0"/>
        </w:rPr>
        <w:t>的工艺选择遵从如下原则：</w:t>
      </w:r>
    </w:p>
    <w:p>
      <w:pPr>
        <w:ind w:firstLine="480"/>
        <w:rPr>
          <w:rFonts w:hint="eastAsia"/>
          <w:color w:val="000000"/>
          <w:kern w:val="0"/>
        </w:rPr>
      </w:pPr>
      <w:r>
        <w:rPr>
          <w:rFonts w:hint="eastAsia"/>
          <w:color w:val="000000"/>
          <w:kern w:val="0"/>
        </w:rPr>
        <w:t>污水处理工艺的选择是污水处理</w:t>
      </w:r>
      <w:r>
        <w:rPr>
          <w:rFonts w:hint="eastAsia"/>
          <w:color w:val="000000"/>
          <w:kern w:val="0"/>
          <w:lang w:eastAsia="zh-CN"/>
        </w:rPr>
        <w:t>站</w:t>
      </w:r>
      <w:r>
        <w:rPr>
          <w:rFonts w:hint="eastAsia"/>
          <w:color w:val="000000"/>
          <w:kern w:val="0"/>
        </w:rPr>
        <w:t>设计的关键所在，它直接关系到出水水质指标能否达到要求，运行是否稳定可靠，管理是否方便以及投资和运行成本的高低。污水处理工艺需根据进厂污水水质、出水要求、处理厂规模。污泥处置方案以及当地气温、工程地质、周围环境等条件来慎重选择，同时要考虑经济因素。</w:t>
      </w:r>
    </w:p>
    <w:p>
      <w:pPr>
        <w:ind w:firstLine="480"/>
        <w:rPr>
          <w:rFonts w:hint="eastAsia"/>
          <w:color w:val="000000"/>
          <w:kern w:val="0"/>
        </w:rPr>
      </w:pPr>
      <w:r>
        <w:rPr>
          <w:rFonts w:hint="eastAsia"/>
          <w:color w:val="000000"/>
          <w:kern w:val="0"/>
        </w:rPr>
        <w:t>污水处理</w:t>
      </w:r>
      <w:r>
        <w:rPr>
          <w:rFonts w:hint="eastAsia"/>
          <w:color w:val="000000"/>
          <w:kern w:val="0"/>
          <w:lang w:eastAsia="zh-CN"/>
        </w:rPr>
        <w:t>站</w:t>
      </w:r>
      <w:r>
        <w:rPr>
          <w:rFonts w:hint="eastAsia"/>
          <w:color w:val="000000"/>
          <w:kern w:val="0"/>
        </w:rPr>
        <w:t>工艺方案的选择一般应满足以下总体要求：因地制宜、技术可行、经济合理。在保证处理效果、运行稳定的前提下，使工程造价和运行费用最为经济合理，同时工艺方案要运行简单、控制调节方便，占地和能耗小，污泥量少。</w:t>
      </w:r>
    </w:p>
    <w:p>
      <w:pPr>
        <w:pStyle w:val="8"/>
        <w:spacing w:before="120"/>
        <w:rPr>
          <w:rFonts w:hint="eastAsia"/>
          <w:color w:val="000000"/>
          <w:u w:val="single"/>
        </w:rPr>
      </w:pPr>
      <w:bookmarkStart w:id="203" w:name="_TOC_250066"/>
      <w:bookmarkEnd w:id="203"/>
      <w:bookmarkStart w:id="204" w:name="_TOC_250064"/>
      <w:bookmarkEnd w:id="204"/>
      <w:bookmarkStart w:id="205" w:name="_TOC_250065"/>
      <w:bookmarkEnd w:id="205"/>
      <w:bookmarkStart w:id="206" w:name="_TOC_250068"/>
      <w:bookmarkEnd w:id="206"/>
      <w:bookmarkStart w:id="207" w:name="_TOC_250071"/>
      <w:bookmarkEnd w:id="207"/>
      <w:bookmarkStart w:id="208" w:name="_TOC_250070"/>
      <w:bookmarkEnd w:id="208"/>
      <w:r>
        <w:rPr>
          <w:color w:val="000000"/>
          <w:u w:val="single"/>
        </w:rPr>
        <w:t>2.3.</w:t>
      </w:r>
      <w:r>
        <w:rPr>
          <w:rFonts w:hint="eastAsia"/>
          <w:color w:val="000000"/>
          <w:u w:val="single"/>
          <w:lang w:val="en-US" w:eastAsia="zh-CN"/>
        </w:rPr>
        <w:t>2</w:t>
      </w:r>
      <w:r>
        <w:rPr>
          <w:color w:val="000000"/>
          <w:u w:val="single"/>
        </w:rPr>
        <w:t>污水处理</w:t>
      </w:r>
      <w:r>
        <w:rPr>
          <w:rFonts w:hint="eastAsia"/>
          <w:color w:val="000000"/>
          <w:u w:val="single"/>
          <w:lang w:eastAsia="zh-CN"/>
        </w:rPr>
        <w:t>站</w:t>
      </w:r>
      <w:r>
        <w:rPr>
          <w:color w:val="000000"/>
          <w:u w:val="single"/>
        </w:rPr>
        <w:t>工艺流程</w:t>
      </w:r>
    </w:p>
    <w:p>
      <w:pPr>
        <w:widowControl w:val="0"/>
        <w:ind w:firstLine="480"/>
        <w:rPr>
          <w:rFonts w:hint="eastAsia" w:ascii="Times New Roman" w:hAnsi="Times New Roman" w:eastAsia="宋体" w:cs="Times New Roman"/>
          <w:color w:val="000000"/>
          <w:kern w:val="0"/>
          <w:u w:val="single"/>
        </w:rPr>
      </w:pPr>
      <w:r>
        <w:rPr>
          <w:rFonts w:hint="eastAsia"/>
          <w:color w:val="000000"/>
          <w:kern w:val="0"/>
          <w:u w:val="single"/>
        </w:rPr>
        <w:t>根据建设单位提供的资料，本项目采取“化学混凝沉淀分离+石英砂过滤”处理方法，涉重企业排放的废水通过</w:t>
      </w:r>
      <w:r>
        <w:rPr>
          <w:rFonts w:hint="eastAsia"/>
          <w:color w:val="000000"/>
          <w:kern w:val="0"/>
          <w:u w:val="single"/>
          <w:lang w:eastAsia="zh-CN"/>
        </w:rPr>
        <w:t>本次建设的重金属专用管道</w:t>
      </w:r>
      <w:r>
        <w:rPr>
          <w:rFonts w:hint="eastAsia"/>
          <w:color w:val="000000"/>
          <w:kern w:val="0"/>
          <w:u w:val="single"/>
        </w:rPr>
        <w:t>输送管网输送至</w:t>
      </w:r>
      <w:r>
        <w:rPr>
          <w:rFonts w:hint="eastAsia"/>
          <w:color w:val="000000"/>
          <w:kern w:val="0"/>
          <w:u w:val="single"/>
          <w:lang w:eastAsia="zh-CN"/>
        </w:rPr>
        <w:t>本项目建设的污水处理站的</w:t>
      </w:r>
      <w:r>
        <w:rPr>
          <w:rFonts w:hint="eastAsia"/>
          <w:color w:val="000000"/>
          <w:kern w:val="0"/>
          <w:u w:val="single"/>
        </w:rPr>
        <w:t>调节池，在调节池内进行水量水质的均衡。调节池的废水由提升泵提升进入二级混凝沉淀处理系统，该系统由反应池1#、反应池2#、混凝反应池1#、絮凝反应池1#、二沉池和反应池3#、反应池4#、混凝反应池2#、絮凝反应池2#、絮凝沉淀池组成，投加片碱、生物制剂和混凝、絮凝药剂，进行反应，然后进行入沉淀段进行固液分离；固液分离后出水进入中间水池投加酸调节pH至中性，出水泵入至石英砂过滤器，过滤掉水中细微悬浮物。最终出水可直接通过管网输送至工业园集中污水处理厂进水口。污泥池上清液、板框压滤机滤液、石英砂过滤器反洗水引回调节池重新处理。处理系统产生的污泥间歇排泥，采用重力自流排泥至污泥浓缩池浓缩，浓缩污泥利用污</w:t>
      </w:r>
      <w:r>
        <w:rPr>
          <w:rFonts w:hint="eastAsia" w:ascii="Times New Roman" w:hAnsi="Times New Roman" w:eastAsia="宋体" w:cs="Times New Roman"/>
          <w:color w:val="000000"/>
          <w:kern w:val="0"/>
          <w:u w:val="single"/>
        </w:rPr>
        <w:t>泥泵输送至污泥脱水机脱水后打包外运处置。对污水中主要污染物的处理机理简述如下：</w:t>
      </w:r>
    </w:p>
    <w:p>
      <w:pPr>
        <w:widowControl w:val="0"/>
        <w:ind w:firstLine="480"/>
        <w:rPr>
          <w:rFonts w:hint="eastAsia" w:ascii="Times New Roman" w:hAnsi="Times New Roman" w:eastAsia="宋体" w:cs="Times New Roman"/>
          <w:color w:val="000000"/>
          <w:kern w:val="0"/>
          <w:u w:val="single"/>
          <w:lang w:val="en-US" w:eastAsia="zh-CN"/>
        </w:rPr>
      </w:pPr>
      <w:r>
        <w:rPr>
          <w:rFonts w:hint="eastAsia" w:ascii="Times New Roman" w:hAnsi="Times New Roman" w:eastAsia="宋体" w:cs="Times New Roman"/>
          <w:color w:val="000000"/>
          <w:kern w:val="0"/>
          <w:u w:val="single"/>
        </w:rPr>
        <w:t>NaOH是以NaOH投加到废水中产生OH</w:t>
      </w:r>
      <w:r>
        <w:rPr>
          <w:rFonts w:hint="eastAsia" w:ascii="Times New Roman" w:hAnsi="Times New Roman" w:eastAsia="宋体" w:cs="Times New Roman"/>
          <w:color w:val="000000"/>
          <w:kern w:val="0"/>
          <w:u w:val="single"/>
          <w:vertAlign w:val="superscript"/>
          <w:lang w:val="en-US" w:eastAsia="zh-CN"/>
        </w:rPr>
        <w:t>—</w:t>
      </w:r>
      <w:r>
        <w:rPr>
          <w:rFonts w:hint="eastAsia" w:ascii="Times New Roman" w:hAnsi="Times New Roman" w:eastAsia="宋体" w:cs="Times New Roman"/>
          <w:color w:val="000000"/>
          <w:kern w:val="0"/>
          <w:u w:val="single"/>
        </w:rPr>
        <w:t>，多数重金属离子能与OH</w:t>
      </w:r>
      <w:r>
        <w:rPr>
          <w:rFonts w:hint="eastAsia" w:ascii="Times New Roman" w:hAnsi="Times New Roman" w:eastAsia="宋体" w:cs="Times New Roman"/>
          <w:color w:val="000000"/>
          <w:kern w:val="0"/>
          <w:u w:val="single"/>
          <w:vertAlign w:val="superscript"/>
          <w:lang w:val="en-US" w:eastAsia="zh-CN"/>
        </w:rPr>
        <w:t>—</w:t>
      </w:r>
      <w:r>
        <w:rPr>
          <w:rFonts w:hint="eastAsia" w:ascii="Times New Roman" w:hAnsi="Times New Roman" w:eastAsia="宋体" w:cs="Times New Roman"/>
          <w:color w:val="000000"/>
          <w:kern w:val="0"/>
          <w:u w:val="single"/>
        </w:rPr>
        <w:t>结合生成溶度积很小的氢氧化物而与水分离。NaOH法可用于去除废水中的铁、铜、锌、铅、镉、砷等以及能与OH生成金属氢氧化物沉淀的其它重金属离子。生物制剂中的复合基团可与重金属离子成键，形成生物配合体。生物制剂水解、诱导生物配合长大形成溶度积非常小的非晶态化合物，从而使重金属离子高效脱除的方法</w:t>
      </w:r>
      <w:r>
        <w:rPr>
          <w:rFonts w:hint="eastAsia" w:ascii="Times New Roman" w:hAnsi="Times New Roman" w:eastAsia="宋体" w:cs="Times New Roman"/>
          <w:color w:val="000000"/>
          <w:kern w:val="0"/>
          <w:u w:val="single"/>
          <w:lang w:val="en-US" w:eastAsia="zh-CN"/>
        </w:rPr>
        <w:t>。</w:t>
      </w:r>
    </w:p>
    <w:p>
      <w:pPr>
        <w:widowControl w:val="0"/>
        <w:ind w:firstLine="480"/>
        <w:rPr>
          <w:rFonts w:hint="default" w:ascii="Times New Roman" w:hAnsi="Times New Roman" w:eastAsia="宋体" w:cs="Times New Roman"/>
          <w:color w:val="000000"/>
          <w:kern w:val="0"/>
          <w:u w:val="single"/>
          <w:lang w:val="en-US" w:eastAsia="zh-CN"/>
        </w:rPr>
      </w:pPr>
      <w:r>
        <w:rPr>
          <w:rFonts w:hint="eastAsia" w:ascii="Times New Roman" w:hAnsi="Times New Roman" w:eastAsia="宋体" w:cs="Times New Roman"/>
          <w:color w:val="000000"/>
          <w:kern w:val="0"/>
          <w:u w:val="single"/>
          <w:lang w:val="en-US" w:eastAsia="zh-CN"/>
        </w:rPr>
        <w:t>废水进入调节池，池内设有推流搅拌装置，在搅拌作用下，使不同时段污水混合均匀。均化调质后污水，通过提升泵送往反应池，在反应池内，通过曝气充氧使水中二价锰离子氧化成四价锰离子，反应池出水通过在线pH装置控制 NaOH投加量，将污水pH调至8.5左右，使水中铁离子、亚铁离子、锰离子形成不溶于水的氢氧化物，出水自流进入絮凝反应池1，在絮凝池内通过加入 PAC、PAM进行混凝、絮凝反应，将水中细小悬浮物生成大颗粒后初步沉淀，经过絮凝沉淀池沉淀后进入二级反应池再曝气加碱，再加入 PAC、PAM 进行混凝、絮凝反应，进行深度反应处理，然后进入二沉池进行固液分离，进入调节池加酸调节pH为中性，最后至石英砂进一步固液分离，后至清水池达标排入花垣工业集中区污水处理厂。</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eastAsia="宋体"/>
          <w:color w:val="000000"/>
          <w:kern w:val="0"/>
          <w:lang w:eastAsia="zh-CN"/>
        </w:rPr>
      </w:pPr>
    </w:p>
    <w:p>
      <w:pPr>
        <w:ind w:firstLine="0" w:firstLineChars="0"/>
        <w:rPr>
          <w:rFonts w:hint="eastAsia" w:eastAsia="宋体"/>
          <w:color w:val="000000"/>
          <w:kern w:val="0"/>
          <w:u w:val="single"/>
          <w:lang w:eastAsia="zh-CN"/>
        </w:rPr>
      </w:pPr>
      <w:r>
        <w:rPr>
          <w:rFonts w:hint="eastAsia" w:eastAsia="宋体"/>
          <w:color w:val="000000"/>
          <w:kern w:val="0"/>
          <w:u w:val="single"/>
          <w:lang w:eastAsia="zh-CN"/>
        </w:rPr>
        <w:drawing>
          <wp:inline distT="0" distB="0" distL="114300" distR="114300">
            <wp:extent cx="5234305" cy="7171690"/>
            <wp:effectExtent l="0" t="0" r="4445" b="10160"/>
            <wp:docPr id="8" name="图片 85" descr="工艺流程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5" descr="工艺流程2"/>
                    <pic:cNvPicPr>
                      <a:picLocks noChangeAspect="true"/>
                    </pic:cNvPicPr>
                  </pic:nvPicPr>
                  <pic:blipFill>
                    <a:blip r:embed="rId36"/>
                    <a:stretch>
                      <a:fillRect/>
                    </a:stretch>
                  </pic:blipFill>
                  <pic:spPr>
                    <a:xfrm>
                      <a:off x="0" y="0"/>
                      <a:ext cx="5234305" cy="7171690"/>
                    </a:xfrm>
                    <a:prstGeom prst="rect">
                      <a:avLst/>
                    </a:prstGeom>
                    <a:noFill/>
                    <a:ln>
                      <a:noFill/>
                    </a:ln>
                  </pic:spPr>
                </pic:pic>
              </a:graphicData>
            </a:graphic>
          </wp:inline>
        </w:drawing>
      </w:r>
    </w:p>
    <w:p>
      <w:pPr>
        <w:pStyle w:val="98"/>
        <w:rPr>
          <w:rFonts w:hint="eastAsia"/>
          <w:color w:val="000000"/>
          <w:u w:val="single"/>
          <w:lang w:val="zh-CN" w:bidi="zh-CN"/>
        </w:rPr>
      </w:pPr>
      <w:r>
        <w:rPr>
          <w:rFonts w:hint="eastAsia"/>
          <w:color w:val="000000"/>
          <w:u w:val="single"/>
          <w:lang w:val="zh-CN" w:bidi="zh-CN"/>
        </w:rPr>
        <w:t>图</w:t>
      </w:r>
      <w:r>
        <w:rPr>
          <w:color w:val="000000"/>
          <w:u w:val="single"/>
          <w:lang w:val="zh-CN" w:bidi="zh-CN"/>
        </w:rPr>
        <w:t>2.3-1</w:t>
      </w:r>
      <w:r>
        <w:rPr>
          <w:rFonts w:hint="eastAsia"/>
          <w:color w:val="000000"/>
          <w:u w:val="single"/>
          <w:lang w:val="zh-CN" w:bidi="zh-CN"/>
        </w:rPr>
        <w:t xml:space="preserve">  污水处理站工艺流程</w:t>
      </w:r>
    </w:p>
    <w:p>
      <w:pPr>
        <w:keepNext/>
        <w:keepLines/>
        <w:ind w:firstLine="0" w:firstLineChars="0"/>
        <w:outlineLvl w:val="3"/>
        <w:rPr>
          <w:b/>
          <w:color w:val="000000"/>
          <w:kern w:val="0"/>
          <w:lang w:bidi="zh-CN"/>
        </w:rPr>
      </w:pPr>
      <w:r>
        <w:rPr>
          <w:b/>
          <w:color w:val="000000"/>
          <w:kern w:val="0"/>
          <w:lang w:bidi="zh-CN"/>
        </w:rPr>
        <w:t>2.</w:t>
      </w:r>
      <w:r>
        <w:rPr>
          <w:b/>
          <w:color w:val="auto"/>
          <w:kern w:val="0"/>
          <w:lang w:bidi="zh-CN"/>
        </w:rPr>
        <w:t>3.</w:t>
      </w:r>
      <w:r>
        <w:rPr>
          <w:rFonts w:hint="eastAsia"/>
          <w:b/>
          <w:color w:val="auto"/>
          <w:kern w:val="0"/>
          <w:lang w:val="en-US" w:bidi="zh-CN"/>
        </w:rPr>
        <w:t>2</w:t>
      </w:r>
      <w:r>
        <w:rPr>
          <w:b/>
          <w:color w:val="auto"/>
          <w:kern w:val="0"/>
          <w:lang w:bidi="zh-CN"/>
        </w:rPr>
        <w:t>.1</w:t>
      </w:r>
      <w:r>
        <w:rPr>
          <w:rFonts w:hint="eastAsia"/>
          <w:b/>
          <w:color w:val="auto"/>
          <w:kern w:val="0"/>
          <w:lang w:bidi="zh-CN"/>
        </w:rPr>
        <w:t>工艺选择合理性分析</w:t>
      </w:r>
    </w:p>
    <w:p>
      <w:pPr>
        <w:ind w:firstLine="480"/>
        <w:rPr>
          <w:rFonts w:hint="eastAsia"/>
          <w:color w:val="000000"/>
        </w:rPr>
      </w:pPr>
      <w:r>
        <w:rPr>
          <w:rFonts w:hint="eastAsia"/>
          <w:color w:val="000000"/>
        </w:rPr>
        <w:t>1、根据工业园区特点：花垣县工业集中区园区规模较小，水质水量波动性 大。本项目根据以上特点，设置调节池，对水质和水量进行调节，较为合理。</w:t>
      </w:r>
    </w:p>
    <w:p>
      <w:pPr>
        <w:ind w:firstLine="480"/>
        <w:rPr>
          <w:rFonts w:hint="eastAsia"/>
          <w:color w:val="000000"/>
        </w:rPr>
      </w:pPr>
      <w:r>
        <w:rPr>
          <w:rFonts w:hint="eastAsia"/>
          <w:color w:val="000000"/>
        </w:rPr>
        <w:t>2、本工程采用化学絮凝沉淀的处理工艺，主要是生物制剂中的复合基团可 与重金属离子成键，形成生物配合体。生物制剂水解、诱导生物配合长大形成溶度积非常小的非晶态化合物，从而使重金属离子高效脱除的方法，该方法具有重金属去除率高、共存金属离子不存在干扰、沉淀物稳定性好等优点，且运行成本较低，不产生二次污染。</w:t>
      </w:r>
    </w:p>
    <w:p>
      <w:pPr>
        <w:ind w:firstLine="480"/>
        <w:rPr>
          <w:rFonts w:hint="eastAsia"/>
          <w:color w:val="000000"/>
        </w:rPr>
      </w:pPr>
      <w:r>
        <w:rPr>
          <w:rFonts w:hint="eastAsia"/>
          <w:color w:val="000000"/>
        </w:rPr>
        <w:t>3、本项目主要服务于花垣县工业集中区园区已有</w:t>
      </w:r>
      <w:r>
        <w:rPr>
          <w:rFonts w:hint="eastAsia"/>
          <w:color w:val="000000"/>
          <w:lang w:val="en-US" w:eastAsia="zh-CN"/>
        </w:rPr>
        <w:t>4</w:t>
      </w:r>
      <w:r>
        <w:rPr>
          <w:rFonts w:hint="eastAsia"/>
          <w:color w:val="000000"/>
        </w:rPr>
        <w:t xml:space="preserve">家排放重金属废水企业， </w:t>
      </w:r>
      <w:r>
        <w:rPr>
          <w:rFonts w:hint="eastAsia"/>
          <w:color w:val="000000"/>
          <w:lang w:eastAsia="zh-CN"/>
        </w:rPr>
        <w:t>并同时考虑后期入驻的</w:t>
      </w:r>
      <w:r>
        <w:rPr>
          <w:rFonts w:hint="eastAsia"/>
          <w:color w:val="000000"/>
        </w:rPr>
        <w:t>排放重金属废水</w:t>
      </w:r>
      <w:r>
        <w:rPr>
          <w:rFonts w:hint="eastAsia"/>
          <w:color w:val="000000"/>
          <w:lang w:eastAsia="zh-CN"/>
        </w:rPr>
        <w:t>企业，</w:t>
      </w:r>
      <w:r>
        <w:rPr>
          <w:rFonts w:hint="eastAsia"/>
          <w:color w:val="000000"/>
        </w:rPr>
        <w:t>根据现场调研和环保部门提供的各个涉重企业的环评报告、</w:t>
      </w:r>
      <w:r>
        <w:rPr>
          <w:rFonts w:hint="eastAsia"/>
          <w:color w:val="000000"/>
          <w:lang w:eastAsia="zh-CN"/>
        </w:rPr>
        <w:t>验收</w:t>
      </w:r>
      <w:r>
        <w:rPr>
          <w:rFonts w:hint="eastAsia"/>
          <w:color w:val="000000"/>
        </w:rPr>
        <w:t>监测报告，相关企业均配套了污水处理设施，生产车间产生的废水经过企业的污水处理站处理后能够达到《污水综合排放标准》GB8978-1996中第一类污染物最高允许排放浓度，可以满足本项目设计工艺进水水质要求。</w:t>
      </w:r>
    </w:p>
    <w:p>
      <w:pPr>
        <w:ind w:firstLine="480"/>
        <w:rPr>
          <w:rFonts w:hint="eastAsia"/>
          <w:color w:val="auto"/>
        </w:rPr>
      </w:pPr>
      <w:r>
        <w:rPr>
          <w:rFonts w:hint="eastAsia"/>
          <w:color w:val="000000"/>
        </w:rPr>
        <w:t>4、根据</w:t>
      </w:r>
      <w:r>
        <w:rPr>
          <w:rFonts w:hint="eastAsia"/>
          <w:color w:val="000000"/>
          <w:lang w:eastAsia="zh-CN"/>
        </w:rPr>
        <w:t>本项目工程验收的监测数据可知，</w:t>
      </w:r>
      <w:r>
        <w:rPr>
          <w:rFonts w:hint="eastAsia"/>
          <w:color w:val="000000"/>
        </w:rPr>
        <w:t>本项目采取污水处理工艺对各类重金属污染因子的去除率均能够达到设计去除率要求，可以保证出水水质中第一类污染物排放达到《城镇污水处理厂污染物排放标准》 GB18918-2002表2表3的规定</w:t>
      </w:r>
      <w:r>
        <w:rPr>
          <w:rFonts w:hint="eastAsia"/>
          <w:color w:val="auto"/>
        </w:rPr>
        <w:t>，总钒指标达到《钒工业污染物排放标准》GB 26452-2011</w:t>
      </w:r>
      <w:r>
        <w:rPr>
          <w:rFonts w:hint="eastAsia"/>
          <w:color w:val="auto"/>
          <w:lang w:eastAsia="zh-CN"/>
        </w:rPr>
        <w:t>表</w:t>
      </w:r>
      <w:r>
        <w:rPr>
          <w:rFonts w:hint="eastAsia"/>
          <w:color w:val="auto"/>
          <w:lang w:val="en-US" w:eastAsia="zh-CN"/>
        </w:rPr>
        <w:t>2 标准限值</w:t>
      </w:r>
      <w:r>
        <w:rPr>
          <w:rFonts w:hint="eastAsia"/>
          <w:color w:val="auto"/>
        </w:rPr>
        <w:t>。</w:t>
      </w:r>
    </w:p>
    <w:p>
      <w:pPr>
        <w:ind w:firstLine="480"/>
        <w:rPr>
          <w:color w:val="000000"/>
        </w:rPr>
      </w:pPr>
      <w:r>
        <w:rPr>
          <w:rFonts w:hint="eastAsia"/>
          <w:color w:val="000000"/>
        </w:rPr>
        <w:t>综上所述，本项目作为花垣县工业集中区含重金属废水处理工程，处理工艺包含废水水质水量调节、反应池 1、反应池 2、混凝反应池 1、絮凝反应池 2、一 级竖流沉淀池和反应池 3、反应池 4、混凝反应池 3、絮凝反应池 4、二级斜管沉 淀池组成，投加片碱、生物制剂和混凝、絮凝药剂，进行反应，然后进行入沉淀段进行固液分离；固液分离后出水进入中间水池投加酸调节PH至中性，出水泵入至石英砂过滤器，过滤掉水中细微悬浮物。最终出水可直接通过管网输送至工业园集中污水处理厂进水口。该过程重金属去除率高、共存金属离子不存在干扰、 沉淀物稳定性好、运行成本较低、不产生二次污染，且出水水质能够满足要求。因此，本工程关于重金属废水处理的工艺选择合理。</w:t>
      </w:r>
    </w:p>
    <w:p>
      <w:pPr>
        <w:keepNext/>
        <w:keepLines/>
        <w:ind w:firstLine="0" w:firstLineChars="0"/>
        <w:outlineLvl w:val="3"/>
        <w:rPr>
          <w:b/>
          <w:color w:val="000000"/>
          <w:kern w:val="0"/>
          <w:lang w:bidi="zh-CN"/>
        </w:rPr>
      </w:pPr>
      <w:r>
        <w:rPr>
          <w:b/>
          <w:color w:val="000000"/>
          <w:kern w:val="0"/>
          <w:lang w:bidi="zh-CN"/>
        </w:rPr>
        <w:t>2.3.</w:t>
      </w:r>
      <w:r>
        <w:rPr>
          <w:rFonts w:hint="eastAsia"/>
          <w:b/>
          <w:color w:val="000000"/>
          <w:kern w:val="0"/>
          <w:lang w:val="en-US" w:bidi="zh-CN"/>
        </w:rPr>
        <w:t>2</w:t>
      </w:r>
      <w:r>
        <w:rPr>
          <w:b/>
          <w:color w:val="000000"/>
          <w:kern w:val="0"/>
          <w:lang w:bidi="zh-CN"/>
        </w:rPr>
        <w:t>.</w:t>
      </w:r>
      <w:r>
        <w:rPr>
          <w:rFonts w:hint="eastAsia"/>
          <w:b/>
          <w:color w:val="000000"/>
          <w:kern w:val="0"/>
          <w:lang w:val="en-US" w:bidi="zh-CN"/>
        </w:rPr>
        <w:t>2</w:t>
      </w:r>
      <w:r>
        <w:rPr>
          <w:rFonts w:hint="eastAsia"/>
          <w:b/>
          <w:color w:val="000000"/>
          <w:kern w:val="0"/>
          <w:lang w:bidi="zh-CN"/>
        </w:rPr>
        <w:t>消毒工艺选择</w:t>
      </w:r>
    </w:p>
    <w:p>
      <w:pPr>
        <w:ind w:firstLine="480"/>
        <w:rPr>
          <w:rFonts w:hint="eastAsia"/>
          <w:color w:val="000000"/>
        </w:rPr>
      </w:pPr>
      <w:r>
        <w:rPr>
          <w:rFonts w:hint="eastAsia"/>
          <w:color w:val="000000"/>
          <w:lang w:eastAsia="zh-CN"/>
        </w:rPr>
        <w:t>本项目只接纳重金属废水，通过建设的专用重金属管道收集，项目不设置消毒工艺</w:t>
      </w:r>
      <w:r>
        <w:rPr>
          <w:rFonts w:hint="eastAsia"/>
          <w:color w:val="000000"/>
        </w:rPr>
        <w:t>。</w:t>
      </w:r>
    </w:p>
    <w:p>
      <w:pPr>
        <w:keepNext/>
        <w:keepLines/>
        <w:ind w:firstLine="0" w:firstLineChars="0"/>
        <w:outlineLvl w:val="3"/>
        <w:rPr>
          <w:rFonts w:hint="eastAsia" w:ascii="Times New Roman" w:hAnsi="Times New Roman" w:eastAsia="宋体" w:cs="Times New Roman"/>
          <w:b/>
          <w:color w:val="000000"/>
          <w:kern w:val="0"/>
          <w:lang w:bidi="zh-CN"/>
        </w:rPr>
      </w:pPr>
      <w:r>
        <w:rPr>
          <w:rFonts w:hint="eastAsia" w:ascii="Times New Roman" w:hAnsi="Times New Roman" w:eastAsia="宋体" w:cs="Times New Roman"/>
          <w:b/>
          <w:color w:val="000000"/>
          <w:kern w:val="0"/>
          <w:lang w:bidi="zh-CN"/>
        </w:rPr>
        <w:t>3.3.</w:t>
      </w:r>
      <w:r>
        <w:rPr>
          <w:rFonts w:hint="eastAsia" w:eastAsia="宋体" w:cs="Times New Roman"/>
          <w:b/>
          <w:color w:val="000000"/>
          <w:kern w:val="0"/>
          <w:lang w:val="en-US" w:bidi="zh-CN"/>
        </w:rPr>
        <w:t>2</w:t>
      </w:r>
      <w:r>
        <w:rPr>
          <w:rFonts w:hint="eastAsia" w:ascii="Times New Roman" w:hAnsi="Times New Roman" w:eastAsia="宋体" w:cs="Times New Roman"/>
          <w:b/>
          <w:color w:val="000000"/>
          <w:kern w:val="0"/>
          <w:lang w:bidi="zh-CN"/>
        </w:rPr>
        <w:t>.</w:t>
      </w:r>
      <w:r>
        <w:rPr>
          <w:rFonts w:hint="eastAsia" w:eastAsia="宋体" w:cs="Times New Roman"/>
          <w:b/>
          <w:color w:val="000000"/>
          <w:kern w:val="0"/>
          <w:lang w:val="en-US" w:bidi="zh-CN"/>
        </w:rPr>
        <w:t>3</w:t>
      </w:r>
      <w:r>
        <w:rPr>
          <w:rFonts w:hint="eastAsia" w:ascii="Times New Roman" w:hAnsi="Times New Roman" w:eastAsia="宋体" w:cs="Times New Roman"/>
          <w:b/>
          <w:color w:val="000000"/>
          <w:kern w:val="0"/>
          <w:lang w:bidi="zh-CN"/>
        </w:rPr>
        <w:t>各加碱法工艺对比</w:t>
      </w:r>
    </w:p>
    <w:p>
      <w:pPr>
        <w:pStyle w:val="6"/>
        <w:rPr>
          <w:rFonts w:hint="eastAsia"/>
          <w:color w:val="000000"/>
        </w:rPr>
      </w:pPr>
      <w:r>
        <w:rPr>
          <w:rFonts w:hint="eastAsia"/>
          <w:color w:val="000000"/>
        </w:rPr>
        <w:t>污水处理最常用的碱有，氢氧化钠和石灰。</w:t>
      </w:r>
    </w:p>
    <w:p>
      <w:pPr>
        <w:pStyle w:val="6"/>
        <w:rPr>
          <w:rFonts w:hint="eastAsia"/>
          <w:color w:val="000000"/>
        </w:rPr>
      </w:pPr>
      <w:r>
        <w:rPr>
          <w:rFonts w:hint="eastAsia"/>
          <w:color w:val="000000"/>
        </w:rPr>
        <w:t>氢氧化钠：氢氧化钠是一种强碱，对水中铁离子及锰离子都能生成氢氧化物沉淀，有很好的去除效果，而且产泥量较少。加氢氧化钠，溶解及投加都比较方便，但原料价格较高， 使得运行成本较高。</w:t>
      </w:r>
    </w:p>
    <w:p>
      <w:pPr>
        <w:pStyle w:val="6"/>
        <w:rPr>
          <w:rFonts w:hint="eastAsia"/>
          <w:color w:val="000000"/>
        </w:rPr>
      </w:pPr>
      <w:r>
        <w:rPr>
          <w:rFonts w:hint="eastAsia"/>
          <w:color w:val="000000"/>
        </w:rPr>
        <w:t>石灰法：采用氢氧化物沉淀法处理重金属污水最常用的沉淀剂是石灰，石灰沉淀法的优点是：去除污染物范围广、药剂来源广、价格低，操作简单、处理可靠。但其劳动卫生条件差，产泥量大。</w:t>
      </w:r>
    </w:p>
    <w:p>
      <w:pPr>
        <w:pStyle w:val="6"/>
        <w:rPr>
          <w:rFonts w:hint="eastAsia"/>
          <w:color w:val="000000"/>
        </w:rPr>
      </w:pPr>
      <w:r>
        <w:rPr>
          <w:rFonts w:hint="eastAsia"/>
          <w:color w:val="000000"/>
        </w:rPr>
        <w:t>为了运行管理方便、减少污泥量，本方案考虑采用氢氧化钠。</w:t>
      </w:r>
    </w:p>
    <w:p>
      <w:pPr>
        <w:pStyle w:val="81"/>
        <w:rPr>
          <w:color w:val="auto"/>
          <w:lang w:val="zh-CN"/>
        </w:rPr>
      </w:pPr>
      <w:r>
        <w:rPr>
          <w:rFonts w:hint="eastAsia"/>
          <w:color w:val="auto"/>
          <w:lang w:val="zh-CN"/>
        </w:rPr>
        <w:t>3</w:t>
      </w:r>
      <w:r>
        <w:rPr>
          <w:color w:val="auto"/>
          <w:lang w:val="zh-CN"/>
        </w:rPr>
        <w:t>.3.</w:t>
      </w:r>
      <w:r>
        <w:rPr>
          <w:rFonts w:hint="eastAsia"/>
          <w:color w:val="auto"/>
          <w:lang w:val="en-US" w:eastAsia="zh-CN"/>
        </w:rPr>
        <w:t>2</w:t>
      </w:r>
      <w:r>
        <w:rPr>
          <w:color w:val="auto"/>
          <w:lang w:val="zh-CN"/>
        </w:rPr>
        <w:t>.</w:t>
      </w:r>
      <w:r>
        <w:rPr>
          <w:rFonts w:hint="eastAsia"/>
          <w:color w:val="auto"/>
          <w:lang w:val="en-US" w:eastAsia="zh-CN"/>
        </w:rPr>
        <w:t>4</w:t>
      </w:r>
      <w:r>
        <w:rPr>
          <w:color w:val="auto"/>
          <w:lang w:val="zh-CN"/>
        </w:rPr>
        <w:t>各沉淀法对比</w:t>
      </w:r>
    </w:p>
    <w:p>
      <w:pPr>
        <w:ind w:firstLine="480"/>
        <w:rPr>
          <w:szCs w:val="22"/>
          <w:lang w:val="zh-CN" w:bidi="zh-CN"/>
        </w:rPr>
      </w:pPr>
      <w:r>
        <w:rPr>
          <w:rFonts w:hint="eastAsia"/>
          <w:szCs w:val="22"/>
          <w:lang w:val="zh-CN" w:bidi="zh-CN"/>
        </w:rPr>
        <w:t>（1）</w:t>
      </w:r>
      <w:r>
        <w:rPr>
          <w:szCs w:val="22"/>
          <w:lang w:val="zh-CN" w:bidi="zh-CN"/>
        </w:rPr>
        <w:t>一级反应沉淀工艺</w:t>
      </w:r>
    </w:p>
    <w:p>
      <w:pPr>
        <w:ind w:firstLine="480"/>
        <w:rPr>
          <w:lang w:val="zh-CN" w:bidi="zh-CN"/>
        </w:rPr>
      </w:pPr>
      <w:r>
        <w:rPr>
          <w:lang w:val="zh-CN" w:bidi="zh-CN"/>
        </w:rPr>
        <w:t>由于采用化学法去除污水中污染因子，将会产生大量沉淀物，为了使沉淀物与水分离，达到净水目标，本方案将采用沉淀池对泥水混合污时行分离。</w:t>
      </w:r>
    </w:p>
    <w:p>
      <w:pPr>
        <w:ind w:firstLine="464"/>
        <w:rPr>
          <w:lang w:val="zh-CN" w:bidi="zh-CN"/>
        </w:rPr>
      </w:pPr>
      <w:r>
        <w:rPr>
          <w:spacing w:val="-4"/>
          <w:lang w:val="zh-CN" w:bidi="zh-CN"/>
        </w:rPr>
        <w:t>沉淀是利用重力沉降原理来去除污水中悬浮固体的工艺过程，处理设施是沉淀池。沉淀</w:t>
      </w:r>
      <w:r>
        <w:rPr>
          <w:spacing w:val="-5"/>
          <w:lang w:val="zh-CN" w:bidi="zh-CN"/>
        </w:rPr>
        <w:t>池在污水处理中广泛使用，它的型式很多，按池内水流方式可分为平流式、竖流式和辐流式</w:t>
      </w:r>
      <w:r>
        <w:rPr>
          <w:spacing w:val="-3"/>
          <w:lang w:val="zh-CN" w:bidi="zh-CN"/>
        </w:rPr>
        <w:t>三种，此外还有斜管沉淀池，各沉淀池优缺点如表</w:t>
      </w:r>
      <w:r>
        <w:rPr>
          <w:rFonts w:hint="eastAsia" w:eastAsia="等线"/>
          <w:lang w:val="en-US" w:bidi="zh-CN"/>
        </w:rPr>
        <w:t>2</w:t>
      </w:r>
      <w:r>
        <w:rPr>
          <w:rFonts w:eastAsia="等线"/>
          <w:lang w:val="zh-CN" w:bidi="zh-CN"/>
        </w:rPr>
        <w:t>.3</w:t>
      </w:r>
      <w:r>
        <w:rPr>
          <w:rFonts w:eastAsia="Times New Roman"/>
          <w:lang w:val="zh-CN" w:bidi="zh-CN"/>
        </w:rPr>
        <w:t>-</w:t>
      </w:r>
      <w:r>
        <w:rPr>
          <w:rFonts w:eastAsia="等线"/>
          <w:lang w:val="zh-CN" w:bidi="zh-CN"/>
        </w:rPr>
        <w:t>1</w:t>
      </w:r>
      <w:r>
        <w:rPr>
          <w:lang w:val="zh-CN" w:bidi="zh-CN"/>
        </w:rPr>
        <w:t>：</w:t>
      </w:r>
    </w:p>
    <w:p>
      <w:pPr>
        <w:pStyle w:val="98"/>
        <w:rPr>
          <w:lang w:val="zh-CN" w:bidi="zh-CN"/>
        </w:rPr>
      </w:pPr>
      <w:r>
        <w:rPr>
          <w:spacing w:val="-26"/>
          <w:lang w:val="zh-CN" w:bidi="zh-CN"/>
        </w:rPr>
        <w:t>表</w:t>
      </w:r>
      <w:r>
        <w:rPr>
          <w:rFonts w:hint="eastAsia"/>
          <w:spacing w:val="-26"/>
          <w:lang w:val="en-US" w:bidi="zh-CN"/>
        </w:rPr>
        <w:t xml:space="preserve"> </w:t>
      </w:r>
      <w:r>
        <w:rPr>
          <w:spacing w:val="-26"/>
          <w:lang w:val="zh-CN" w:bidi="zh-CN"/>
        </w:rPr>
        <w:t xml:space="preserve"> </w:t>
      </w:r>
      <w:r>
        <w:rPr>
          <w:rFonts w:hint="eastAsia" w:eastAsia="等线"/>
          <w:lang w:val="en-US" w:bidi="zh-CN"/>
        </w:rPr>
        <w:t>2</w:t>
      </w:r>
      <w:r>
        <w:rPr>
          <w:rFonts w:eastAsia="等线"/>
          <w:lang w:val="zh-CN" w:bidi="zh-CN"/>
        </w:rPr>
        <w:t xml:space="preserve">.3-1 </w:t>
      </w:r>
      <w:r>
        <w:rPr>
          <w:lang w:val="zh-CN" w:bidi="zh-CN"/>
        </w:rPr>
        <w:t>不同沉淀池优缺点比较表</w:t>
      </w:r>
    </w:p>
    <w:tbl>
      <w:tblPr>
        <w:tblStyle w:val="37"/>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17"/>
        <w:gridCol w:w="2389"/>
        <w:gridCol w:w="3096"/>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4" w:type="pct"/>
            <w:noWrap w:val="0"/>
            <w:vAlign w:val="center"/>
          </w:tcPr>
          <w:p>
            <w:pPr>
              <w:pStyle w:val="132"/>
              <w:rPr>
                <w:b/>
                <w:bCs/>
                <w:color w:val="auto"/>
                <w:lang w:val="zh-CN" w:bidi="zh-CN"/>
              </w:rPr>
            </w:pPr>
            <w:r>
              <w:rPr>
                <w:rFonts w:hint="eastAsia"/>
                <w:b/>
                <w:bCs/>
                <w:color w:val="auto"/>
                <w:lang w:val="zh-CN" w:bidi="zh-CN"/>
              </w:rPr>
              <w:t>名称</w:t>
            </w:r>
          </w:p>
        </w:tc>
        <w:tc>
          <w:tcPr>
            <w:tcW w:w="1446" w:type="pct"/>
            <w:noWrap w:val="0"/>
            <w:vAlign w:val="center"/>
          </w:tcPr>
          <w:p>
            <w:pPr>
              <w:pStyle w:val="132"/>
              <w:rPr>
                <w:b/>
                <w:bCs/>
                <w:color w:val="auto"/>
                <w:lang w:val="zh-CN" w:bidi="zh-CN"/>
              </w:rPr>
            </w:pPr>
            <w:r>
              <w:rPr>
                <w:rFonts w:hint="eastAsia"/>
                <w:b/>
                <w:bCs/>
                <w:color w:val="auto"/>
                <w:lang w:val="zh-CN" w:bidi="zh-CN"/>
              </w:rPr>
              <w:t>优点</w:t>
            </w:r>
          </w:p>
        </w:tc>
        <w:tc>
          <w:tcPr>
            <w:tcW w:w="1874" w:type="pct"/>
            <w:noWrap w:val="0"/>
            <w:vAlign w:val="center"/>
          </w:tcPr>
          <w:p>
            <w:pPr>
              <w:pStyle w:val="132"/>
              <w:rPr>
                <w:b/>
                <w:bCs/>
                <w:color w:val="auto"/>
                <w:lang w:val="zh-CN" w:bidi="zh-CN"/>
              </w:rPr>
            </w:pPr>
            <w:r>
              <w:rPr>
                <w:rFonts w:hint="eastAsia"/>
                <w:b/>
                <w:bCs/>
                <w:color w:val="auto"/>
                <w:lang w:val="zh-CN" w:bidi="zh-CN"/>
              </w:rPr>
              <w:t>缺点</w:t>
            </w:r>
          </w:p>
        </w:tc>
        <w:tc>
          <w:tcPr>
            <w:tcW w:w="1246" w:type="pct"/>
            <w:noWrap w:val="0"/>
            <w:vAlign w:val="center"/>
          </w:tcPr>
          <w:p>
            <w:pPr>
              <w:pStyle w:val="132"/>
              <w:rPr>
                <w:b/>
                <w:bCs/>
                <w:color w:val="auto"/>
                <w:lang w:val="zh-CN" w:bidi="zh-CN"/>
              </w:rPr>
            </w:pPr>
            <w:r>
              <w:rPr>
                <w:rFonts w:hint="eastAsia"/>
                <w:b/>
                <w:bCs/>
                <w:color w:val="auto"/>
                <w:lang w:val="zh-CN" w:bidi="zh-CN"/>
              </w:rPr>
              <w:t>适用情况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4" w:type="pct"/>
            <w:noWrap w:val="0"/>
            <w:vAlign w:val="center"/>
          </w:tcPr>
          <w:p>
            <w:pPr>
              <w:pStyle w:val="132"/>
              <w:rPr>
                <w:color w:val="auto"/>
                <w:lang w:val="zh-CN" w:bidi="zh-CN"/>
              </w:rPr>
            </w:pPr>
            <w:r>
              <w:rPr>
                <w:rFonts w:hint="eastAsia"/>
                <w:color w:val="auto"/>
                <w:lang w:val="zh-CN" w:bidi="zh-CN"/>
              </w:rPr>
              <w:t>平流沉淀池</w:t>
            </w:r>
          </w:p>
        </w:tc>
        <w:tc>
          <w:tcPr>
            <w:tcW w:w="1446" w:type="pct"/>
            <w:noWrap w:val="0"/>
            <w:vAlign w:val="center"/>
          </w:tcPr>
          <w:p>
            <w:pPr>
              <w:pStyle w:val="132"/>
              <w:rPr>
                <w:color w:val="auto"/>
                <w:lang w:val="zh-CN" w:bidi="zh-CN"/>
              </w:rPr>
            </w:pPr>
            <w:r>
              <w:rPr>
                <w:rFonts w:hint="eastAsia"/>
                <w:color w:val="auto"/>
                <w:lang w:val="zh-CN" w:bidi="zh-CN"/>
              </w:rPr>
              <w:t>沉淀效果好；对冲击负荷和温度变化适应性强；施工方便；平面布置紧凑， 占地面积小。</w:t>
            </w:r>
          </w:p>
        </w:tc>
        <w:tc>
          <w:tcPr>
            <w:tcW w:w="1874" w:type="pct"/>
            <w:noWrap w:val="0"/>
            <w:vAlign w:val="center"/>
          </w:tcPr>
          <w:p>
            <w:pPr>
              <w:pStyle w:val="132"/>
              <w:rPr>
                <w:color w:val="auto"/>
                <w:lang w:val="zh-CN" w:bidi="zh-CN"/>
              </w:rPr>
            </w:pPr>
            <w:r>
              <w:rPr>
                <w:rFonts w:hint="eastAsia"/>
                <w:color w:val="auto"/>
                <w:lang w:val="zh-CN" w:bidi="zh-CN"/>
              </w:rPr>
              <w:t>配水不宜均匀；采用机械排泥时设备腐蚀；采用多斗排泥时，排泥不宜均匀，工作量大。</w:t>
            </w:r>
          </w:p>
        </w:tc>
        <w:tc>
          <w:tcPr>
            <w:tcW w:w="1246" w:type="pct"/>
            <w:noWrap w:val="0"/>
            <w:vAlign w:val="center"/>
          </w:tcPr>
          <w:p>
            <w:pPr>
              <w:pStyle w:val="132"/>
              <w:rPr>
                <w:color w:val="auto"/>
                <w:lang w:val="zh-CN" w:bidi="zh-CN"/>
              </w:rPr>
            </w:pPr>
            <w:r>
              <w:rPr>
                <w:rFonts w:hint="eastAsia"/>
                <w:color w:val="auto"/>
                <w:spacing w:val="-2"/>
                <w:lang w:val="zh-CN" w:bidi="zh-CN"/>
              </w:rPr>
              <w:t xml:space="preserve">适用于地下水位较 </w:t>
            </w:r>
            <w:r>
              <w:rPr>
                <w:rFonts w:hint="eastAsia"/>
                <w:color w:val="auto"/>
                <w:spacing w:val="-5"/>
                <w:lang w:val="zh-CN" w:bidi="zh-CN"/>
              </w:rPr>
              <w:t>高，地质条件差的地</w:t>
            </w:r>
            <w:r>
              <w:rPr>
                <w:rFonts w:hint="eastAsia"/>
                <w:color w:val="auto"/>
                <w:spacing w:val="-4"/>
                <w:lang w:val="zh-CN" w:bidi="zh-CN"/>
              </w:rPr>
              <w:t>区，大中小型污水处</w:t>
            </w:r>
            <w:r>
              <w:rPr>
                <w:rFonts w:hint="eastAsia"/>
                <w:color w:val="auto"/>
                <w:spacing w:val="-1"/>
                <w:lang w:val="zh-CN" w:bidi="zh-CN"/>
              </w:rPr>
              <w:t>理厂均可使用。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4" w:type="pct"/>
            <w:noWrap w:val="0"/>
            <w:vAlign w:val="center"/>
          </w:tcPr>
          <w:p>
            <w:pPr>
              <w:pStyle w:val="132"/>
              <w:rPr>
                <w:color w:val="auto"/>
                <w:lang w:val="zh-CN" w:bidi="zh-CN"/>
              </w:rPr>
            </w:pPr>
            <w:r>
              <w:rPr>
                <w:rFonts w:hint="eastAsia"/>
                <w:color w:val="auto"/>
                <w:lang w:val="zh-CN" w:bidi="zh-CN"/>
              </w:rPr>
              <w:t>竖流式沉淀池</w:t>
            </w:r>
          </w:p>
        </w:tc>
        <w:tc>
          <w:tcPr>
            <w:tcW w:w="1446" w:type="pct"/>
            <w:noWrap w:val="0"/>
            <w:vAlign w:val="center"/>
          </w:tcPr>
          <w:p>
            <w:pPr>
              <w:pStyle w:val="132"/>
              <w:rPr>
                <w:color w:val="auto"/>
                <w:lang w:val="zh-CN" w:bidi="zh-CN"/>
              </w:rPr>
            </w:pPr>
            <w:r>
              <w:rPr>
                <w:rFonts w:hint="eastAsia"/>
                <w:color w:val="auto"/>
                <w:lang w:val="zh-CN" w:bidi="zh-CN"/>
              </w:rPr>
              <w:t>占地面积小；排泥方便，运行管理简单。</w:t>
            </w:r>
          </w:p>
        </w:tc>
        <w:tc>
          <w:tcPr>
            <w:tcW w:w="1874" w:type="pct"/>
            <w:noWrap w:val="0"/>
            <w:vAlign w:val="center"/>
          </w:tcPr>
          <w:p>
            <w:pPr>
              <w:pStyle w:val="132"/>
              <w:rPr>
                <w:color w:val="auto"/>
                <w:lang w:val="zh-CN" w:bidi="zh-CN"/>
              </w:rPr>
            </w:pPr>
            <w:r>
              <w:rPr>
                <w:rFonts w:hint="eastAsia"/>
                <w:color w:val="auto"/>
                <w:lang w:val="zh-CN" w:bidi="zh-CN"/>
              </w:rPr>
              <w:t>池子深度大，施工困难；对冲击负荷和温度变化的适应能力较差；池径不宜过大，否则布水不均。</w:t>
            </w:r>
          </w:p>
        </w:tc>
        <w:tc>
          <w:tcPr>
            <w:tcW w:w="1246" w:type="pct"/>
            <w:noWrap w:val="0"/>
            <w:vAlign w:val="center"/>
          </w:tcPr>
          <w:p>
            <w:pPr>
              <w:pStyle w:val="132"/>
              <w:rPr>
                <w:color w:val="auto"/>
                <w:lang w:val="zh-CN" w:bidi="zh-CN"/>
              </w:rPr>
            </w:pPr>
            <w:r>
              <w:rPr>
                <w:rFonts w:hint="eastAsia"/>
                <w:color w:val="auto"/>
                <w:spacing w:val="-2"/>
                <w:lang w:val="zh-CN" w:bidi="zh-CN"/>
              </w:rPr>
              <w:t>竖流式沉淀池主要用</w:t>
            </w:r>
          </w:p>
          <w:p>
            <w:pPr>
              <w:pStyle w:val="132"/>
              <w:rPr>
                <w:color w:val="auto"/>
                <w:lang w:val="zh-CN" w:bidi="zh-CN"/>
              </w:rPr>
            </w:pPr>
            <w:r>
              <w:rPr>
                <w:rFonts w:hint="eastAsia"/>
                <w:color w:val="auto"/>
                <w:spacing w:val="-2"/>
                <w:lang w:val="zh-CN" w:bidi="zh-CN"/>
              </w:rPr>
              <w:t>于小型污水处理厂。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4" w:type="pct"/>
            <w:noWrap w:val="0"/>
            <w:vAlign w:val="center"/>
          </w:tcPr>
          <w:p>
            <w:pPr>
              <w:pStyle w:val="132"/>
              <w:rPr>
                <w:color w:val="auto"/>
                <w:lang w:val="zh-CN" w:bidi="zh-CN"/>
              </w:rPr>
            </w:pPr>
            <w:r>
              <w:rPr>
                <w:rFonts w:hint="eastAsia"/>
                <w:color w:val="auto"/>
                <w:lang w:val="zh-CN" w:bidi="zh-CN"/>
              </w:rPr>
              <w:t>辐流</w:t>
            </w:r>
          </w:p>
          <w:p>
            <w:pPr>
              <w:pStyle w:val="132"/>
              <w:rPr>
                <w:color w:val="auto"/>
                <w:lang w:val="zh-CN" w:bidi="zh-CN"/>
              </w:rPr>
            </w:pPr>
            <w:r>
              <w:rPr>
                <w:rFonts w:hint="eastAsia"/>
                <w:color w:val="auto"/>
                <w:lang w:val="zh-CN" w:bidi="zh-CN"/>
              </w:rPr>
              <w:t>式沉</w:t>
            </w:r>
          </w:p>
          <w:p>
            <w:pPr>
              <w:pStyle w:val="132"/>
              <w:rPr>
                <w:color w:val="auto"/>
                <w:lang w:val="zh-CN" w:bidi="zh-CN"/>
              </w:rPr>
            </w:pPr>
            <w:r>
              <w:rPr>
                <w:rFonts w:hint="eastAsia"/>
                <w:color w:val="auto"/>
                <w:lang w:val="zh-CN" w:bidi="zh-CN"/>
              </w:rPr>
              <w:t>淀池</w:t>
            </w:r>
          </w:p>
        </w:tc>
        <w:tc>
          <w:tcPr>
            <w:tcW w:w="1446" w:type="pct"/>
            <w:noWrap w:val="0"/>
            <w:vAlign w:val="center"/>
          </w:tcPr>
          <w:p>
            <w:pPr>
              <w:pStyle w:val="132"/>
              <w:rPr>
                <w:color w:val="auto"/>
                <w:lang w:val="zh-CN" w:bidi="zh-CN"/>
              </w:rPr>
            </w:pPr>
            <w:r>
              <w:rPr>
                <w:rFonts w:hint="eastAsia"/>
                <w:color w:val="auto"/>
                <w:spacing w:val="-3"/>
                <w:lang w:val="zh-CN" w:bidi="zh-CN"/>
              </w:rPr>
              <w:t>沉淀池个数较少，比较经济，便于管理；机械排泥设备已定型，排泥较方便。</w:t>
            </w:r>
          </w:p>
        </w:tc>
        <w:tc>
          <w:tcPr>
            <w:tcW w:w="1874" w:type="pct"/>
            <w:noWrap w:val="0"/>
            <w:vAlign w:val="center"/>
          </w:tcPr>
          <w:p>
            <w:pPr>
              <w:pStyle w:val="132"/>
              <w:rPr>
                <w:color w:val="auto"/>
                <w:spacing w:val="-3"/>
                <w:lang w:val="zh-CN" w:bidi="zh-CN"/>
              </w:rPr>
            </w:pPr>
            <w:r>
              <w:rPr>
                <w:rFonts w:hint="eastAsia"/>
                <w:color w:val="auto"/>
                <w:spacing w:val="-3"/>
                <w:lang w:val="zh-CN" w:bidi="zh-CN"/>
              </w:rPr>
              <w:t>池内水流不稳定，沉淀效果相对较差；排泥设备比较复杂，对运行管理要求较高；池体较大，对施工质</w:t>
            </w:r>
          </w:p>
          <w:p>
            <w:pPr>
              <w:pStyle w:val="132"/>
              <w:rPr>
                <w:color w:val="auto"/>
                <w:lang w:val="zh-CN" w:bidi="zh-CN"/>
              </w:rPr>
            </w:pPr>
            <w:r>
              <w:rPr>
                <w:rFonts w:hint="eastAsia"/>
                <w:color w:val="auto"/>
                <w:spacing w:val="-3"/>
                <w:lang w:val="zh-CN" w:bidi="zh-CN"/>
              </w:rPr>
              <w:t>量要求较高。</w:t>
            </w:r>
          </w:p>
        </w:tc>
        <w:tc>
          <w:tcPr>
            <w:tcW w:w="1246" w:type="pct"/>
            <w:noWrap w:val="0"/>
            <w:vAlign w:val="center"/>
          </w:tcPr>
          <w:p>
            <w:pPr>
              <w:pStyle w:val="132"/>
              <w:rPr>
                <w:color w:val="auto"/>
                <w:lang w:val="zh-CN" w:bidi="zh-CN"/>
              </w:rPr>
            </w:pPr>
            <w:r>
              <w:rPr>
                <w:rFonts w:hint="eastAsia"/>
                <w:color w:val="auto"/>
                <w:spacing w:val="-2"/>
                <w:lang w:val="zh-CN" w:bidi="zh-CN"/>
              </w:rPr>
              <w:t>适用于地下水位较高</w:t>
            </w:r>
          </w:p>
          <w:p>
            <w:pPr>
              <w:pStyle w:val="132"/>
              <w:rPr>
                <w:color w:val="auto"/>
                <w:lang w:val="zh-CN" w:bidi="zh-CN"/>
              </w:rPr>
            </w:pPr>
            <w:r>
              <w:rPr>
                <w:rFonts w:hint="eastAsia"/>
                <w:color w:val="auto"/>
                <w:spacing w:val="-2"/>
                <w:lang w:val="zh-CN" w:bidi="zh-CN"/>
              </w:rPr>
              <w:t>的地区以及大中型污</w:t>
            </w:r>
          </w:p>
          <w:p>
            <w:pPr>
              <w:pStyle w:val="132"/>
              <w:rPr>
                <w:color w:val="auto"/>
                <w:lang w:val="zh-CN" w:bidi="zh-CN"/>
              </w:rPr>
            </w:pPr>
            <w:r>
              <w:rPr>
                <w:rFonts w:hint="eastAsia"/>
                <w:color w:val="auto"/>
                <w:spacing w:val="-2"/>
                <w:lang w:val="zh-CN" w:bidi="zh-CN"/>
              </w:rPr>
              <w:t>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4" w:type="pct"/>
            <w:noWrap w:val="0"/>
            <w:vAlign w:val="center"/>
          </w:tcPr>
          <w:p>
            <w:pPr>
              <w:pStyle w:val="132"/>
              <w:rPr>
                <w:color w:val="auto"/>
                <w:lang w:val="zh-CN" w:bidi="zh-CN"/>
              </w:rPr>
            </w:pPr>
            <w:r>
              <w:rPr>
                <w:rFonts w:hint="eastAsia"/>
                <w:color w:val="auto"/>
                <w:lang w:val="zh-CN" w:bidi="zh-CN"/>
              </w:rPr>
              <w:t>斜管沉淀池</w:t>
            </w:r>
          </w:p>
        </w:tc>
        <w:tc>
          <w:tcPr>
            <w:tcW w:w="1446" w:type="pct"/>
            <w:noWrap w:val="0"/>
            <w:vAlign w:val="center"/>
          </w:tcPr>
          <w:p>
            <w:pPr>
              <w:pStyle w:val="132"/>
              <w:rPr>
                <w:color w:val="auto"/>
                <w:spacing w:val="-3"/>
                <w:lang w:val="zh-CN" w:bidi="zh-CN"/>
              </w:rPr>
            </w:pPr>
            <w:r>
              <w:rPr>
                <w:rFonts w:hint="eastAsia"/>
                <w:color w:val="auto"/>
                <w:spacing w:val="-3"/>
                <w:lang w:val="zh-CN" w:bidi="zh-CN"/>
              </w:rPr>
              <w:t>沉淀效果好；占地面积小；排泥方便。</w:t>
            </w:r>
          </w:p>
        </w:tc>
        <w:tc>
          <w:tcPr>
            <w:tcW w:w="1874" w:type="pct"/>
            <w:noWrap w:val="0"/>
            <w:vAlign w:val="center"/>
          </w:tcPr>
          <w:p>
            <w:pPr>
              <w:pStyle w:val="132"/>
              <w:rPr>
                <w:color w:val="auto"/>
                <w:spacing w:val="-3"/>
                <w:lang w:val="zh-CN" w:bidi="zh-CN"/>
              </w:rPr>
            </w:pPr>
            <w:r>
              <w:rPr>
                <w:rFonts w:hint="eastAsia"/>
                <w:color w:val="auto"/>
                <w:spacing w:val="-3"/>
                <w:lang w:val="zh-CN" w:bidi="zh-CN"/>
              </w:rPr>
              <w:t>进水</w:t>
            </w:r>
            <w:r>
              <w:rPr>
                <w:color w:val="auto"/>
                <w:spacing w:val="-3"/>
                <w:lang w:val="zh-CN" w:bidi="zh-CN"/>
              </w:rPr>
              <w:t>SS</w:t>
            </w:r>
            <w:r>
              <w:rPr>
                <w:rFonts w:hint="eastAsia"/>
                <w:color w:val="auto"/>
                <w:spacing w:val="-3"/>
                <w:lang w:val="zh-CN" w:bidi="zh-CN"/>
              </w:rPr>
              <w:t>浓度不易太高，易堵塞， 不宜作为二次沉淀池，造价高。</w:t>
            </w:r>
          </w:p>
        </w:tc>
        <w:tc>
          <w:tcPr>
            <w:tcW w:w="1246" w:type="pct"/>
            <w:noWrap w:val="0"/>
            <w:vAlign w:val="center"/>
          </w:tcPr>
          <w:p>
            <w:pPr>
              <w:pStyle w:val="132"/>
              <w:rPr>
                <w:color w:val="auto"/>
                <w:spacing w:val="-2"/>
                <w:lang w:val="zh-CN" w:bidi="zh-CN"/>
              </w:rPr>
            </w:pPr>
            <w:r>
              <w:rPr>
                <w:rFonts w:hint="eastAsia"/>
                <w:color w:val="auto"/>
                <w:spacing w:val="-2"/>
                <w:lang w:val="zh-CN" w:bidi="zh-CN"/>
              </w:rPr>
              <w:t>常用于污水处理厂的扩容改建，或在用地特别受限的污水处理</w:t>
            </w:r>
          </w:p>
          <w:p>
            <w:pPr>
              <w:pStyle w:val="132"/>
              <w:rPr>
                <w:color w:val="auto"/>
                <w:spacing w:val="-2"/>
                <w:lang w:val="zh-CN" w:bidi="zh-CN"/>
              </w:rPr>
            </w:pPr>
            <w:r>
              <w:rPr>
                <w:rFonts w:hint="eastAsia"/>
                <w:color w:val="auto"/>
                <w:spacing w:val="-2"/>
                <w:lang w:val="zh-CN" w:bidi="zh-CN"/>
              </w:rPr>
              <w:t>厂中应用。</w:t>
            </w:r>
          </w:p>
        </w:tc>
      </w:tr>
    </w:tbl>
    <w:p>
      <w:pPr>
        <w:ind w:firstLine="464"/>
        <w:rPr>
          <w:lang w:val="zh-CN" w:bidi="zh-CN"/>
        </w:rPr>
      </w:pPr>
      <w:r>
        <w:rPr>
          <w:lang w:val="zh-CN" w:bidi="zh-CN"/>
        </w:rPr>
        <w:t>考虑到建设用地</w:t>
      </w:r>
      <w:r>
        <w:rPr>
          <w:rFonts w:hint="eastAsia"/>
          <w:lang w:val="zh-CN" w:bidi="zh-CN"/>
        </w:rPr>
        <w:t>面积</w:t>
      </w:r>
      <w:r>
        <w:rPr>
          <w:lang w:val="zh-CN" w:bidi="zh-CN"/>
        </w:rPr>
        <w:t>紧张，</w:t>
      </w:r>
      <w:r>
        <w:rPr>
          <w:rFonts w:hint="eastAsia"/>
          <w:lang w:val="zh-CN" w:bidi="zh-CN"/>
        </w:rPr>
        <w:t>项目进水重金属浓度已经企业厂区污水处理站进行处理，浓度较低</w:t>
      </w:r>
      <w:r>
        <w:rPr>
          <w:lang w:val="zh-CN" w:bidi="zh-CN"/>
        </w:rPr>
        <w:t>，因此，本方案一级反应沉淀将采用</w:t>
      </w:r>
      <w:r>
        <w:rPr>
          <w:rFonts w:hint="eastAsia"/>
          <w:lang w:val="zh-CN" w:bidi="zh-CN"/>
        </w:rPr>
        <w:t>竖流</w:t>
      </w:r>
      <w:r>
        <w:rPr>
          <w:lang w:val="zh-CN" w:bidi="zh-CN"/>
        </w:rPr>
        <w:t>沉淀池作为污水处理固液分离设施。</w:t>
      </w:r>
      <w:r>
        <w:rPr>
          <w:spacing w:val="-4"/>
          <w:lang w:val="zh-CN" w:bidi="zh-CN"/>
        </w:rPr>
        <w:t>污水经一级反应沉淀后大部分污染物和悬浮物已经得到去除，二级混凝沉淀的进水</w:t>
      </w:r>
      <w:r>
        <w:rPr>
          <w:lang w:val="zh-CN" w:bidi="zh-CN"/>
        </w:rPr>
        <w:t>水质已经较为清澈。因此二级混凝沉淀推荐采用适合低污染浓度场合且悬浮物去除效果极高的高效沉淀池。</w:t>
      </w:r>
      <w:r>
        <w:rPr>
          <w:rFonts w:hint="eastAsia"/>
          <w:lang w:val="zh-CN" w:bidi="zh-CN"/>
        </w:rPr>
        <w:t>因此，项目二级采用斜管沉淀池。</w:t>
      </w:r>
    </w:p>
    <w:p>
      <w:pPr>
        <w:ind w:firstLine="440"/>
        <w:rPr>
          <w:spacing w:val="-10"/>
          <w:lang w:val="zh-CN" w:bidi="zh-CN"/>
        </w:rPr>
      </w:pPr>
      <w:r>
        <w:rPr>
          <w:rFonts w:hint="eastAsia"/>
          <w:spacing w:val="-10"/>
          <w:lang w:val="zh-CN" w:bidi="zh-CN"/>
        </w:rPr>
        <w:t>竖流式沉淀池又称立式沉淀池，是池中废水竖向流动的沉淀池。池体平面图形为圆形或方形，水由设在池中心的进水管自上而下进入池内（管中流速应小于30mm/s），管下设伞形挡板使废水在池中均匀分布后沿整个过水断面缓慢上升（对于生活污水一般为0.5-0.7mm/s，沉淀时间采用1-1.5h），悬浮物沉降进入池底锥形沉泥斗中，澄清水从池四周沿周边溢流堰流出。堰前设挡板及浮渣槽以截留浮渣保证出水水质。池的一边靠池壁设排泥管（直径大于200mm）靠静水压将泥定期排出。竖流式沉淀池的优点是占地面积小，排泥容易，缺点是深度大，施工困难，造价高。常用于处理水量小于20000m/d的污水处理厂。</w:t>
      </w:r>
    </w:p>
    <w:p>
      <w:pPr>
        <w:ind w:firstLine="440"/>
        <w:rPr>
          <w:lang w:val="zh-CN" w:bidi="zh-CN"/>
        </w:rPr>
      </w:pPr>
      <w:r>
        <w:rPr>
          <w:spacing w:val="-10"/>
          <w:lang w:val="zh-CN" w:bidi="zh-CN"/>
        </w:rPr>
        <w:t>斜板</w:t>
      </w:r>
      <w:r>
        <w:rPr>
          <w:lang w:val="zh-CN" w:bidi="zh-CN"/>
        </w:rPr>
        <w:t>（管</w:t>
      </w:r>
      <w:r>
        <w:rPr>
          <w:spacing w:val="-20"/>
          <w:lang w:val="zh-CN" w:bidi="zh-CN"/>
        </w:rPr>
        <w:t>）</w:t>
      </w:r>
      <w:r>
        <w:rPr>
          <w:spacing w:val="-3"/>
          <w:lang w:val="zh-CN" w:bidi="zh-CN"/>
        </w:rPr>
        <w:t>沉淀池是根据浅池沉淀理论设计出的一种高效组合式沉淀池；水沿斜板或斜</w:t>
      </w:r>
      <w:r>
        <w:rPr>
          <w:spacing w:val="-4"/>
          <w:lang w:val="zh-CN" w:bidi="zh-CN"/>
        </w:rPr>
        <w:t>管上升流动，分离出的泥渣在重力作用下沿着斜板</w:t>
      </w:r>
      <w:r>
        <w:rPr>
          <w:lang w:val="zh-CN" w:bidi="zh-CN"/>
        </w:rPr>
        <w:t>（管</w:t>
      </w:r>
      <w:r>
        <w:rPr>
          <w:spacing w:val="-15"/>
          <w:lang w:val="zh-CN" w:bidi="zh-CN"/>
        </w:rPr>
        <w:t>）</w:t>
      </w:r>
      <w:r>
        <w:rPr>
          <w:spacing w:val="-4"/>
          <w:lang w:val="zh-CN" w:bidi="zh-CN"/>
        </w:rPr>
        <w:t>向下滑至池底。沉淀效率仅为沉淀</w:t>
      </w:r>
      <w:r>
        <w:rPr>
          <w:spacing w:val="-9"/>
          <w:lang w:val="zh-CN" w:bidi="zh-CN"/>
        </w:rPr>
        <w:t xml:space="preserve">池表面积的函数，而与水深无关。当沉淀池容积为定值时，池子越浅则 </w:t>
      </w:r>
      <w:r>
        <w:rPr>
          <w:rFonts w:eastAsia="Times New Roman"/>
          <w:lang w:val="zh-CN" w:bidi="zh-CN"/>
        </w:rPr>
        <w:t>A</w:t>
      </w:r>
      <w:r>
        <w:rPr>
          <w:spacing w:val="-7"/>
          <w:lang w:val="zh-CN" w:bidi="zh-CN"/>
        </w:rPr>
        <w:t>值越大，沉淀效率</w:t>
      </w:r>
      <w:r>
        <w:rPr>
          <w:lang w:val="zh-CN" w:bidi="zh-CN"/>
        </w:rPr>
        <w:t>越高。斜板冲洗系统为了保持长期运行过程中的功能效果，需要定期对进行反冲洗。</w:t>
      </w:r>
    </w:p>
    <w:p>
      <w:pPr>
        <w:keepNext/>
        <w:keepLines/>
        <w:ind w:firstLine="0" w:firstLineChars="0"/>
        <w:outlineLvl w:val="3"/>
        <w:rPr>
          <w:rFonts w:hint="eastAsia"/>
          <w:b/>
          <w:color w:val="000000"/>
          <w:kern w:val="0"/>
          <w:lang w:bidi="zh-CN"/>
        </w:rPr>
      </w:pPr>
      <w:r>
        <w:rPr>
          <w:b/>
          <w:color w:val="000000"/>
          <w:kern w:val="0"/>
          <w:lang w:bidi="zh-CN"/>
        </w:rPr>
        <w:t>2.3</w:t>
      </w:r>
      <w:r>
        <w:rPr>
          <w:rFonts w:hint="eastAsia"/>
          <w:b/>
          <w:color w:val="000000"/>
          <w:kern w:val="0"/>
          <w:lang w:bidi="zh-CN"/>
        </w:rPr>
        <w:t>.</w:t>
      </w:r>
      <w:r>
        <w:rPr>
          <w:rFonts w:hint="eastAsia"/>
          <w:b/>
          <w:color w:val="000000"/>
          <w:kern w:val="0"/>
          <w:lang w:val="en-US" w:bidi="zh-CN"/>
        </w:rPr>
        <w:t>2</w:t>
      </w:r>
      <w:r>
        <w:rPr>
          <w:rFonts w:hint="eastAsia"/>
          <w:b/>
          <w:color w:val="000000"/>
          <w:kern w:val="0"/>
          <w:lang w:bidi="zh-CN"/>
        </w:rPr>
        <w:t>.</w:t>
      </w:r>
      <w:r>
        <w:rPr>
          <w:rFonts w:hint="eastAsia"/>
          <w:b/>
          <w:color w:val="000000"/>
          <w:kern w:val="0"/>
          <w:lang w:val="en-US" w:bidi="zh-CN"/>
        </w:rPr>
        <w:t>5</w:t>
      </w:r>
      <w:r>
        <w:rPr>
          <w:rFonts w:hint="eastAsia"/>
          <w:b/>
          <w:color w:val="000000"/>
          <w:kern w:val="0"/>
          <w:lang w:bidi="zh-CN"/>
        </w:rPr>
        <w:t>污泥处理工艺</w:t>
      </w:r>
    </w:p>
    <w:p>
      <w:pPr>
        <w:ind w:firstLine="480"/>
        <w:rPr>
          <w:rFonts w:hint="eastAsia"/>
          <w:lang w:val="zh-CN" w:bidi="zh-CN"/>
        </w:rPr>
      </w:pPr>
      <w:r>
        <w:rPr>
          <w:rFonts w:hint="eastAsia"/>
          <w:lang w:val="zh-CN" w:bidi="zh-CN"/>
        </w:rPr>
        <w:t>污泥机械脱水的效率与污泥的性质、脱水机械的选择等直接有关，具体选择何种类型脱水机械，应根据污泥的性质，现场条件等，综合考虑技术、经济、环境和运行管理等因素确定。</w:t>
      </w:r>
    </w:p>
    <w:p>
      <w:pPr>
        <w:ind w:firstLine="480"/>
        <w:rPr>
          <w:lang w:val="zh-CN" w:bidi="zh-CN"/>
        </w:rPr>
      </w:pPr>
      <w:r>
        <w:rPr>
          <w:rFonts w:hint="eastAsia"/>
          <w:lang w:val="zh-CN" w:bidi="zh-CN"/>
        </w:rPr>
        <w:t>目前在给水厂和污水处理厂的污泥处理中，用于污泥脱水的机械设备主要有带式压滤机、板框压滤机、离心脱水机等三种形式。近年来，叠螺式污泥脱水机在我国也得到了发展、创新和推广。为了选择经济，高效，节能脱水方式，本方案对这四种机械脱水性能进行了比较，详见表</w:t>
      </w:r>
      <w:r>
        <w:rPr>
          <w:rFonts w:hint="eastAsia"/>
          <w:lang w:val="en-US" w:bidi="zh-CN"/>
        </w:rPr>
        <w:t>2</w:t>
      </w:r>
      <w:r>
        <w:rPr>
          <w:lang w:val="zh-CN" w:bidi="zh-CN"/>
        </w:rPr>
        <w:t>.3-2</w:t>
      </w:r>
      <w:r>
        <w:rPr>
          <w:rFonts w:hint="eastAsia"/>
          <w:lang w:val="zh-CN" w:bidi="zh-CN"/>
        </w:rPr>
        <w:t>：</w:t>
      </w:r>
    </w:p>
    <w:p>
      <w:pPr>
        <w:pStyle w:val="98"/>
        <w:rPr>
          <w:lang w:val="zh-CN" w:bidi="zh-CN"/>
        </w:rPr>
      </w:pPr>
      <w:r>
        <w:rPr>
          <w:lang w:val="zh-CN" w:bidi="zh-CN"/>
        </w:rPr>
        <w:t>表</w:t>
      </w:r>
      <w:r>
        <w:rPr>
          <w:spacing w:val="-52"/>
          <w:lang w:val="zh-CN" w:bidi="zh-CN"/>
        </w:rPr>
        <w:t xml:space="preserve"> </w:t>
      </w:r>
      <w:r>
        <w:rPr>
          <w:rFonts w:hint="eastAsia" w:eastAsia="等线"/>
          <w:lang w:val="en-US" w:bidi="zh-CN"/>
        </w:rPr>
        <w:t>2</w:t>
      </w:r>
      <w:r>
        <w:rPr>
          <w:rFonts w:eastAsia="等线"/>
          <w:lang w:val="zh-CN" w:bidi="zh-CN"/>
        </w:rPr>
        <w:t>.3-2</w:t>
      </w:r>
      <w:r>
        <w:rPr>
          <w:rFonts w:eastAsia="Times New Roman"/>
          <w:lang w:val="zh-CN" w:bidi="zh-CN"/>
        </w:rPr>
        <w:tab/>
      </w:r>
      <w:r>
        <w:rPr>
          <w:lang w:val="zh-CN" w:bidi="zh-CN"/>
        </w:rPr>
        <w:t>各机械脱水</w:t>
      </w:r>
      <w:r>
        <w:rPr>
          <w:spacing w:val="-3"/>
          <w:lang w:val="zh-CN" w:bidi="zh-CN"/>
        </w:rPr>
        <w:t>机</w:t>
      </w:r>
      <w:r>
        <w:rPr>
          <w:lang w:val="zh-CN" w:bidi="zh-CN"/>
        </w:rPr>
        <w:t>对比表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51"/>
        <w:gridCol w:w="1095"/>
        <w:gridCol w:w="1556"/>
        <w:gridCol w:w="1516"/>
        <w:gridCol w:w="1423"/>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5" w:type="pct"/>
            <w:noWrap w:val="0"/>
            <w:vAlign w:val="center"/>
          </w:tcPr>
          <w:p>
            <w:pPr>
              <w:pStyle w:val="79"/>
              <w:rPr>
                <w:b/>
                <w:bCs/>
                <w:color w:val="auto"/>
              </w:rPr>
            </w:pPr>
            <w:r>
              <w:rPr>
                <w:rFonts w:hint="eastAsia"/>
                <w:b/>
                <w:bCs/>
                <w:color w:val="auto"/>
              </w:rPr>
              <w:t>项目</w:t>
            </w:r>
          </w:p>
        </w:tc>
        <w:tc>
          <w:tcPr>
            <w:tcW w:w="663" w:type="pct"/>
            <w:noWrap w:val="0"/>
            <w:vAlign w:val="center"/>
          </w:tcPr>
          <w:p>
            <w:pPr>
              <w:pStyle w:val="79"/>
              <w:rPr>
                <w:b/>
                <w:bCs/>
                <w:color w:val="auto"/>
              </w:rPr>
            </w:pPr>
            <w:r>
              <w:rPr>
                <w:rFonts w:hint="eastAsia"/>
                <w:b/>
                <w:bCs/>
                <w:color w:val="auto"/>
              </w:rPr>
              <w:t>离心脱水机</w:t>
            </w:r>
          </w:p>
        </w:tc>
        <w:tc>
          <w:tcPr>
            <w:tcW w:w="0" w:type="auto"/>
            <w:noWrap w:val="0"/>
            <w:vAlign w:val="center"/>
          </w:tcPr>
          <w:p>
            <w:pPr>
              <w:pStyle w:val="79"/>
              <w:rPr>
                <w:b/>
                <w:bCs/>
                <w:color w:val="auto"/>
              </w:rPr>
            </w:pPr>
            <w:r>
              <w:rPr>
                <w:rFonts w:hint="eastAsia"/>
                <w:b/>
                <w:bCs/>
                <w:color w:val="auto"/>
              </w:rPr>
              <w:t>叠螺脱水机</w:t>
            </w:r>
          </w:p>
        </w:tc>
        <w:tc>
          <w:tcPr>
            <w:tcW w:w="0" w:type="auto"/>
            <w:noWrap w:val="0"/>
            <w:vAlign w:val="center"/>
          </w:tcPr>
          <w:p>
            <w:pPr>
              <w:pStyle w:val="79"/>
              <w:rPr>
                <w:b/>
                <w:bCs/>
                <w:color w:val="auto"/>
              </w:rPr>
            </w:pPr>
            <w:r>
              <w:rPr>
                <w:rFonts w:hint="eastAsia"/>
                <w:b/>
                <w:bCs/>
                <w:color w:val="auto"/>
              </w:rPr>
              <w:t>带式压滤机</w:t>
            </w:r>
          </w:p>
        </w:tc>
        <w:tc>
          <w:tcPr>
            <w:tcW w:w="0" w:type="auto"/>
            <w:noWrap w:val="0"/>
            <w:vAlign w:val="center"/>
          </w:tcPr>
          <w:p>
            <w:pPr>
              <w:pStyle w:val="79"/>
              <w:rPr>
                <w:b/>
                <w:bCs/>
                <w:color w:val="auto"/>
              </w:rPr>
            </w:pPr>
            <w:r>
              <w:rPr>
                <w:rFonts w:hint="eastAsia"/>
                <w:b/>
                <w:bCs/>
                <w:color w:val="auto"/>
              </w:rPr>
              <w:t>板框压滤机</w:t>
            </w:r>
          </w:p>
        </w:tc>
        <w:tc>
          <w:tcPr>
            <w:tcW w:w="0" w:type="auto"/>
            <w:noWrap w:val="0"/>
            <w:vAlign w:val="center"/>
          </w:tcPr>
          <w:p>
            <w:pPr>
              <w:pStyle w:val="79"/>
              <w:rPr>
                <w:b/>
                <w:bCs/>
                <w:color w:val="auto"/>
              </w:rPr>
            </w:pPr>
            <w:r>
              <w:rPr>
                <w:rFonts w:hint="eastAsia"/>
                <w:b/>
                <w:bCs/>
                <w:color w:val="auto"/>
              </w:rPr>
              <w:t>真空过滤机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5" w:type="pct"/>
            <w:noWrap w:val="0"/>
            <w:vAlign w:val="center"/>
          </w:tcPr>
          <w:p>
            <w:pPr>
              <w:pStyle w:val="79"/>
              <w:rPr>
                <w:color w:val="auto"/>
                <w:sz w:val="20"/>
              </w:rPr>
            </w:pPr>
          </w:p>
          <w:p>
            <w:pPr>
              <w:pStyle w:val="79"/>
              <w:rPr>
                <w:color w:val="auto"/>
                <w:sz w:val="20"/>
              </w:rPr>
            </w:pPr>
          </w:p>
          <w:p>
            <w:pPr>
              <w:pStyle w:val="79"/>
              <w:rPr>
                <w:color w:val="auto"/>
                <w:sz w:val="20"/>
              </w:rPr>
            </w:pPr>
          </w:p>
          <w:p>
            <w:pPr>
              <w:pStyle w:val="79"/>
              <w:rPr>
                <w:color w:val="auto"/>
                <w:sz w:val="20"/>
              </w:rPr>
            </w:pPr>
          </w:p>
          <w:p>
            <w:pPr>
              <w:pStyle w:val="79"/>
              <w:rPr>
                <w:color w:val="auto"/>
                <w:sz w:val="20"/>
              </w:rPr>
            </w:pPr>
          </w:p>
          <w:p>
            <w:pPr>
              <w:pStyle w:val="79"/>
              <w:rPr>
                <w:color w:val="auto"/>
                <w:sz w:val="20"/>
              </w:rPr>
            </w:pPr>
          </w:p>
          <w:p>
            <w:pPr>
              <w:pStyle w:val="79"/>
              <w:rPr>
                <w:color w:val="auto"/>
                <w:sz w:val="20"/>
              </w:rPr>
            </w:pPr>
          </w:p>
          <w:p>
            <w:pPr>
              <w:pStyle w:val="79"/>
              <w:rPr>
                <w:color w:val="auto"/>
                <w:sz w:val="20"/>
              </w:rPr>
            </w:pPr>
          </w:p>
          <w:p>
            <w:pPr>
              <w:pStyle w:val="79"/>
              <w:rPr>
                <w:color w:val="auto"/>
                <w:sz w:val="20"/>
              </w:rPr>
            </w:pPr>
          </w:p>
          <w:p>
            <w:pPr>
              <w:pStyle w:val="79"/>
              <w:rPr>
                <w:color w:val="auto"/>
                <w:sz w:val="20"/>
              </w:rPr>
            </w:pPr>
          </w:p>
          <w:p>
            <w:pPr>
              <w:pStyle w:val="79"/>
              <w:rPr>
                <w:color w:val="auto"/>
                <w:sz w:val="20"/>
              </w:rPr>
            </w:pPr>
          </w:p>
          <w:p>
            <w:pPr>
              <w:pStyle w:val="79"/>
              <w:rPr>
                <w:color w:val="auto"/>
              </w:rPr>
            </w:pPr>
            <w:r>
              <w:rPr>
                <w:rFonts w:hint="eastAsia"/>
                <w:color w:val="auto"/>
              </w:rPr>
              <w:t>工作原理</w:t>
            </w:r>
          </w:p>
        </w:tc>
        <w:tc>
          <w:tcPr>
            <w:tcW w:w="663" w:type="pct"/>
            <w:noWrap w:val="0"/>
            <w:vAlign w:val="center"/>
          </w:tcPr>
          <w:p>
            <w:pPr>
              <w:pStyle w:val="79"/>
              <w:rPr>
                <w:color w:val="auto"/>
              </w:rPr>
            </w:pPr>
            <w:r>
              <w:rPr>
                <w:rFonts w:hint="eastAsia"/>
                <w:color w:val="auto"/>
              </w:rPr>
              <w:t>污泥从转鼓的一端通过布料器进入转鼓内，与转鼓一起高速旋转并产生较高的离心力，在离心 力 作 用下，污泥的固液相按重量 沉 降 分离。通过卸料螺旋与转鼓的差速产生 的 相对位移，将分离后的污泥排出。</w:t>
            </w:r>
          </w:p>
        </w:tc>
        <w:tc>
          <w:tcPr>
            <w:tcW w:w="0" w:type="auto"/>
            <w:noWrap w:val="0"/>
            <w:vAlign w:val="center"/>
          </w:tcPr>
          <w:p>
            <w:pPr>
              <w:pStyle w:val="79"/>
              <w:rPr>
                <w:color w:val="auto"/>
              </w:rPr>
            </w:pPr>
            <w:r>
              <w:rPr>
                <w:rFonts w:hint="eastAsia"/>
                <w:color w:val="auto"/>
              </w:rPr>
              <w:t>叠螺脱水分浓缩及脱水两步。</w:t>
            </w:r>
            <w:r>
              <w:rPr>
                <w:color w:val="auto"/>
              </w:rPr>
              <w:t>1</w:t>
            </w:r>
            <w:r>
              <w:rPr>
                <w:rFonts w:hint="eastAsia"/>
                <w:color w:val="auto"/>
              </w:rPr>
              <w:t>、浓缩：当螺旋推动轴转动时，设在推动轴外围的多重固活叠片相对移动，在重力作用下，水从相对移动的叠片间隙中滤出，实现快速浓缩。</w:t>
            </w:r>
          </w:p>
          <w:p>
            <w:pPr>
              <w:pStyle w:val="79"/>
              <w:rPr>
                <w:color w:val="auto"/>
              </w:rPr>
            </w:pPr>
            <w:r>
              <w:rPr>
                <w:color w:val="auto"/>
              </w:rPr>
              <w:t>2</w:t>
            </w:r>
            <w:r>
              <w:rPr>
                <w:rFonts w:hint="eastAsia"/>
                <w:color w:val="auto"/>
              </w:rPr>
              <w:t>、脱水：经过浓缩的污泥随着螺旋轴的转动不断往前移动；沿泥饼出口方向，螺旋轴的螺距逐渐变小，环与环之间的间隙也逐渐变小，螺旋腔的体积不断收缩； 在出口处背压板的作用下，内压逐渐增强，在螺旋推动轴依次连续运转推动下，污泥中的水分受挤压排出，滤饼含固量不断升高，最终实现污泥的连续脱水。</w:t>
            </w:r>
          </w:p>
        </w:tc>
        <w:tc>
          <w:tcPr>
            <w:tcW w:w="0" w:type="auto"/>
            <w:noWrap w:val="0"/>
            <w:vAlign w:val="center"/>
          </w:tcPr>
          <w:p>
            <w:pPr>
              <w:pStyle w:val="79"/>
              <w:rPr>
                <w:color w:val="auto"/>
              </w:rPr>
            </w:pPr>
            <w:r>
              <w:rPr>
                <w:rFonts w:hint="eastAsia"/>
                <w:color w:val="auto"/>
              </w:rPr>
              <w:t>带式压滤机脱水是将污泥夹在上下两条张紧的滤带中间， 靠滤带本身的张力形成对污泥层的压榨力和剪切力，把污泥层中的水分 挤压出来， 形成滤液；而因体颗粒被截留在滤带上，形成泥饼， 从而实现污泥脱水。</w:t>
            </w:r>
          </w:p>
        </w:tc>
        <w:tc>
          <w:tcPr>
            <w:tcW w:w="0" w:type="auto"/>
            <w:noWrap w:val="0"/>
            <w:vAlign w:val="center"/>
          </w:tcPr>
          <w:p>
            <w:pPr>
              <w:pStyle w:val="79"/>
              <w:rPr>
                <w:color w:val="auto"/>
              </w:rPr>
            </w:pPr>
            <w:r>
              <w:rPr>
                <w:rFonts w:hint="eastAsia"/>
                <w:color w:val="auto"/>
              </w:rPr>
              <w:t>板框压滤机靠液压装置的作用下将凹形滤板闭合，形成滤室，当泥水经泵压入滤室后，水通过滤布形成滤液，滤液在泵压下经板间通路排出，污泥留在滤室中，从而使泥水分离。</w:t>
            </w:r>
          </w:p>
        </w:tc>
        <w:tc>
          <w:tcPr>
            <w:tcW w:w="0" w:type="auto"/>
            <w:noWrap w:val="0"/>
            <w:vAlign w:val="center"/>
          </w:tcPr>
          <w:p>
            <w:pPr>
              <w:pStyle w:val="79"/>
              <w:rPr>
                <w:color w:val="auto"/>
              </w:rPr>
            </w:pPr>
            <w:r>
              <w:rPr>
                <w:rFonts w:hint="eastAsia"/>
                <w:color w:val="auto"/>
              </w:rPr>
              <w:t>环形胶带由电机经减速拖动连续运行，滤布铺敷在胶带上与之同步运行。胶带与真空室滑动接触（真空室与胶带间有环形磨擦带并通入水形成水密封），当真空室接通真空系统时，在胶带上形成真空抽滤区；料浆由布料器均匀地布在滤布上，在真空的作用下，滤液穿过滤布经胶带上的横沟槽汇总并由小孔进入真空室，固体颗粒被截留而形式滤饼；进入真空的液体经气水分离器排出。随着橡胶带移动已形成的滤饼依次进入滤饼洗涤区、吸干区；滤布与胶带分开，在卸滤饼辊处将滤饼卸出；卸除滤饼的滤布经清洗后获得；再经过一组支承辊和纠偏装置后重新进入过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5" w:type="pct"/>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进泥含固率要求</w:t>
            </w:r>
          </w:p>
        </w:tc>
        <w:tc>
          <w:tcPr>
            <w:tcW w:w="663" w:type="pct"/>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2%～3%</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1.5～5%</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3%～5%</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1.5%～3%</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5" w:type="pct"/>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spacing w:val="-9"/>
              </w:rPr>
              <w:t>脱水污泥含固浓度</w:t>
            </w:r>
          </w:p>
          <w:p>
            <w:pPr>
              <w:pStyle w:val="79"/>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spacing w:val="-17"/>
              </w:rPr>
              <w:t>活</w:t>
            </w:r>
            <w:r>
              <w:rPr>
                <w:rFonts w:hint="default" w:ascii="Times New Roman" w:hAnsi="Times New Roman" w:cs="Times New Roman"/>
                <w:color w:val="auto"/>
                <w:spacing w:val="-9"/>
              </w:rPr>
              <w:t>性污</w:t>
            </w:r>
            <w:r>
              <w:rPr>
                <w:rFonts w:hint="default" w:ascii="Times New Roman" w:hAnsi="Times New Roman" w:cs="Times New Roman"/>
                <w:color w:val="auto"/>
              </w:rPr>
              <w:t>泥</w:t>
            </w:r>
            <w:r>
              <w:rPr>
                <w:rFonts w:hint="default" w:ascii="Times New Roman" w:hAnsi="Times New Roman" w:cs="Times New Roman"/>
                <w:color w:val="auto"/>
                <w:spacing w:val="-17"/>
              </w:rPr>
              <w:t>）</w:t>
            </w:r>
          </w:p>
        </w:tc>
        <w:tc>
          <w:tcPr>
            <w:tcW w:w="663" w:type="pct"/>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30%以下</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20%以下</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20%以下</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30%</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20%以下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5" w:type="pct"/>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能耗</w:t>
            </w:r>
          </w:p>
        </w:tc>
        <w:tc>
          <w:tcPr>
            <w:tcW w:w="663" w:type="pct"/>
            <w:noWrap w:val="0"/>
            <w:vAlign w:val="center"/>
          </w:tcPr>
          <w:p>
            <w:pPr>
              <w:pStyle w:val="79"/>
              <w:rPr>
                <w:rFonts w:hint="default" w:ascii="Times New Roman" w:hAnsi="Times New Roman" w:cs="Times New Roman"/>
                <w:color w:val="auto"/>
                <w:sz w:val="14"/>
              </w:rPr>
            </w:pPr>
            <w:r>
              <w:rPr>
                <w:rFonts w:hint="default" w:ascii="Times New Roman" w:hAnsi="Times New Roman" w:cs="Times New Roman"/>
                <w:color w:val="auto"/>
              </w:rPr>
              <w:t>1.3kW·h/m</w:t>
            </w:r>
            <w:r>
              <w:rPr>
                <w:rFonts w:hint="default" w:ascii="Times New Roman" w:hAnsi="Times New Roman" w:cs="Times New Roman"/>
                <w:color w:val="auto"/>
                <w:position w:val="7"/>
                <w:sz w:val="14"/>
              </w:rPr>
              <w:t>3</w:t>
            </w:r>
          </w:p>
        </w:tc>
        <w:tc>
          <w:tcPr>
            <w:tcW w:w="0" w:type="auto"/>
            <w:noWrap w:val="0"/>
            <w:vAlign w:val="center"/>
          </w:tcPr>
          <w:p>
            <w:pPr>
              <w:pStyle w:val="79"/>
              <w:rPr>
                <w:rFonts w:hint="default" w:ascii="Times New Roman" w:hAnsi="Times New Roman" w:cs="Times New Roman"/>
                <w:color w:val="auto"/>
                <w:sz w:val="14"/>
              </w:rPr>
            </w:pPr>
            <w:r>
              <w:rPr>
                <w:rFonts w:hint="default" w:ascii="Times New Roman" w:hAnsi="Times New Roman" w:cs="Times New Roman"/>
                <w:color w:val="auto"/>
              </w:rPr>
              <w:t>0.3 kW·h/m</w:t>
            </w:r>
            <w:r>
              <w:rPr>
                <w:rFonts w:hint="default" w:ascii="Times New Roman" w:hAnsi="Times New Roman" w:cs="Times New Roman"/>
                <w:color w:val="auto"/>
                <w:position w:val="7"/>
                <w:sz w:val="14"/>
              </w:rPr>
              <w:t>3</w:t>
            </w:r>
          </w:p>
        </w:tc>
        <w:tc>
          <w:tcPr>
            <w:tcW w:w="0" w:type="auto"/>
            <w:noWrap w:val="0"/>
            <w:vAlign w:val="center"/>
          </w:tcPr>
          <w:p>
            <w:pPr>
              <w:pStyle w:val="79"/>
              <w:rPr>
                <w:rFonts w:hint="default" w:ascii="Times New Roman" w:hAnsi="Times New Roman" w:cs="Times New Roman"/>
                <w:color w:val="auto"/>
                <w:sz w:val="14"/>
              </w:rPr>
            </w:pPr>
            <w:r>
              <w:rPr>
                <w:rFonts w:hint="default" w:ascii="Times New Roman" w:hAnsi="Times New Roman" w:cs="Times New Roman"/>
                <w:color w:val="auto"/>
              </w:rPr>
              <w:t>1.4kW·h/m</w:t>
            </w:r>
            <w:r>
              <w:rPr>
                <w:rFonts w:hint="default" w:ascii="Times New Roman" w:hAnsi="Times New Roman" w:cs="Times New Roman"/>
                <w:color w:val="auto"/>
                <w:position w:val="7"/>
                <w:sz w:val="14"/>
              </w:rPr>
              <w:t>3</w:t>
            </w:r>
          </w:p>
        </w:tc>
        <w:tc>
          <w:tcPr>
            <w:tcW w:w="0" w:type="auto"/>
            <w:noWrap w:val="0"/>
            <w:vAlign w:val="center"/>
          </w:tcPr>
          <w:p>
            <w:pPr>
              <w:pStyle w:val="79"/>
              <w:rPr>
                <w:rFonts w:hint="default" w:ascii="Times New Roman" w:hAnsi="Times New Roman" w:cs="Times New Roman"/>
                <w:color w:val="auto"/>
                <w:sz w:val="14"/>
              </w:rPr>
            </w:pPr>
            <w:r>
              <w:rPr>
                <w:rFonts w:hint="default" w:ascii="Times New Roman" w:hAnsi="Times New Roman" w:cs="Times New Roman"/>
                <w:color w:val="auto"/>
              </w:rPr>
              <w:t>0.3kW·h/m</w:t>
            </w:r>
            <w:r>
              <w:rPr>
                <w:rFonts w:hint="default" w:ascii="Times New Roman" w:hAnsi="Times New Roman" w:cs="Times New Roman"/>
                <w:color w:val="auto"/>
                <w:position w:val="7"/>
                <w:sz w:val="14"/>
              </w:rPr>
              <w:t>3</w:t>
            </w:r>
          </w:p>
        </w:tc>
        <w:tc>
          <w:tcPr>
            <w:tcW w:w="0" w:type="auto"/>
            <w:noWrap w:val="0"/>
            <w:vAlign w:val="center"/>
          </w:tcPr>
          <w:p>
            <w:pPr>
              <w:pStyle w:val="79"/>
              <w:rPr>
                <w:rFonts w:hint="default" w:ascii="Times New Roman" w:hAnsi="Times New Roman" w:cs="Times New Roman"/>
                <w:color w:val="auto"/>
                <w:sz w:val="14"/>
              </w:rPr>
            </w:pPr>
            <w:r>
              <w:rPr>
                <w:rFonts w:hint="default" w:ascii="Times New Roman" w:hAnsi="Times New Roman" w:cs="Times New Roman"/>
                <w:color w:val="auto"/>
              </w:rPr>
              <w:t>1.5kW·h/m</w:t>
            </w:r>
            <w:r>
              <w:rPr>
                <w:rFonts w:hint="default" w:ascii="Times New Roman" w:hAnsi="Times New Roman" w:cs="Times New Roman"/>
                <w:color w:val="auto"/>
                <w:position w:val="7"/>
                <w:sz w:val="1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5" w:type="pct"/>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工作状态</w:t>
            </w:r>
          </w:p>
        </w:tc>
        <w:tc>
          <w:tcPr>
            <w:tcW w:w="663" w:type="pct"/>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可连续运行</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可连续运行</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可连续运行</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间歇运行</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可连续运行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5" w:type="pct"/>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操作环境</w:t>
            </w:r>
          </w:p>
        </w:tc>
        <w:tc>
          <w:tcPr>
            <w:tcW w:w="663" w:type="pct"/>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封闭式</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封闭式</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开放式</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封闭式</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开放式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5" w:type="pct"/>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占地面积</w:t>
            </w:r>
          </w:p>
        </w:tc>
        <w:tc>
          <w:tcPr>
            <w:tcW w:w="663" w:type="pct"/>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紧凑</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紧凑</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大</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大</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5" w:type="pct"/>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冲洗水量</w:t>
            </w:r>
          </w:p>
        </w:tc>
        <w:tc>
          <w:tcPr>
            <w:tcW w:w="663" w:type="pct"/>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很少</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很少</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大</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大</w:t>
            </w:r>
          </w:p>
        </w:tc>
        <w:tc>
          <w:tcPr>
            <w:tcW w:w="0" w:type="auto"/>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5" w:type="pct"/>
            <w:noWrap w:val="0"/>
            <w:vAlign w:val="center"/>
          </w:tcPr>
          <w:p>
            <w:pPr>
              <w:pStyle w:val="79"/>
              <w:rPr>
                <w:rFonts w:ascii="宋体"/>
                <w:color w:val="auto"/>
              </w:rPr>
            </w:pPr>
            <w:r>
              <w:rPr>
                <w:rFonts w:hint="eastAsia" w:ascii="宋体"/>
                <w:color w:val="auto"/>
                <w:spacing w:val="-9"/>
              </w:rPr>
              <w:t>实际设备运行需更换磨</w:t>
            </w:r>
            <w:r>
              <w:rPr>
                <w:rFonts w:hint="eastAsia" w:ascii="宋体"/>
                <w:color w:val="auto"/>
              </w:rPr>
              <w:t>损件</w:t>
            </w:r>
          </w:p>
        </w:tc>
        <w:tc>
          <w:tcPr>
            <w:tcW w:w="663" w:type="pct"/>
            <w:noWrap w:val="0"/>
            <w:vAlign w:val="center"/>
          </w:tcPr>
          <w:p>
            <w:pPr>
              <w:pStyle w:val="79"/>
              <w:rPr>
                <w:rFonts w:ascii="宋体"/>
                <w:color w:val="auto"/>
              </w:rPr>
            </w:pPr>
            <w:r>
              <w:rPr>
                <w:rFonts w:hint="eastAsia" w:ascii="宋体"/>
                <w:color w:val="auto"/>
              </w:rPr>
              <w:t>基本无</w:t>
            </w:r>
          </w:p>
        </w:tc>
        <w:tc>
          <w:tcPr>
            <w:tcW w:w="0" w:type="auto"/>
            <w:noWrap w:val="0"/>
            <w:vAlign w:val="center"/>
          </w:tcPr>
          <w:p>
            <w:pPr>
              <w:pStyle w:val="79"/>
              <w:rPr>
                <w:rFonts w:ascii="宋体"/>
                <w:color w:val="auto"/>
              </w:rPr>
            </w:pPr>
            <w:r>
              <w:rPr>
                <w:rFonts w:hint="eastAsia" w:ascii="宋体"/>
                <w:color w:val="auto"/>
              </w:rPr>
              <w:t>螺旋轴和流动环</w:t>
            </w:r>
          </w:p>
        </w:tc>
        <w:tc>
          <w:tcPr>
            <w:tcW w:w="0" w:type="auto"/>
            <w:noWrap w:val="0"/>
            <w:vAlign w:val="center"/>
          </w:tcPr>
          <w:p>
            <w:pPr>
              <w:pStyle w:val="79"/>
              <w:rPr>
                <w:color w:val="auto"/>
              </w:rPr>
            </w:pPr>
            <w:r>
              <w:rPr>
                <w:rFonts w:hint="eastAsia"/>
                <w:color w:val="auto"/>
              </w:rPr>
              <w:t>/</w:t>
            </w:r>
          </w:p>
        </w:tc>
        <w:tc>
          <w:tcPr>
            <w:tcW w:w="0" w:type="auto"/>
            <w:noWrap w:val="0"/>
            <w:vAlign w:val="center"/>
          </w:tcPr>
          <w:p>
            <w:pPr>
              <w:pStyle w:val="79"/>
              <w:rPr>
                <w:rFonts w:ascii="宋体"/>
                <w:color w:val="auto"/>
              </w:rPr>
            </w:pPr>
            <w:r>
              <w:rPr>
                <w:rFonts w:hint="eastAsia" w:ascii="宋体"/>
                <w:color w:val="auto"/>
              </w:rPr>
              <w:t>滤布</w:t>
            </w:r>
          </w:p>
        </w:tc>
        <w:tc>
          <w:tcPr>
            <w:tcW w:w="0" w:type="auto"/>
            <w:noWrap w:val="0"/>
            <w:vAlign w:val="center"/>
          </w:tcPr>
          <w:p>
            <w:pPr>
              <w:pStyle w:val="79"/>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5" w:type="pct"/>
            <w:noWrap w:val="0"/>
            <w:vAlign w:val="center"/>
          </w:tcPr>
          <w:p>
            <w:pPr>
              <w:pStyle w:val="79"/>
              <w:rPr>
                <w:rFonts w:ascii="宋体"/>
                <w:color w:val="auto"/>
              </w:rPr>
            </w:pPr>
            <w:r>
              <w:rPr>
                <w:rFonts w:hint="eastAsia" w:ascii="宋体"/>
                <w:color w:val="auto"/>
              </w:rPr>
              <w:t>噪声</w:t>
            </w:r>
          </w:p>
        </w:tc>
        <w:tc>
          <w:tcPr>
            <w:tcW w:w="663" w:type="pct"/>
            <w:noWrap w:val="0"/>
            <w:vAlign w:val="center"/>
          </w:tcPr>
          <w:p>
            <w:pPr>
              <w:pStyle w:val="79"/>
              <w:rPr>
                <w:rFonts w:ascii="宋体"/>
                <w:color w:val="auto"/>
              </w:rPr>
            </w:pPr>
            <w:r>
              <w:rPr>
                <w:rFonts w:hint="eastAsia" w:ascii="宋体"/>
                <w:color w:val="auto"/>
              </w:rPr>
              <w:t>较大</w:t>
            </w:r>
          </w:p>
        </w:tc>
        <w:tc>
          <w:tcPr>
            <w:tcW w:w="0" w:type="auto"/>
            <w:noWrap w:val="0"/>
            <w:vAlign w:val="center"/>
          </w:tcPr>
          <w:p>
            <w:pPr>
              <w:pStyle w:val="79"/>
              <w:rPr>
                <w:rFonts w:ascii="宋体"/>
                <w:color w:val="auto"/>
              </w:rPr>
            </w:pPr>
            <w:r>
              <w:rPr>
                <w:rFonts w:hint="eastAsia" w:ascii="宋体"/>
                <w:color w:val="auto"/>
              </w:rPr>
              <w:t>小</w:t>
            </w:r>
          </w:p>
        </w:tc>
        <w:tc>
          <w:tcPr>
            <w:tcW w:w="0" w:type="auto"/>
            <w:noWrap w:val="0"/>
            <w:vAlign w:val="center"/>
          </w:tcPr>
          <w:p>
            <w:pPr>
              <w:pStyle w:val="79"/>
              <w:rPr>
                <w:rFonts w:ascii="宋体"/>
                <w:color w:val="auto"/>
              </w:rPr>
            </w:pPr>
            <w:r>
              <w:rPr>
                <w:rFonts w:hint="eastAsia" w:ascii="宋体"/>
                <w:color w:val="auto"/>
              </w:rPr>
              <w:t>小</w:t>
            </w:r>
          </w:p>
        </w:tc>
        <w:tc>
          <w:tcPr>
            <w:tcW w:w="0" w:type="auto"/>
            <w:noWrap w:val="0"/>
            <w:vAlign w:val="center"/>
          </w:tcPr>
          <w:p>
            <w:pPr>
              <w:pStyle w:val="79"/>
              <w:rPr>
                <w:rFonts w:ascii="宋体"/>
                <w:color w:val="auto"/>
              </w:rPr>
            </w:pPr>
            <w:r>
              <w:rPr>
                <w:rFonts w:hint="eastAsia" w:ascii="宋体"/>
                <w:color w:val="auto"/>
              </w:rPr>
              <w:t>进泥泵噪声大</w:t>
            </w:r>
          </w:p>
        </w:tc>
        <w:tc>
          <w:tcPr>
            <w:tcW w:w="0" w:type="auto"/>
            <w:noWrap w:val="0"/>
            <w:vAlign w:val="center"/>
          </w:tcPr>
          <w:p>
            <w:pPr>
              <w:pStyle w:val="79"/>
              <w:rPr>
                <w:rFonts w:ascii="宋体"/>
                <w:color w:val="auto"/>
              </w:rPr>
            </w:pPr>
            <w:r>
              <w:rPr>
                <w:rFonts w:hint="eastAsia" w:ascii="宋体"/>
                <w:color w:val="auto"/>
              </w:rPr>
              <w:t>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5" w:type="pct"/>
            <w:noWrap w:val="0"/>
            <w:vAlign w:val="center"/>
          </w:tcPr>
          <w:p>
            <w:pPr>
              <w:pStyle w:val="79"/>
              <w:rPr>
                <w:rFonts w:ascii="宋体"/>
                <w:color w:val="auto"/>
              </w:rPr>
            </w:pPr>
            <w:r>
              <w:rPr>
                <w:rFonts w:hint="eastAsia" w:ascii="宋体"/>
                <w:color w:val="auto"/>
              </w:rPr>
              <w:t>设备费用</w:t>
            </w:r>
          </w:p>
        </w:tc>
        <w:tc>
          <w:tcPr>
            <w:tcW w:w="663" w:type="pct"/>
            <w:noWrap w:val="0"/>
            <w:vAlign w:val="center"/>
          </w:tcPr>
          <w:p>
            <w:pPr>
              <w:pStyle w:val="79"/>
              <w:rPr>
                <w:rFonts w:ascii="宋体"/>
                <w:color w:val="auto"/>
              </w:rPr>
            </w:pPr>
            <w:r>
              <w:rPr>
                <w:rFonts w:hint="eastAsia" w:ascii="宋体"/>
                <w:color w:val="auto"/>
              </w:rPr>
              <w:t>较贵</w:t>
            </w:r>
          </w:p>
        </w:tc>
        <w:tc>
          <w:tcPr>
            <w:tcW w:w="0" w:type="auto"/>
            <w:noWrap w:val="0"/>
            <w:vAlign w:val="center"/>
          </w:tcPr>
          <w:p>
            <w:pPr>
              <w:pStyle w:val="79"/>
              <w:rPr>
                <w:rFonts w:ascii="宋体"/>
                <w:color w:val="auto"/>
              </w:rPr>
            </w:pPr>
            <w:r>
              <w:rPr>
                <w:rFonts w:hint="eastAsia" w:ascii="宋体"/>
                <w:color w:val="auto"/>
              </w:rPr>
              <w:t>昂贵</w:t>
            </w:r>
          </w:p>
        </w:tc>
        <w:tc>
          <w:tcPr>
            <w:tcW w:w="0" w:type="auto"/>
            <w:noWrap w:val="0"/>
            <w:vAlign w:val="center"/>
          </w:tcPr>
          <w:p>
            <w:pPr>
              <w:pStyle w:val="79"/>
              <w:rPr>
                <w:rFonts w:ascii="宋体"/>
                <w:color w:val="auto"/>
              </w:rPr>
            </w:pPr>
            <w:r>
              <w:rPr>
                <w:rFonts w:hint="eastAsia" w:ascii="宋体"/>
                <w:color w:val="auto"/>
              </w:rPr>
              <w:t>低</w:t>
            </w:r>
          </w:p>
        </w:tc>
        <w:tc>
          <w:tcPr>
            <w:tcW w:w="0" w:type="auto"/>
            <w:noWrap w:val="0"/>
            <w:vAlign w:val="center"/>
          </w:tcPr>
          <w:p>
            <w:pPr>
              <w:pStyle w:val="79"/>
              <w:rPr>
                <w:rFonts w:ascii="宋体"/>
                <w:color w:val="auto"/>
              </w:rPr>
            </w:pPr>
            <w:r>
              <w:rPr>
                <w:rFonts w:hint="eastAsia" w:ascii="宋体"/>
                <w:color w:val="auto"/>
              </w:rPr>
              <w:t>贵</w:t>
            </w:r>
          </w:p>
        </w:tc>
        <w:tc>
          <w:tcPr>
            <w:tcW w:w="0" w:type="auto"/>
            <w:noWrap w:val="0"/>
            <w:vAlign w:val="center"/>
          </w:tcPr>
          <w:p>
            <w:pPr>
              <w:pStyle w:val="79"/>
              <w:rPr>
                <w:rFonts w:ascii="宋体"/>
                <w:color w:val="auto"/>
              </w:rPr>
            </w:pPr>
            <w:r>
              <w:rPr>
                <w:rFonts w:hint="eastAsia" w:ascii="宋体"/>
                <w:color w:val="auto"/>
              </w:rPr>
              <w:t>昂贵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5" w:type="pct"/>
            <w:noWrap w:val="0"/>
            <w:vAlign w:val="center"/>
          </w:tcPr>
          <w:p>
            <w:pPr>
              <w:pStyle w:val="79"/>
              <w:rPr>
                <w:rFonts w:ascii="宋体"/>
                <w:color w:val="auto"/>
              </w:rPr>
            </w:pPr>
            <w:r>
              <w:rPr>
                <w:rFonts w:hint="eastAsia" w:ascii="宋体"/>
                <w:color w:val="auto"/>
              </w:rPr>
              <w:t>其他优缺点</w:t>
            </w:r>
          </w:p>
        </w:tc>
        <w:tc>
          <w:tcPr>
            <w:tcW w:w="663" w:type="pct"/>
            <w:noWrap w:val="0"/>
            <w:vAlign w:val="center"/>
          </w:tcPr>
          <w:p>
            <w:pPr>
              <w:pStyle w:val="79"/>
              <w:rPr>
                <w:rFonts w:ascii="宋体"/>
                <w:color w:val="auto"/>
              </w:rPr>
            </w:pPr>
            <w:r>
              <w:rPr>
                <w:rFonts w:hint="eastAsia" w:ascii="宋体"/>
                <w:color w:val="auto"/>
              </w:rPr>
              <w:t xml:space="preserve">优点：操作简单，产率高，自动化程度高。可实现 </w:t>
            </w:r>
            <w:r>
              <w:rPr>
                <w:color w:val="auto"/>
              </w:rPr>
              <w:t xml:space="preserve">24 </w:t>
            </w:r>
            <w:r>
              <w:rPr>
                <w:rFonts w:hint="eastAsia" w:ascii="宋体"/>
                <w:color w:val="auto"/>
              </w:rPr>
              <w:t>小时连续无人运行；</w:t>
            </w:r>
          </w:p>
          <w:p>
            <w:pPr>
              <w:pStyle w:val="79"/>
              <w:rPr>
                <w:rFonts w:ascii="宋体"/>
                <w:color w:val="auto"/>
              </w:rPr>
            </w:pPr>
            <w:r>
              <w:rPr>
                <w:rFonts w:hint="eastAsia" w:ascii="宋体"/>
                <w:color w:val="auto"/>
              </w:rPr>
              <w:t>缺点：当污泥中含有砂砾时，对设备材质要求高；设备维修难度大。</w:t>
            </w:r>
          </w:p>
        </w:tc>
        <w:tc>
          <w:tcPr>
            <w:tcW w:w="0" w:type="auto"/>
            <w:noWrap w:val="0"/>
            <w:vAlign w:val="center"/>
          </w:tcPr>
          <w:p>
            <w:pPr>
              <w:pStyle w:val="79"/>
              <w:rPr>
                <w:rFonts w:ascii="宋体"/>
                <w:color w:val="auto"/>
              </w:rPr>
            </w:pPr>
            <w:r>
              <w:rPr>
                <w:rFonts w:hint="eastAsia" w:ascii="宋体"/>
                <w:color w:val="auto"/>
                <w:spacing w:val="-3"/>
              </w:rPr>
              <w:t>优点：故障少，振动小，操作安全；可实现</w:t>
            </w:r>
            <w:r>
              <w:rPr>
                <w:color w:val="auto"/>
              </w:rPr>
              <w:t>24</w:t>
            </w:r>
            <w:r>
              <w:rPr>
                <w:rFonts w:hint="eastAsia" w:ascii="宋体"/>
                <w:color w:val="auto"/>
                <w:spacing w:val="-5"/>
              </w:rPr>
              <w:t>小时连续无人运行；</w:t>
            </w:r>
            <w:r>
              <w:rPr>
                <w:rFonts w:hint="eastAsia" w:ascii="宋体"/>
                <w:color w:val="auto"/>
                <w:spacing w:val="-3"/>
              </w:rPr>
              <w:t>使用周期长；可直接处</w:t>
            </w:r>
            <w:r>
              <w:rPr>
                <w:rFonts w:hint="eastAsia" w:ascii="宋体"/>
                <w:color w:val="auto"/>
                <w:spacing w:val="-15"/>
              </w:rPr>
              <w:t>理低于</w:t>
            </w:r>
            <w:r>
              <w:rPr>
                <w:color w:val="auto"/>
              </w:rPr>
              <w:t>2%</w:t>
            </w:r>
            <w:r>
              <w:rPr>
                <w:rFonts w:hint="eastAsia" w:ascii="宋体"/>
                <w:color w:val="auto"/>
                <w:spacing w:val="-2"/>
              </w:rPr>
              <w:t>泥水。</w:t>
            </w:r>
          </w:p>
          <w:p>
            <w:pPr>
              <w:pStyle w:val="79"/>
              <w:rPr>
                <w:rFonts w:ascii="宋体"/>
                <w:color w:val="auto"/>
              </w:rPr>
            </w:pPr>
            <w:r>
              <w:rPr>
                <w:rFonts w:hint="eastAsia" w:ascii="宋体"/>
                <w:color w:val="auto"/>
              </w:rPr>
              <w:t xml:space="preserve">缺点：处理能力小，最大处理能力为 </w:t>
            </w:r>
            <w:r>
              <w:rPr>
                <w:color w:val="auto"/>
              </w:rPr>
              <w:t>32m</w:t>
            </w:r>
            <w:r>
              <w:rPr>
                <w:color w:val="auto"/>
                <w:position w:val="7"/>
                <w:sz w:val="14"/>
              </w:rPr>
              <w:t>3</w:t>
            </w:r>
            <w:r>
              <w:rPr>
                <w:color w:val="auto"/>
              </w:rPr>
              <w:t>/h</w:t>
            </w:r>
            <w:r>
              <w:rPr>
                <w:rFonts w:hint="eastAsia" w:ascii="宋体"/>
                <w:color w:val="auto"/>
              </w:rPr>
              <w:t>。</w:t>
            </w:r>
          </w:p>
        </w:tc>
        <w:tc>
          <w:tcPr>
            <w:tcW w:w="0" w:type="auto"/>
            <w:noWrap w:val="0"/>
            <w:vAlign w:val="center"/>
          </w:tcPr>
          <w:p>
            <w:pPr>
              <w:pStyle w:val="79"/>
              <w:rPr>
                <w:rFonts w:ascii="宋体"/>
                <w:color w:val="auto"/>
              </w:rPr>
            </w:pPr>
            <w:r>
              <w:rPr>
                <w:rFonts w:hint="eastAsia" w:ascii="宋体"/>
                <w:color w:val="auto"/>
                <w:spacing w:val="-5"/>
              </w:rPr>
              <w:t xml:space="preserve">优点：操作管理方便， </w:t>
            </w:r>
            <w:r>
              <w:rPr>
                <w:rFonts w:hint="eastAsia" w:ascii="宋体"/>
                <w:color w:val="auto"/>
                <w:spacing w:val="-2"/>
              </w:rPr>
              <w:t xml:space="preserve">处理能力 </w:t>
            </w:r>
            <w:r>
              <w:rPr>
                <w:rFonts w:hint="eastAsia" w:ascii="宋体"/>
                <w:color w:val="auto"/>
                <w:spacing w:val="-5"/>
              </w:rPr>
              <w:t>大；化学药物用量少。</w:t>
            </w:r>
          </w:p>
        </w:tc>
        <w:tc>
          <w:tcPr>
            <w:tcW w:w="0" w:type="auto"/>
            <w:noWrap w:val="0"/>
            <w:vAlign w:val="center"/>
          </w:tcPr>
          <w:p>
            <w:pPr>
              <w:pStyle w:val="79"/>
              <w:rPr>
                <w:rFonts w:ascii="宋体"/>
                <w:color w:val="auto"/>
              </w:rPr>
            </w:pPr>
            <w:r>
              <w:rPr>
                <w:rFonts w:hint="eastAsia" w:ascii="宋体"/>
                <w:color w:val="auto"/>
              </w:rPr>
              <w:t>优点：工作可靠，无振动，滤饼含水率低；对物料适应性强，化学药物用量少，甚至可以不加；</w:t>
            </w:r>
            <w:r>
              <w:rPr>
                <w:rFonts w:hint="eastAsia" w:ascii="宋体"/>
                <w:color w:val="auto"/>
                <w:spacing w:val="-5"/>
              </w:rPr>
              <w:t>缺点：操作</w:t>
            </w:r>
            <w:r>
              <w:rPr>
                <w:rFonts w:hint="eastAsia" w:ascii="宋体"/>
                <w:color w:val="auto"/>
                <w:spacing w:val="-1"/>
              </w:rPr>
              <w:t>麻烦，压</w:t>
            </w:r>
            <w:r>
              <w:rPr>
                <w:rFonts w:hint="eastAsia" w:ascii="宋体"/>
                <w:color w:val="auto"/>
                <w:spacing w:val="-5"/>
              </w:rPr>
              <w:t>紧，卸泥时</w:t>
            </w:r>
            <w:r>
              <w:rPr>
                <w:rFonts w:hint="eastAsia" w:ascii="宋体"/>
                <w:color w:val="auto"/>
                <w:spacing w:val="-1"/>
              </w:rPr>
              <w:t>需专人看</w:t>
            </w:r>
            <w:r>
              <w:rPr>
                <w:rFonts w:hint="eastAsia" w:ascii="宋体"/>
                <w:color w:val="auto"/>
                <w:spacing w:val="-5"/>
              </w:rPr>
              <w:t>守，每次压紧需检查滤</w:t>
            </w:r>
            <w:r>
              <w:rPr>
                <w:rFonts w:hint="eastAsia" w:ascii="宋体"/>
                <w:color w:val="auto"/>
                <w:spacing w:val="-1"/>
              </w:rPr>
              <w:t>布平整情</w:t>
            </w:r>
          </w:p>
          <w:p>
            <w:pPr>
              <w:pStyle w:val="79"/>
              <w:rPr>
                <w:rFonts w:ascii="宋体"/>
                <w:color w:val="auto"/>
              </w:rPr>
            </w:pPr>
            <w:r>
              <w:rPr>
                <w:rFonts w:hint="eastAsia" w:ascii="宋体"/>
                <w:color w:val="auto"/>
              </w:rPr>
              <w:t>况。</w:t>
            </w:r>
          </w:p>
        </w:tc>
        <w:tc>
          <w:tcPr>
            <w:tcW w:w="0" w:type="auto"/>
            <w:noWrap w:val="0"/>
            <w:vAlign w:val="center"/>
          </w:tcPr>
          <w:p>
            <w:pPr>
              <w:pStyle w:val="79"/>
              <w:rPr>
                <w:rFonts w:ascii="宋体"/>
                <w:color w:val="auto"/>
              </w:rPr>
            </w:pPr>
            <w:r>
              <w:rPr>
                <w:rFonts w:hint="eastAsia" w:ascii="宋体"/>
                <w:color w:val="auto"/>
                <w:spacing w:val="-3"/>
              </w:rPr>
              <w:t xml:space="preserve">优点：操作管理较方 </w:t>
            </w:r>
            <w:r>
              <w:rPr>
                <w:rFonts w:hint="eastAsia" w:ascii="宋体"/>
                <w:color w:val="auto"/>
                <w:spacing w:val="-5"/>
              </w:rPr>
              <w:t>便，处理能力大；化学</w:t>
            </w:r>
            <w:r>
              <w:rPr>
                <w:rFonts w:hint="eastAsia" w:ascii="宋体"/>
                <w:color w:val="auto"/>
                <w:spacing w:val="-2"/>
              </w:rPr>
              <w:t>药物用量少。</w:t>
            </w:r>
          </w:p>
        </w:tc>
      </w:tr>
    </w:tbl>
    <w:p>
      <w:pPr>
        <w:ind w:firstLine="480"/>
      </w:pPr>
      <w:r>
        <w:t>含氢氧化锰、氢氧化铁的污泥因沉淀物非常细腻，脱水性较差。在实际工程中，采用带式压滤时，需加大量絮凝剂，并且污泥生成很好的矾花时，还不一定能脱水形成泥饼，因此本方案不再采用带式压滤；采用真空皮带过滤器时，由于此类污泥脱水性差，需增长滤带长度，在加入一定量絮凝剂下，能形成泥饼，但泥饼厚度较薄，且含水率仍然很高，本方案将不采纳此方案对系统产生的污泥进行脱水。</w:t>
      </w:r>
    </w:p>
    <w:p>
      <w:pPr>
        <w:ind w:firstLine="480"/>
      </w:pPr>
      <w:r>
        <w:t>根据对同类</w:t>
      </w:r>
      <w:r>
        <w:rPr>
          <w:rFonts w:hint="eastAsia"/>
          <w:lang w:eastAsia="zh-CN"/>
        </w:rPr>
        <w:t>重金属</w:t>
      </w:r>
      <w:r>
        <w:t>污水污泥压滤实验，</w:t>
      </w:r>
      <w:r>
        <w:rPr>
          <w:spacing w:val="-12"/>
        </w:rPr>
        <w:t xml:space="preserve">通过以上对各种机械脱水机性能对比， </w:t>
      </w:r>
      <w:r>
        <w:rPr>
          <w:spacing w:val="-5"/>
        </w:rPr>
        <w:t>结合本项目污泥性质、现场布置紧凑要求及运行操作管理要求，确定本方案采用</w:t>
      </w:r>
      <w:r>
        <w:t>板框压滤</w:t>
      </w:r>
      <w:r>
        <w:rPr>
          <w:spacing w:val="-5"/>
        </w:rPr>
        <w:t>脱水机作为本项目的污泥脱水机</w:t>
      </w:r>
      <w:r>
        <w:rPr>
          <w:rFonts w:hint="eastAsia"/>
          <w:spacing w:val="-5"/>
        </w:rPr>
        <w:t>械。</w:t>
      </w:r>
    </w:p>
    <w:p>
      <w:pPr>
        <w:keepNext/>
        <w:keepLines/>
        <w:ind w:firstLine="0" w:firstLineChars="0"/>
        <w:outlineLvl w:val="3"/>
        <w:rPr>
          <w:rFonts w:hint="eastAsia"/>
          <w:b/>
          <w:color w:val="000000"/>
          <w:kern w:val="0"/>
          <w:lang w:bidi="zh-CN"/>
        </w:rPr>
      </w:pPr>
      <w:r>
        <w:rPr>
          <w:b/>
          <w:color w:val="000000"/>
          <w:kern w:val="0"/>
          <w:lang w:bidi="zh-CN"/>
        </w:rPr>
        <w:t>2.3</w:t>
      </w:r>
      <w:r>
        <w:rPr>
          <w:rFonts w:hint="eastAsia"/>
          <w:b/>
          <w:color w:val="000000"/>
          <w:kern w:val="0"/>
          <w:lang w:bidi="zh-CN"/>
        </w:rPr>
        <w:t>.</w:t>
      </w:r>
      <w:r>
        <w:rPr>
          <w:rFonts w:hint="eastAsia"/>
          <w:b/>
          <w:color w:val="000000"/>
          <w:kern w:val="0"/>
          <w:lang w:val="en-US" w:bidi="zh-CN"/>
        </w:rPr>
        <w:t>2</w:t>
      </w:r>
      <w:r>
        <w:rPr>
          <w:rFonts w:hint="eastAsia"/>
          <w:b/>
          <w:color w:val="000000"/>
          <w:kern w:val="0"/>
          <w:lang w:bidi="zh-CN"/>
        </w:rPr>
        <w:t>.</w:t>
      </w:r>
      <w:r>
        <w:rPr>
          <w:rFonts w:hint="eastAsia"/>
          <w:b/>
          <w:color w:val="000000"/>
          <w:kern w:val="0"/>
          <w:lang w:val="en-US" w:bidi="zh-CN"/>
        </w:rPr>
        <w:t>6</w:t>
      </w:r>
      <w:r>
        <w:rPr>
          <w:rFonts w:hint="eastAsia"/>
          <w:b/>
          <w:color w:val="000000"/>
          <w:kern w:val="0"/>
          <w:lang w:bidi="zh-CN"/>
        </w:rPr>
        <w:t>臭气处理工艺</w:t>
      </w:r>
    </w:p>
    <w:p>
      <w:pPr>
        <w:ind w:firstLine="480"/>
        <w:rPr>
          <w:rFonts w:hint="eastAsia" w:ascii="Times New Roman" w:hAnsi="Times New Roman" w:eastAsia="宋体" w:cs="Times New Roman"/>
          <w:lang w:eastAsia="zh-CN"/>
        </w:rPr>
      </w:pPr>
      <w:r>
        <w:rPr>
          <w:rFonts w:hint="eastAsia" w:ascii="Times New Roman" w:hAnsi="Times New Roman" w:eastAsia="宋体" w:cs="Times New Roman"/>
          <w:lang w:eastAsia="zh-CN"/>
        </w:rPr>
        <w:t>本项目只对废水中重金属进行处理，不考虑化学需氧量与氨氮的处理，厂区基本无臭气产生，不设置臭气处理工艺。</w:t>
      </w:r>
    </w:p>
    <w:p>
      <w:pPr>
        <w:pStyle w:val="86"/>
        <w:spacing w:before="120" w:after="120"/>
        <w:rPr>
          <w:rFonts w:hint="eastAsia"/>
          <w:color w:val="000000"/>
          <w:kern w:val="0"/>
          <w:u w:val="single"/>
        </w:rPr>
      </w:pPr>
      <w:bookmarkStart w:id="209" w:name="_Toc489350179"/>
      <w:bookmarkStart w:id="210" w:name="_Toc11850"/>
      <w:bookmarkStart w:id="211" w:name="_Toc29308660"/>
      <w:r>
        <w:rPr>
          <w:color w:val="000000"/>
          <w:kern w:val="0"/>
          <w:u w:val="single"/>
        </w:rPr>
        <w:t>2</w:t>
      </w:r>
      <w:r>
        <w:rPr>
          <w:rFonts w:hint="eastAsia"/>
          <w:color w:val="000000"/>
          <w:kern w:val="0"/>
          <w:u w:val="single"/>
        </w:rPr>
        <w:t>.</w:t>
      </w:r>
      <w:bookmarkStart w:id="212" w:name="_Toc489349360"/>
      <w:r>
        <w:rPr>
          <w:color w:val="000000"/>
          <w:kern w:val="0"/>
          <w:u w:val="single"/>
        </w:rPr>
        <w:t>4</w:t>
      </w:r>
      <w:r>
        <w:rPr>
          <w:rFonts w:hint="eastAsia"/>
          <w:color w:val="000000"/>
          <w:kern w:val="0"/>
          <w:u w:val="single"/>
        </w:rPr>
        <w:t>工程污染源分析</w:t>
      </w:r>
      <w:bookmarkEnd w:id="209"/>
      <w:bookmarkEnd w:id="210"/>
      <w:bookmarkEnd w:id="211"/>
      <w:bookmarkEnd w:id="212"/>
    </w:p>
    <w:p>
      <w:pPr>
        <w:ind w:firstLine="480"/>
        <w:rPr>
          <w:rFonts w:hint="default" w:eastAsia="宋体"/>
          <w:color w:val="auto"/>
          <w:u w:val="single"/>
          <w:lang w:val="en-US" w:eastAsia="zh-CN"/>
        </w:rPr>
      </w:pPr>
      <w:bookmarkStart w:id="213" w:name="_Toc489349361"/>
      <w:bookmarkStart w:id="214" w:name="_Toc489350180"/>
      <w:bookmarkStart w:id="215" w:name="_Toc489350281"/>
      <w:bookmarkStart w:id="216" w:name="_Toc489350014"/>
      <w:r>
        <w:rPr>
          <w:rFonts w:hint="eastAsia"/>
          <w:color w:val="auto"/>
          <w:u w:val="single"/>
          <w:lang w:val="en-US" w:eastAsia="zh-CN"/>
        </w:rPr>
        <w:t>2.4.1 施工期污染源分析</w:t>
      </w:r>
    </w:p>
    <w:p>
      <w:pPr>
        <w:ind w:firstLine="480"/>
        <w:rPr>
          <w:rFonts w:hint="eastAsia"/>
          <w:color w:val="auto"/>
          <w:u w:val="single"/>
          <w:lang w:eastAsia="zh-CN"/>
        </w:rPr>
      </w:pPr>
      <w:r>
        <w:rPr>
          <w:rFonts w:hint="eastAsia"/>
          <w:color w:val="auto"/>
          <w:u w:val="single"/>
        </w:rPr>
        <w:t>项目工程包括污水处理</w:t>
      </w:r>
      <w:r>
        <w:rPr>
          <w:rFonts w:hint="eastAsia"/>
          <w:color w:val="auto"/>
          <w:u w:val="single"/>
          <w:lang w:eastAsia="zh-CN"/>
        </w:rPr>
        <w:t>站</w:t>
      </w:r>
      <w:r>
        <w:rPr>
          <w:rFonts w:hint="eastAsia"/>
          <w:color w:val="auto"/>
          <w:u w:val="single"/>
        </w:rPr>
        <w:t>土建工程、</w:t>
      </w:r>
      <w:r>
        <w:rPr>
          <w:rFonts w:hint="eastAsia"/>
          <w:color w:val="auto"/>
          <w:u w:val="single"/>
          <w:lang w:eastAsia="zh-CN"/>
        </w:rPr>
        <w:t>配套管网</w:t>
      </w:r>
      <w:r>
        <w:rPr>
          <w:rFonts w:hint="eastAsia"/>
          <w:color w:val="auto"/>
          <w:u w:val="single"/>
        </w:rPr>
        <w:t>工程，各工程在其施工过程中均会对周围环境造成一定影响。</w:t>
      </w:r>
      <w:r>
        <w:rPr>
          <w:rFonts w:hint="eastAsia"/>
          <w:color w:val="auto"/>
          <w:u w:val="single"/>
          <w:lang w:eastAsia="zh-CN"/>
        </w:rPr>
        <w:t>由于本项目已经建设完成，未正式运营，本次只对施工期进行简单回顾性分析，重点分析施工期是否遗留有环境问题以及对该问题提出整改措施。</w:t>
      </w:r>
    </w:p>
    <w:p>
      <w:pPr>
        <w:ind w:firstLine="480"/>
        <w:rPr>
          <w:rFonts w:hint="eastAsia" w:eastAsia="宋体"/>
          <w:color w:val="auto"/>
          <w:kern w:val="0"/>
          <w:u w:val="single"/>
          <w:lang w:eastAsia="zh-CN"/>
        </w:rPr>
      </w:pPr>
      <w:r>
        <w:rPr>
          <w:rFonts w:hint="eastAsia"/>
          <w:color w:val="auto"/>
          <w:kern w:val="0"/>
          <w:u w:val="single"/>
        </w:rPr>
        <w:t>污水处理</w:t>
      </w:r>
      <w:r>
        <w:rPr>
          <w:rFonts w:hint="eastAsia"/>
          <w:color w:val="auto"/>
          <w:kern w:val="0"/>
          <w:u w:val="single"/>
          <w:lang w:eastAsia="zh-CN"/>
        </w:rPr>
        <w:t>站</w:t>
      </w:r>
      <w:r>
        <w:rPr>
          <w:rFonts w:hint="eastAsia"/>
          <w:color w:val="auto"/>
          <w:kern w:val="0"/>
          <w:u w:val="single"/>
        </w:rPr>
        <w:t>工程中的水污染源主要为施工人员生活废水、</w:t>
      </w:r>
      <w:r>
        <w:rPr>
          <w:color w:val="auto"/>
          <w:kern w:val="0"/>
          <w:u w:val="single"/>
        </w:rPr>
        <w:t>建筑物砼浇筑、冲洗与养护</w:t>
      </w:r>
      <w:r>
        <w:rPr>
          <w:rFonts w:hint="eastAsia"/>
          <w:color w:val="auto"/>
          <w:kern w:val="0"/>
          <w:u w:val="single"/>
        </w:rPr>
        <w:t>施工废水</w:t>
      </w:r>
      <w:r>
        <w:rPr>
          <w:rFonts w:hint="eastAsia"/>
          <w:color w:val="auto"/>
          <w:kern w:val="0"/>
          <w:u w:val="single"/>
          <w:lang w:eastAsia="zh-CN"/>
        </w:rPr>
        <w:t>；废气污染源主要是开挖、运输车辆产生的施工扬尘；以及施工噪声对环境造成的影响；噪声污染主要是施工机械产生的噪声；固废主要是产生的弃土、建筑垃圾等。</w:t>
      </w:r>
    </w:p>
    <w:bookmarkEnd w:id="213"/>
    <w:bookmarkEnd w:id="214"/>
    <w:bookmarkEnd w:id="215"/>
    <w:bookmarkEnd w:id="216"/>
    <w:p>
      <w:pPr>
        <w:pStyle w:val="8"/>
        <w:spacing w:before="120"/>
        <w:rPr>
          <w:rFonts w:hint="eastAsia"/>
        </w:rPr>
      </w:pPr>
      <w:r>
        <w:t>2.4.</w:t>
      </w:r>
      <w:r>
        <w:rPr>
          <w:rFonts w:hint="eastAsia"/>
          <w:lang w:val="en-US" w:eastAsia="zh-CN"/>
        </w:rPr>
        <w:t>2</w:t>
      </w:r>
      <w:r>
        <w:rPr>
          <w:rFonts w:hint="eastAsia"/>
        </w:rPr>
        <w:t>运营期主要污染工序</w:t>
      </w:r>
    </w:p>
    <w:p>
      <w:pPr>
        <w:ind w:firstLine="480"/>
        <w:rPr>
          <w:rFonts w:hint="eastAsia"/>
          <w:color w:val="000000"/>
        </w:rPr>
      </w:pPr>
      <w:r>
        <w:rPr>
          <w:rFonts w:hint="eastAsia"/>
          <w:color w:val="000000"/>
          <w:kern w:val="0"/>
        </w:rPr>
        <w:t>本项目运营期采用的工艺为</w:t>
      </w:r>
      <w:r>
        <w:rPr>
          <w:rFonts w:hint="eastAsia"/>
          <w:color w:val="000000"/>
          <w:kern w:val="0"/>
          <w:lang w:eastAsia="zh-CN"/>
        </w:rPr>
        <w:t>化学沉淀</w:t>
      </w:r>
      <w:r>
        <w:rPr>
          <w:rFonts w:hint="eastAsia"/>
          <w:color w:val="000000"/>
          <w:kern w:val="0"/>
          <w:lang w:val="en-US" w:eastAsia="zh-CN"/>
        </w:rPr>
        <w:t>+石英砂过滤</w:t>
      </w:r>
      <w:r>
        <w:rPr>
          <w:rFonts w:hint="eastAsia"/>
          <w:color w:val="000000"/>
          <w:kern w:val="0"/>
        </w:rPr>
        <w:t>”处理工艺，详细工艺</w:t>
      </w:r>
      <w:r>
        <w:rPr>
          <w:rFonts w:hint="eastAsia"/>
          <w:color w:val="000000"/>
        </w:rPr>
        <w:t>流程见下图</w:t>
      </w:r>
      <w:r>
        <w:rPr>
          <w:color w:val="000000"/>
        </w:rPr>
        <w:t>2</w:t>
      </w:r>
      <w:r>
        <w:rPr>
          <w:rFonts w:hint="eastAsia"/>
          <w:color w:val="000000"/>
        </w:rPr>
        <w:t>.4</w:t>
      </w:r>
      <w:r>
        <w:rPr>
          <w:color w:val="000000"/>
        </w:rPr>
        <w:t>-</w:t>
      </w:r>
      <w:r>
        <w:rPr>
          <w:rFonts w:hint="eastAsia"/>
          <w:color w:val="000000"/>
          <w:lang w:val="en-US" w:eastAsia="zh-CN"/>
        </w:rPr>
        <w:t>1</w:t>
      </w:r>
      <w:r>
        <w:rPr>
          <w:rFonts w:hint="eastAsia"/>
          <w:color w:val="000000"/>
        </w:rPr>
        <w:t>。</w:t>
      </w:r>
    </w:p>
    <w:p>
      <w:pPr>
        <w:ind w:left="-360" w:leftChars="-150" w:firstLine="480"/>
        <w:jc w:val="center"/>
        <w:rPr>
          <w:rFonts w:hint="eastAsia" w:eastAsia="宋体"/>
          <w:color w:val="000000"/>
          <w:kern w:val="0"/>
          <w:lang w:eastAsia="zh-CN"/>
        </w:rPr>
      </w:pPr>
      <w:r>
        <w:rPr>
          <w:rFonts w:hint="eastAsia" w:eastAsia="宋体"/>
          <w:color w:val="000000"/>
          <w:kern w:val="0"/>
          <w:lang w:eastAsia="zh-CN"/>
        </w:rPr>
        <w:drawing>
          <wp:inline distT="0" distB="0" distL="114300" distR="114300">
            <wp:extent cx="5234305" cy="7171690"/>
            <wp:effectExtent l="0" t="0" r="4445" b="10160"/>
            <wp:docPr id="10" name="图片 83" descr="图片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83" descr="图片3"/>
                    <pic:cNvPicPr>
                      <a:picLocks noChangeAspect="true"/>
                    </pic:cNvPicPr>
                  </pic:nvPicPr>
                  <pic:blipFill>
                    <a:blip r:embed="rId37"/>
                    <a:stretch>
                      <a:fillRect/>
                    </a:stretch>
                  </pic:blipFill>
                  <pic:spPr>
                    <a:xfrm>
                      <a:off x="0" y="0"/>
                      <a:ext cx="5234305" cy="7171690"/>
                    </a:xfrm>
                    <a:prstGeom prst="rect">
                      <a:avLst/>
                    </a:prstGeom>
                    <a:noFill/>
                    <a:ln>
                      <a:noFill/>
                    </a:ln>
                  </pic:spPr>
                </pic:pic>
              </a:graphicData>
            </a:graphic>
          </wp:inline>
        </w:drawing>
      </w:r>
    </w:p>
    <w:p>
      <w:pPr>
        <w:ind w:left="-720" w:leftChars="-300" w:firstLine="422"/>
        <w:jc w:val="center"/>
        <w:rPr>
          <w:rFonts w:hint="eastAsia"/>
          <w:color w:val="000000"/>
          <w:kern w:val="0"/>
        </w:rPr>
      </w:pPr>
      <w:r>
        <w:rPr>
          <w:rFonts w:hint="eastAsia"/>
          <w:b/>
          <w:color w:val="000000"/>
          <w:kern w:val="0"/>
          <w:sz w:val="21"/>
          <w:szCs w:val="21"/>
        </w:rPr>
        <w:t>图</w:t>
      </w:r>
      <w:r>
        <w:rPr>
          <w:b/>
          <w:color w:val="000000"/>
          <w:kern w:val="0"/>
          <w:sz w:val="21"/>
          <w:szCs w:val="21"/>
        </w:rPr>
        <w:t>2</w:t>
      </w:r>
      <w:r>
        <w:rPr>
          <w:rFonts w:hint="eastAsia"/>
          <w:b/>
          <w:color w:val="000000"/>
          <w:kern w:val="0"/>
          <w:sz w:val="21"/>
          <w:szCs w:val="21"/>
        </w:rPr>
        <w:t>.4</w:t>
      </w:r>
      <w:r>
        <w:rPr>
          <w:b/>
          <w:color w:val="000000"/>
          <w:kern w:val="0"/>
          <w:sz w:val="21"/>
          <w:szCs w:val="21"/>
        </w:rPr>
        <w:t>-</w:t>
      </w:r>
      <w:r>
        <w:rPr>
          <w:rFonts w:hint="eastAsia"/>
          <w:b/>
          <w:color w:val="000000"/>
          <w:kern w:val="0"/>
          <w:sz w:val="21"/>
          <w:szCs w:val="21"/>
          <w:lang w:val="en-US" w:eastAsia="zh-CN"/>
        </w:rPr>
        <w:t>1</w:t>
      </w:r>
      <w:r>
        <w:rPr>
          <w:rFonts w:hint="eastAsia"/>
          <w:b/>
          <w:color w:val="000000"/>
          <w:kern w:val="0"/>
          <w:sz w:val="21"/>
          <w:szCs w:val="21"/>
        </w:rPr>
        <w:t xml:space="preserve"> 污水处理</w:t>
      </w:r>
      <w:r>
        <w:rPr>
          <w:rFonts w:hint="eastAsia"/>
          <w:b/>
          <w:color w:val="000000"/>
          <w:kern w:val="0"/>
          <w:sz w:val="21"/>
          <w:szCs w:val="21"/>
          <w:lang w:eastAsia="zh-CN"/>
        </w:rPr>
        <w:t>站</w:t>
      </w:r>
      <w:r>
        <w:rPr>
          <w:rFonts w:hint="eastAsia"/>
          <w:b/>
          <w:color w:val="000000"/>
          <w:kern w:val="0"/>
          <w:sz w:val="21"/>
          <w:szCs w:val="21"/>
        </w:rPr>
        <w:t>工艺流程及产污节点图</w:t>
      </w:r>
    </w:p>
    <w:p>
      <w:pPr>
        <w:pStyle w:val="116"/>
        <w:ind w:firstLine="480"/>
        <w:jc w:val="left"/>
        <w:rPr>
          <w:rFonts w:ascii="Times New Roman" w:hAnsi="Times New Roman"/>
          <w:color w:val="auto"/>
          <w:szCs w:val="24"/>
        </w:rPr>
      </w:pPr>
      <w:r>
        <w:rPr>
          <w:rFonts w:hint="eastAsia" w:ascii="Times New Roman" w:hAnsi="Times New Roman"/>
          <w:color w:val="auto"/>
        </w:rPr>
        <w:t>工艺描述</w:t>
      </w:r>
      <w:r>
        <w:rPr>
          <w:rFonts w:hint="eastAsia" w:ascii="Times New Roman" w:hAnsi="Times New Roman"/>
          <w:color w:val="auto"/>
          <w:lang w:eastAsia="zh-CN"/>
        </w:rPr>
        <w:t>：根据建设单位提供的资料，本项目采取“化学混凝沉淀分离+石英砂过滤”处理方法，涉重企业排放的废水通过本次建设的重金属专用管道输送管网输送至本项目建设的污水处理站的调节池，在调节池内进行水量水质的均衡。调节池的废水由提升泵提升进入二级混凝沉淀处理系统，该系统由反应池1#、反应池2#、混凝反应池1#、絮凝反应池1#、二沉池和反应池3#、反应池4#、混凝反应池2#、絮凝反应池2#、絮凝沉淀池组成，投加片碱、生物制剂和混凝、絮凝药剂，进行反应，然后进行入沉淀段进行固液分离；固液分离后出水进入中间水池投加酸调节pH至中性，出水泵入至石英砂过滤器，过滤掉水中细微悬浮物。最终出水可直接通过管网输送至工业园集中污水处理厂进水口。污泥池上清液、板框压滤机滤液、石英砂过滤器反洗水引回调节池重新处理。处理系统产生的污泥间歇排泥，采用重力自流排泥至污泥浓缩池浓缩，浓缩污泥利用污泥泵输送至污泥脱水机脱水后打包外运处置</w:t>
      </w:r>
      <w:r>
        <w:rPr>
          <w:rFonts w:hint="eastAsia" w:ascii="Times New Roman" w:hAnsi="Times New Roman"/>
          <w:color w:val="auto"/>
          <w:szCs w:val="24"/>
        </w:rPr>
        <w:t>。</w:t>
      </w:r>
    </w:p>
    <w:p>
      <w:pPr>
        <w:pStyle w:val="8"/>
        <w:spacing w:before="120"/>
        <w:rPr>
          <w:rFonts w:hint="eastAsia"/>
          <w:color w:val="auto"/>
        </w:rPr>
      </w:pPr>
      <w:r>
        <w:rPr>
          <w:color w:val="auto"/>
        </w:rPr>
        <w:t>2</w:t>
      </w:r>
      <w:r>
        <w:rPr>
          <w:rFonts w:hint="eastAsia"/>
          <w:color w:val="auto"/>
        </w:rPr>
        <w:t>.</w:t>
      </w:r>
      <w:r>
        <w:rPr>
          <w:color w:val="auto"/>
        </w:rPr>
        <w:t>4.</w:t>
      </w:r>
      <w:r>
        <w:rPr>
          <w:rFonts w:hint="eastAsia"/>
          <w:color w:val="auto"/>
          <w:lang w:val="en-US" w:eastAsia="zh-CN"/>
        </w:rPr>
        <w:t>3</w:t>
      </w:r>
      <w:r>
        <w:rPr>
          <w:rFonts w:hint="eastAsia"/>
          <w:color w:val="auto"/>
        </w:rPr>
        <w:t>工程运营期污染源分析</w:t>
      </w:r>
    </w:p>
    <w:p>
      <w:pPr>
        <w:pStyle w:val="81"/>
        <w:rPr>
          <w:color w:val="000000"/>
        </w:rPr>
      </w:pPr>
      <w:r>
        <w:rPr>
          <w:color w:val="000000"/>
        </w:rPr>
        <w:t>2</w:t>
      </w:r>
      <w:r>
        <w:rPr>
          <w:rFonts w:hint="eastAsia"/>
          <w:color w:val="000000"/>
        </w:rPr>
        <w:t>.4.</w:t>
      </w:r>
      <w:r>
        <w:rPr>
          <w:rFonts w:hint="eastAsia"/>
          <w:color w:val="000000"/>
          <w:lang w:val="en-US" w:eastAsia="zh-CN"/>
        </w:rPr>
        <w:t>3</w:t>
      </w:r>
      <w:r>
        <w:rPr>
          <w:rFonts w:hint="eastAsia"/>
          <w:color w:val="000000"/>
        </w:rPr>
        <w:t>.1 水污染物</w:t>
      </w:r>
    </w:p>
    <w:p>
      <w:pPr>
        <w:pStyle w:val="124"/>
        <w:bidi w:val="0"/>
        <w:spacing w:line="360" w:lineRule="auto"/>
        <w:rPr>
          <w:rFonts w:hint="default" w:ascii="Times New Roman" w:hAnsi="Times New Roman" w:eastAsia="宋体" w:cs="Times New Roman"/>
          <w:color w:val="000000"/>
          <w:lang w:eastAsia="zh-CN"/>
        </w:rPr>
      </w:pPr>
      <w:r>
        <w:rPr>
          <w:rFonts w:hint="default" w:ascii="Times New Roman" w:hAnsi="Times New Roman" w:cs="Times New Roman"/>
          <w:color w:val="auto"/>
          <w:lang w:val="en-US" w:eastAsia="zh-CN"/>
        </w:rPr>
        <w:t>项目管道工程</w:t>
      </w:r>
      <w:r>
        <w:rPr>
          <w:rFonts w:hint="eastAsia" w:ascii="Times New Roman" w:hAnsi="Times New Roman" w:cs="Times New Roman"/>
          <w:color w:val="auto"/>
          <w:lang w:val="en-US" w:eastAsia="zh-CN"/>
        </w:rPr>
        <w:t>、泵站工程本身</w:t>
      </w:r>
      <w:r>
        <w:rPr>
          <w:rFonts w:hint="default" w:ascii="Times New Roman" w:hAnsi="Times New Roman" w:cs="Times New Roman"/>
          <w:color w:val="auto"/>
          <w:lang w:val="en-US" w:eastAsia="zh-CN"/>
        </w:rPr>
        <w:t>运营期</w:t>
      </w:r>
      <w:r>
        <w:rPr>
          <w:rFonts w:hint="eastAsia" w:ascii="Times New Roman" w:hAnsi="Times New Roman" w:cs="Times New Roman"/>
          <w:color w:val="auto"/>
          <w:lang w:val="en-US" w:eastAsia="zh-CN"/>
        </w:rPr>
        <w:t>无水</w:t>
      </w:r>
      <w:r>
        <w:rPr>
          <w:rFonts w:hint="default" w:ascii="Times New Roman" w:hAnsi="Times New Roman" w:cs="Times New Roman"/>
          <w:color w:val="auto"/>
          <w:lang w:val="en-US" w:eastAsia="zh-CN"/>
        </w:rPr>
        <w:t>污染物产生，</w:t>
      </w:r>
      <w:r>
        <w:rPr>
          <w:rFonts w:hint="default" w:ascii="Times New Roman" w:hAnsi="Times New Roman" w:cs="Times New Roman"/>
          <w:color w:val="auto"/>
        </w:rPr>
        <w:t>项目建设规模为</w:t>
      </w:r>
      <w:r>
        <w:rPr>
          <w:rFonts w:hint="default" w:ascii="Times New Roman" w:hAnsi="Times New Roman" w:cs="Times New Roman"/>
          <w:color w:val="000000"/>
          <w:lang w:val="en-US" w:eastAsia="zh-CN"/>
        </w:rPr>
        <w:t>3000</w:t>
      </w:r>
      <w:r>
        <w:rPr>
          <w:rFonts w:hint="default" w:ascii="Times New Roman" w:hAnsi="Times New Roman" w:cs="Times New Roman"/>
          <w:color w:val="000000"/>
        </w:rPr>
        <w:t>m</w:t>
      </w:r>
      <w:r>
        <w:rPr>
          <w:rFonts w:hint="default" w:ascii="Times New Roman" w:hAnsi="Times New Roman" w:cs="Times New Roman"/>
          <w:color w:val="000000"/>
          <w:vertAlign w:val="superscript"/>
        </w:rPr>
        <w:t>3</w:t>
      </w:r>
      <w:r>
        <w:rPr>
          <w:rFonts w:hint="default" w:ascii="Times New Roman" w:hAnsi="Times New Roman" w:cs="Times New Roman"/>
          <w:color w:val="000000"/>
        </w:rPr>
        <w:t>/d，污水处理</w:t>
      </w:r>
      <w:r>
        <w:rPr>
          <w:rFonts w:hint="eastAsia" w:ascii="Times New Roman" w:hAnsi="Times New Roman" w:cs="Times New Roman"/>
          <w:color w:val="000000"/>
          <w:lang w:eastAsia="zh-CN"/>
        </w:rPr>
        <w:t>站</w:t>
      </w:r>
      <w:r>
        <w:rPr>
          <w:rFonts w:hint="default" w:ascii="Times New Roman" w:hAnsi="Times New Roman" w:cs="Times New Roman"/>
          <w:color w:val="000000"/>
        </w:rPr>
        <w:t>的处理对象是</w:t>
      </w:r>
      <w:r>
        <w:rPr>
          <w:rFonts w:hint="default" w:ascii="Times New Roman" w:hAnsi="Times New Roman" w:cs="Times New Roman"/>
          <w:color w:val="000000"/>
          <w:lang w:eastAsia="zh-CN"/>
        </w:rPr>
        <w:t>花垣工业集中区涉重企业在废水无法循环利用的情况下的重金属废水，项目设置专用的重金属废水管道，只接纳重金属废水</w:t>
      </w:r>
      <w:r>
        <w:rPr>
          <w:rFonts w:hint="default" w:ascii="Times New Roman" w:hAnsi="Times New Roman" w:cs="Times New Roman"/>
          <w:color w:val="000000"/>
        </w:rPr>
        <w:t>，</w:t>
      </w:r>
      <w:r>
        <w:rPr>
          <w:rFonts w:hint="default" w:ascii="Times New Roman" w:hAnsi="Times New Roman" w:cs="Times New Roman"/>
          <w:color w:val="000000"/>
          <w:lang w:eastAsia="zh-CN"/>
        </w:rPr>
        <w:t>项目运营期废水产生主要</w:t>
      </w:r>
      <w:r>
        <w:rPr>
          <w:rFonts w:hint="default" w:ascii="Times New Roman" w:hAnsi="Times New Roman" w:cs="Times New Roman"/>
          <w:color w:val="000000"/>
        </w:rPr>
        <w:t>包括厂内生活污水和污泥脱水分离出来的污水、反冲洗废水。</w:t>
      </w:r>
      <w:r>
        <w:rPr>
          <w:rFonts w:hint="default" w:ascii="Times New Roman" w:hAnsi="Times New Roman" w:cs="Times New Roman"/>
          <w:color w:val="000000"/>
          <w:lang w:eastAsia="zh-CN"/>
        </w:rPr>
        <w:t>由于本项目主要目前入驻企业正常情况下无废水排放，考虑后期有涉重企业入驻，本次环评根据设计规模进行核算。</w:t>
      </w:r>
    </w:p>
    <w:p>
      <w:pPr>
        <w:spacing w:line="360" w:lineRule="auto"/>
        <w:ind w:firstLine="480"/>
        <w:rPr>
          <w:rFonts w:hint="eastAsia"/>
          <w:color w:val="000000"/>
        </w:rPr>
      </w:pPr>
      <w:r>
        <w:rPr>
          <w:rFonts w:hint="eastAsia"/>
          <w:color w:val="000000"/>
        </w:rPr>
        <w:t>1）生活废水</w:t>
      </w:r>
    </w:p>
    <w:p>
      <w:pPr>
        <w:spacing w:line="360" w:lineRule="auto"/>
        <w:ind w:firstLine="480"/>
        <w:rPr>
          <w:color w:val="000000"/>
        </w:rPr>
      </w:pPr>
      <w:r>
        <w:rPr>
          <w:color w:val="000000"/>
        </w:rPr>
        <w:t>本项目劳动定员</w:t>
      </w:r>
      <w:r>
        <w:rPr>
          <w:rFonts w:hint="eastAsia"/>
          <w:color w:val="000000"/>
          <w:lang w:val="en-US" w:eastAsia="zh-CN"/>
        </w:rPr>
        <w:t>4</w:t>
      </w:r>
      <w:r>
        <w:rPr>
          <w:color w:val="000000"/>
        </w:rPr>
        <w:t>人，</w:t>
      </w:r>
      <w:r>
        <w:rPr>
          <w:rFonts w:hint="eastAsia"/>
          <w:color w:val="000000"/>
          <w:lang w:eastAsia="zh-CN"/>
        </w:rPr>
        <w:t>仅在厂区值班，不设置食宿，</w:t>
      </w:r>
      <w:r>
        <w:rPr>
          <w:color w:val="000000"/>
        </w:rPr>
        <w:t>人均用水量按</w:t>
      </w:r>
      <w:r>
        <w:rPr>
          <w:rFonts w:hint="eastAsia"/>
          <w:color w:val="000000"/>
          <w:lang w:val="en-US" w:eastAsia="zh-CN"/>
        </w:rPr>
        <w:t>90</w:t>
      </w:r>
      <w:r>
        <w:rPr>
          <w:color w:val="000000"/>
        </w:rPr>
        <w:t>L/人·d计，生活污水产生指数为0.85，核算本项目员工生活污水产生量为</w:t>
      </w:r>
      <w:r>
        <w:rPr>
          <w:rFonts w:hint="eastAsia"/>
          <w:color w:val="000000"/>
          <w:lang w:val="en-US" w:eastAsia="zh-CN"/>
        </w:rPr>
        <w:t>0.3</w:t>
      </w:r>
      <w:r>
        <w:rPr>
          <w:color w:val="000000"/>
        </w:rPr>
        <w:t>m</w:t>
      </w:r>
      <w:r>
        <w:rPr>
          <w:rFonts w:hint="eastAsia"/>
          <w:color w:val="000000"/>
          <w:vertAlign w:val="superscript"/>
        </w:rPr>
        <w:t>3</w:t>
      </w:r>
      <w:r>
        <w:rPr>
          <w:color w:val="000000"/>
        </w:rPr>
        <w:t>/d</w:t>
      </w:r>
      <w:r>
        <w:rPr>
          <w:rFonts w:hint="eastAsia"/>
          <w:color w:val="000000"/>
          <w:lang w:eastAsia="zh-CN"/>
        </w:rPr>
        <w:t>（</w:t>
      </w:r>
      <w:r>
        <w:rPr>
          <w:rFonts w:hint="eastAsia"/>
          <w:color w:val="000000"/>
          <w:lang w:val="en-US" w:eastAsia="zh-CN"/>
        </w:rPr>
        <w:t>109.5t/a</w:t>
      </w:r>
      <w:r>
        <w:rPr>
          <w:rFonts w:hint="eastAsia"/>
          <w:color w:val="000000"/>
          <w:lang w:eastAsia="zh-CN"/>
        </w:rPr>
        <w:t>）</w:t>
      </w:r>
      <w:r>
        <w:rPr>
          <w:rFonts w:hint="eastAsia"/>
          <w:color w:val="000000"/>
        </w:rPr>
        <w:t>。</w:t>
      </w:r>
      <w:r>
        <w:rPr>
          <w:color w:val="000000"/>
        </w:rPr>
        <w:t>主要污染物为COD、BOD</w:t>
      </w:r>
      <w:r>
        <w:rPr>
          <w:color w:val="000000"/>
          <w:vertAlign w:val="subscript"/>
        </w:rPr>
        <w:t>5</w:t>
      </w:r>
      <w:r>
        <w:rPr>
          <w:color w:val="000000"/>
        </w:rPr>
        <w:t>、SS、氨氮等，废水经</w:t>
      </w:r>
      <w:r>
        <w:rPr>
          <w:rFonts w:hint="eastAsia"/>
          <w:color w:val="000000"/>
          <w:lang w:eastAsia="zh-CN"/>
        </w:rPr>
        <w:t>化粪池收集后排污花垣工业集中区污水处理厂处理</w:t>
      </w:r>
      <w:r>
        <w:rPr>
          <w:color w:val="000000"/>
        </w:rPr>
        <w:t>。</w:t>
      </w:r>
    </w:p>
    <w:p>
      <w:pPr>
        <w:ind w:firstLine="480"/>
        <w:rPr>
          <w:color w:val="000000"/>
        </w:rPr>
      </w:pPr>
      <w:r>
        <w:rPr>
          <w:rFonts w:hint="eastAsia"/>
          <w:color w:val="000000"/>
        </w:rPr>
        <w:t>2）生产废水</w:t>
      </w:r>
    </w:p>
    <w:p>
      <w:pPr>
        <w:ind w:firstLine="480"/>
        <w:rPr>
          <w:rFonts w:hint="eastAsia"/>
          <w:color w:val="000000"/>
        </w:rPr>
      </w:pPr>
      <w:r>
        <w:rPr>
          <w:rFonts w:hint="eastAsia"/>
          <w:color w:val="000000"/>
        </w:rPr>
        <w:t>①</w:t>
      </w:r>
      <w:r>
        <w:rPr>
          <w:color w:val="000000"/>
        </w:rPr>
        <w:t>配制药剂：</w:t>
      </w:r>
      <w:r>
        <w:rPr>
          <w:rFonts w:hint="eastAsia"/>
          <w:color w:val="000000"/>
        </w:rPr>
        <w:t>本项目设有自动加药装置，</w:t>
      </w:r>
      <w:r>
        <w:rPr>
          <w:color w:val="000000"/>
        </w:rPr>
        <w:t>用水量约为</w:t>
      </w:r>
      <w:r>
        <w:rPr>
          <w:rFonts w:hint="eastAsia"/>
          <w:color w:val="000000"/>
          <w:lang w:val="en-US" w:eastAsia="zh-CN"/>
        </w:rPr>
        <w:t>3.21</w:t>
      </w:r>
      <w:r>
        <w:rPr>
          <w:color w:val="000000"/>
        </w:rPr>
        <w:t>m</w:t>
      </w:r>
      <w:r>
        <w:rPr>
          <w:color w:val="000000"/>
          <w:vertAlign w:val="superscript"/>
        </w:rPr>
        <w:t>3</w:t>
      </w:r>
      <w:r>
        <w:rPr>
          <w:color w:val="000000"/>
        </w:rPr>
        <w:t>/d</w:t>
      </w:r>
      <w:r>
        <w:rPr>
          <w:rFonts w:hint="eastAsia"/>
          <w:color w:val="000000"/>
          <w:lang w:eastAsia="zh-CN"/>
        </w:rPr>
        <w:t>（</w:t>
      </w:r>
      <w:r>
        <w:rPr>
          <w:rFonts w:hint="eastAsia"/>
          <w:color w:val="000000"/>
          <w:lang w:val="en-US" w:eastAsia="zh-CN"/>
        </w:rPr>
        <w:t>1171.65t/a</w:t>
      </w:r>
      <w:r>
        <w:rPr>
          <w:rFonts w:hint="eastAsia"/>
          <w:color w:val="000000"/>
          <w:lang w:eastAsia="zh-CN"/>
        </w:rPr>
        <w:t>）</w:t>
      </w:r>
      <w:r>
        <w:rPr>
          <w:color w:val="000000"/>
        </w:rPr>
        <w:t>，采用新鲜水</w:t>
      </w:r>
      <w:r>
        <w:rPr>
          <w:rFonts w:hint="eastAsia"/>
          <w:color w:val="000000"/>
        </w:rPr>
        <w:t>，</w:t>
      </w:r>
      <w:r>
        <w:rPr>
          <w:rFonts w:hint="eastAsia"/>
          <w:color w:val="000000"/>
          <w:lang w:eastAsia="zh-CN"/>
        </w:rPr>
        <w:t>废水随药剂</w:t>
      </w:r>
      <w:r>
        <w:rPr>
          <w:color w:val="000000"/>
        </w:rPr>
        <w:t>进入污水处理系统处理</w:t>
      </w:r>
      <w:r>
        <w:rPr>
          <w:rFonts w:hint="eastAsia"/>
          <w:color w:val="000000"/>
        </w:rPr>
        <w:t>。</w:t>
      </w:r>
    </w:p>
    <w:p>
      <w:pPr>
        <w:ind w:firstLine="480"/>
        <w:rPr>
          <w:color w:val="000000"/>
        </w:rPr>
      </w:pPr>
      <w:r>
        <w:rPr>
          <w:rFonts w:hint="eastAsia"/>
          <w:color w:val="000000"/>
        </w:rPr>
        <w:t>②</w:t>
      </w:r>
      <w:r>
        <w:rPr>
          <w:color w:val="000000"/>
        </w:rPr>
        <w:t>污泥脱水分离的污水</w:t>
      </w:r>
      <w:r>
        <w:rPr>
          <w:rFonts w:hint="eastAsia"/>
          <w:color w:val="000000"/>
        </w:rPr>
        <w:t>：</w:t>
      </w:r>
      <w:r>
        <w:rPr>
          <w:rFonts w:hint="eastAsia"/>
          <w:color w:val="000000"/>
          <w:kern w:val="0"/>
        </w:rPr>
        <w:t>污泥脱水分离的污水均来源于自身污水处理系统</w:t>
      </w:r>
      <w:r>
        <w:rPr>
          <w:rFonts w:hint="eastAsia"/>
          <w:color w:val="000000"/>
          <w:kern w:val="0"/>
          <w:lang w:eastAsia="zh-CN"/>
        </w:rPr>
        <w:t>，脱泥水进入调节池，</w:t>
      </w:r>
      <w:r>
        <w:rPr>
          <w:rFonts w:hint="eastAsia"/>
          <w:color w:val="000000"/>
          <w:kern w:val="0"/>
        </w:rPr>
        <w:t>可直接排入本项目处理。</w:t>
      </w:r>
    </w:p>
    <w:p>
      <w:pPr>
        <w:ind w:firstLine="480"/>
        <w:rPr>
          <w:rFonts w:hint="eastAsia"/>
          <w:color w:val="000000"/>
        </w:rPr>
      </w:pPr>
      <w:r>
        <w:rPr>
          <w:rFonts w:hint="eastAsia"/>
          <w:color w:val="000000"/>
        </w:rPr>
        <w:t>③设备冲洗水：需要定期冲洗压滤脱水机、药液搅拌机、纤维转盘等设备，设备冲洗水使用量约</w:t>
      </w:r>
      <w:r>
        <w:rPr>
          <w:rFonts w:hint="eastAsia"/>
          <w:color w:val="000000"/>
          <w:lang w:val="en-US" w:eastAsia="zh-CN"/>
        </w:rPr>
        <w:t>0.8</w:t>
      </w:r>
      <w:r>
        <w:rPr>
          <w:rFonts w:hint="eastAsia"/>
          <w:color w:val="000000"/>
        </w:rPr>
        <w:t>m</w:t>
      </w:r>
      <w:r>
        <w:rPr>
          <w:rFonts w:hint="eastAsia"/>
          <w:color w:val="000000"/>
          <w:vertAlign w:val="superscript"/>
        </w:rPr>
        <w:t>3</w:t>
      </w:r>
      <w:r>
        <w:rPr>
          <w:rFonts w:hint="eastAsia"/>
          <w:color w:val="000000"/>
        </w:rPr>
        <w:t>/d</w:t>
      </w:r>
      <w:r>
        <w:rPr>
          <w:rFonts w:hint="eastAsia"/>
          <w:color w:val="000000"/>
          <w:lang w:eastAsia="zh-CN"/>
        </w:rPr>
        <w:t>（</w:t>
      </w:r>
      <w:r>
        <w:rPr>
          <w:rFonts w:hint="eastAsia"/>
          <w:color w:val="000000"/>
          <w:lang w:val="en-US" w:eastAsia="zh-CN"/>
        </w:rPr>
        <w:t>292t/a</w:t>
      </w:r>
      <w:r>
        <w:rPr>
          <w:rFonts w:hint="eastAsia"/>
          <w:color w:val="000000"/>
          <w:lang w:eastAsia="zh-CN"/>
        </w:rPr>
        <w:t>）</w:t>
      </w:r>
      <w:r>
        <w:rPr>
          <w:rFonts w:hint="eastAsia"/>
          <w:color w:val="000000"/>
        </w:rPr>
        <w:t>。</w:t>
      </w:r>
    </w:p>
    <w:p>
      <w:pPr>
        <w:pStyle w:val="16"/>
        <w:wordWrap w:val="0"/>
        <w:spacing w:before="15"/>
        <w:ind w:left="0" w:right="284" w:firstLine="480" w:firstLineChars="200"/>
        <w:rPr>
          <w:rFonts w:hint="eastAsia" w:ascii="Times New Roman" w:hAnsi="Times New Roman" w:cs="Times New Roman"/>
          <w:color w:val="000000"/>
          <w:lang w:eastAsia="zh-CN"/>
        </w:rPr>
      </w:pPr>
      <w:r>
        <w:rPr>
          <w:rFonts w:hint="eastAsia" w:ascii="Times New Roman" w:hAnsi="Times New Roman" w:cs="Times New Roman"/>
          <w:color w:val="000000"/>
          <w:lang w:eastAsia="zh-CN"/>
        </w:rPr>
        <w:t>本项</w:t>
      </w:r>
      <w:r>
        <w:rPr>
          <w:rFonts w:hint="eastAsia" w:ascii="Times New Roman" w:hAnsi="Times New Roman" w:cs="Times New Roman"/>
          <w:color w:val="auto"/>
          <w:lang w:eastAsia="zh-CN"/>
        </w:rPr>
        <w:t>目运营后将使污水中的主要污染物SS、Mn、铬、铅、锌、钒等重金属均得到不同程度地削减，废水经本项目污水处理站处理后出水水质总钒指标执行《钒工业污染物排放标准》（GB26452-2001）表</w:t>
      </w:r>
      <w:r>
        <w:rPr>
          <w:rFonts w:hint="eastAsia" w:ascii="Times New Roman" w:hAnsi="Times New Roman" w:cs="Times New Roman"/>
          <w:color w:val="auto"/>
          <w:lang w:val="en-US" w:eastAsia="zh-CN"/>
        </w:rPr>
        <w:t>2标准限值</w:t>
      </w:r>
      <w:r>
        <w:rPr>
          <w:rFonts w:hint="eastAsia" w:ascii="Times New Roman" w:hAnsi="Times New Roman" w:cs="Times New Roman"/>
          <w:color w:val="auto"/>
          <w:lang w:eastAsia="zh-CN"/>
        </w:rPr>
        <w:t>，其</w:t>
      </w:r>
      <w:r>
        <w:rPr>
          <w:rFonts w:hint="eastAsia" w:ascii="Times New Roman" w:hAnsi="Times New Roman" w:cs="Times New Roman"/>
          <w:color w:val="000000"/>
          <w:lang w:eastAsia="zh-CN"/>
        </w:rPr>
        <w:t>他污染物指标达到《城镇污水处理厂污染物排放标准》（GB18918-2002）表2、表3中标准限值后进入花垣工业集中区污水处理厂进一步处理，由于本项目废水经处理后已达到排放标准，进入花垣县工业集中区污水处理厂水质浓度较低，根据花垣工业集中区污水处理厂入河排污口论证报告可知。经花垣县工业集中区污水处理厂进一步处理后废水达标排入花垣河，结果见下表</w:t>
      </w:r>
      <w:r>
        <w:rPr>
          <w:rFonts w:ascii="Times New Roman" w:hAnsi="Times New Roman" w:cs="Times New Roman"/>
          <w:color w:val="000000"/>
          <w:lang w:eastAsia="zh-CN"/>
        </w:rPr>
        <w:t>。</w:t>
      </w:r>
    </w:p>
    <w:p>
      <w:pPr>
        <w:pStyle w:val="16"/>
        <w:spacing w:before="15"/>
        <w:ind w:left="232" w:right="284" w:firstLine="422" w:firstLineChars="200"/>
        <w:jc w:val="center"/>
        <w:rPr>
          <w:rFonts w:ascii="Times New Roman" w:hAnsi="Times New Roman" w:cs="Times New Roman"/>
          <w:b/>
          <w:color w:val="000000"/>
          <w:sz w:val="21"/>
          <w:szCs w:val="21"/>
          <w:lang w:eastAsia="zh-CN"/>
        </w:rPr>
      </w:pPr>
      <w:r>
        <w:rPr>
          <w:rFonts w:ascii="Times New Roman" w:hAnsi="Times New Roman" w:cs="Times New Roman"/>
          <w:b/>
          <w:color w:val="000000"/>
          <w:sz w:val="21"/>
          <w:szCs w:val="21"/>
          <w:lang w:eastAsia="zh-CN"/>
        </w:rPr>
        <w:t>表</w:t>
      </w:r>
      <w:r>
        <w:rPr>
          <w:rFonts w:hint="eastAsia" w:ascii="Times New Roman" w:hAnsi="Times New Roman" w:cs="Times New Roman"/>
          <w:b/>
          <w:color w:val="000000"/>
          <w:sz w:val="21"/>
          <w:szCs w:val="21"/>
          <w:lang w:val="en-US" w:eastAsia="zh-CN"/>
        </w:rPr>
        <w:t xml:space="preserve"> </w:t>
      </w:r>
      <w:r>
        <w:rPr>
          <w:rFonts w:ascii="Times New Roman" w:hAnsi="Times New Roman" w:cs="Times New Roman"/>
          <w:b/>
          <w:color w:val="000000"/>
          <w:sz w:val="21"/>
          <w:szCs w:val="21"/>
          <w:lang w:eastAsia="zh-CN"/>
        </w:rPr>
        <w:t>2</w:t>
      </w:r>
      <w:r>
        <w:rPr>
          <w:rFonts w:hint="eastAsia" w:ascii="Times New Roman" w:hAnsi="Times New Roman" w:cs="Times New Roman"/>
          <w:b/>
          <w:color w:val="000000"/>
          <w:sz w:val="21"/>
          <w:szCs w:val="21"/>
          <w:lang w:eastAsia="zh-CN"/>
        </w:rPr>
        <w:t>.4</w:t>
      </w:r>
      <w:r>
        <w:rPr>
          <w:rFonts w:ascii="Times New Roman" w:hAnsi="Times New Roman" w:cs="Times New Roman"/>
          <w:b/>
          <w:color w:val="000000"/>
          <w:sz w:val="21"/>
          <w:szCs w:val="21"/>
          <w:lang w:eastAsia="zh-CN"/>
        </w:rPr>
        <w:t>-</w:t>
      </w:r>
      <w:r>
        <w:rPr>
          <w:rFonts w:hint="eastAsia" w:ascii="Times New Roman" w:hAnsi="Times New Roman" w:cs="Times New Roman"/>
          <w:b/>
          <w:color w:val="000000"/>
          <w:sz w:val="21"/>
          <w:szCs w:val="21"/>
          <w:lang w:val="en-US" w:eastAsia="zh-CN"/>
        </w:rPr>
        <w:t>1</w:t>
      </w:r>
      <w:r>
        <w:rPr>
          <w:rFonts w:ascii="Times New Roman" w:hAnsi="Times New Roman" w:cs="Times New Roman"/>
          <w:b/>
          <w:color w:val="000000"/>
          <w:sz w:val="21"/>
          <w:szCs w:val="21"/>
          <w:lang w:eastAsia="zh-CN"/>
        </w:rPr>
        <w:t xml:space="preserve"> 污染物削减分析</w:t>
      </w:r>
    </w:p>
    <w:tbl>
      <w:tblPr>
        <w:tblStyle w:val="37"/>
        <w:tblW w:w="50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855"/>
        <w:gridCol w:w="1020"/>
        <w:gridCol w:w="870"/>
        <w:gridCol w:w="885"/>
        <w:gridCol w:w="825"/>
        <w:gridCol w:w="755"/>
        <w:gridCol w:w="407"/>
        <w:gridCol w:w="1030"/>
        <w:gridCol w:w="821"/>
        <w:gridCol w:w="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jc w:val="center"/>
        </w:trPr>
        <w:tc>
          <w:tcPr>
            <w:tcW w:w="434" w:type="pct"/>
            <w:vMerge w:val="restart"/>
            <w:noWrap w:val="0"/>
            <w:vAlign w:val="center"/>
          </w:tcPr>
          <w:p>
            <w:pPr>
              <w:pStyle w:val="132"/>
              <w:keepNext w:val="0"/>
              <w:keepLines w:val="0"/>
              <w:widowControl w:val="0"/>
              <w:rPr>
                <w:b/>
                <w:bCs/>
              </w:rPr>
            </w:pPr>
            <w:r>
              <w:rPr>
                <w:b/>
                <w:bCs/>
              </w:rPr>
              <w:t>处理量</w:t>
            </w:r>
          </w:p>
        </w:tc>
        <w:tc>
          <w:tcPr>
            <w:tcW w:w="495" w:type="pct"/>
            <w:vMerge w:val="restart"/>
            <w:noWrap w:val="0"/>
            <w:vAlign w:val="center"/>
          </w:tcPr>
          <w:p>
            <w:pPr>
              <w:pStyle w:val="132"/>
              <w:keepNext w:val="0"/>
              <w:keepLines w:val="0"/>
              <w:widowControl w:val="0"/>
              <w:rPr>
                <w:b/>
                <w:bCs/>
              </w:rPr>
            </w:pPr>
            <w:r>
              <w:rPr>
                <w:b/>
                <w:bCs/>
              </w:rPr>
              <w:t>污染因子</w:t>
            </w:r>
          </w:p>
        </w:tc>
        <w:tc>
          <w:tcPr>
            <w:tcW w:w="1095" w:type="pct"/>
            <w:gridSpan w:val="2"/>
            <w:noWrap w:val="0"/>
            <w:vAlign w:val="center"/>
          </w:tcPr>
          <w:p>
            <w:pPr>
              <w:pStyle w:val="132"/>
              <w:keepNext w:val="0"/>
              <w:keepLines w:val="0"/>
              <w:widowControl w:val="0"/>
              <w:rPr>
                <w:b/>
                <w:bCs/>
              </w:rPr>
            </w:pPr>
            <w:r>
              <w:rPr>
                <w:b/>
                <w:bCs/>
              </w:rPr>
              <w:t>处理前</w:t>
            </w:r>
          </w:p>
        </w:tc>
        <w:tc>
          <w:tcPr>
            <w:tcW w:w="991" w:type="pct"/>
            <w:gridSpan w:val="2"/>
            <w:noWrap w:val="0"/>
            <w:vAlign w:val="center"/>
          </w:tcPr>
          <w:p>
            <w:pPr>
              <w:pStyle w:val="132"/>
              <w:keepNext w:val="0"/>
              <w:keepLines w:val="0"/>
              <w:widowControl w:val="0"/>
              <w:rPr>
                <w:b/>
                <w:bCs/>
              </w:rPr>
            </w:pPr>
            <w:r>
              <w:rPr>
                <w:b/>
                <w:bCs/>
              </w:rPr>
              <w:t>处理后</w:t>
            </w:r>
          </w:p>
        </w:tc>
        <w:tc>
          <w:tcPr>
            <w:tcW w:w="437" w:type="pct"/>
            <w:vMerge w:val="restart"/>
            <w:noWrap w:val="0"/>
            <w:vAlign w:val="center"/>
          </w:tcPr>
          <w:p>
            <w:pPr>
              <w:pStyle w:val="132"/>
              <w:keepNext w:val="0"/>
              <w:keepLines w:val="0"/>
              <w:widowControl w:val="0"/>
              <w:rPr>
                <w:b/>
                <w:bCs/>
              </w:rPr>
            </w:pPr>
            <w:r>
              <w:rPr>
                <w:b/>
                <w:bCs/>
              </w:rPr>
              <w:t>削减量（t/a）</w:t>
            </w:r>
          </w:p>
        </w:tc>
        <w:tc>
          <w:tcPr>
            <w:tcW w:w="235" w:type="pct"/>
            <w:vMerge w:val="restart"/>
            <w:noWrap w:val="0"/>
            <w:vAlign w:val="center"/>
          </w:tcPr>
          <w:p>
            <w:pPr>
              <w:pStyle w:val="132"/>
              <w:keepNext w:val="0"/>
              <w:keepLines w:val="0"/>
              <w:widowControl w:val="0"/>
              <w:rPr>
                <w:rFonts w:hint="eastAsia" w:eastAsia="宋体"/>
                <w:lang w:eastAsia="zh-CN"/>
              </w:rPr>
            </w:pPr>
            <w:r>
              <w:rPr>
                <w:rFonts w:hint="eastAsia"/>
                <w:lang w:eastAsia="zh-CN"/>
              </w:rPr>
              <w:t>花垣工业集中区污水处理厂</w:t>
            </w:r>
          </w:p>
        </w:tc>
        <w:tc>
          <w:tcPr>
            <w:tcW w:w="1072" w:type="pct"/>
            <w:gridSpan w:val="2"/>
            <w:noWrap w:val="0"/>
            <w:vAlign w:val="center"/>
          </w:tcPr>
          <w:p>
            <w:pPr>
              <w:pStyle w:val="132"/>
              <w:keepNext w:val="0"/>
              <w:keepLines w:val="0"/>
              <w:widowControl w:val="0"/>
              <w:rPr>
                <w:b/>
                <w:bCs/>
              </w:rPr>
            </w:pPr>
            <w:r>
              <w:rPr>
                <w:rFonts w:hint="eastAsia"/>
                <w:b/>
                <w:bCs/>
                <w:lang w:eastAsia="zh-CN"/>
              </w:rPr>
              <w:t>处理后</w:t>
            </w:r>
          </w:p>
        </w:tc>
        <w:tc>
          <w:tcPr>
            <w:tcW w:w="236" w:type="pct"/>
            <w:vMerge w:val="restart"/>
            <w:noWrap w:val="0"/>
            <w:vAlign w:val="center"/>
          </w:tcPr>
          <w:p>
            <w:pPr>
              <w:pStyle w:val="132"/>
              <w:keepNext w:val="0"/>
              <w:keepLines w:val="0"/>
              <w:widowControl w:val="0"/>
              <w:rPr>
                <w:b/>
                <w:bCs/>
              </w:rPr>
            </w:pPr>
            <w:r>
              <w:rPr>
                <w:b/>
                <w:bCs/>
              </w:rPr>
              <w:t>污水去向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 w:hRule="atLeast"/>
          <w:jc w:val="center"/>
        </w:trPr>
        <w:tc>
          <w:tcPr>
            <w:tcW w:w="434" w:type="pct"/>
            <w:vMerge w:val="continue"/>
            <w:noWrap w:val="0"/>
            <w:vAlign w:val="center"/>
          </w:tcPr>
          <w:p>
            <w:pPr>
              <w:pStyle w:val="132"/>
              <w:keepNext w:val="0"/>
              <w:keepLines w:val="0"/>
              <w:widowControl w:val="0"/>
            </w:pPr>
          </w:p>
        </w:tc>
        <w:tc>
          <w:tcPr>
            <w:tcW w:w="495" w:type="pct"/>
            <w:vMerge w:val="continue"/>
            <w:noWrap w:val="0"/>
            <w:vAlign w:val="center"/>
          </w:tcPr>
          <w:p>
            <w:pPr>
              <w:pStyle w:val="132"/>
              <w:keepNext w:val="0"/>
              <w:keepLines w:val="0"/>
              <w:widowControl w:val="0"/>
            </w:pPr>
          </w:p>
        </w:tc>
        <w:tc>
          <w:tcPr>
            <w:tcW w:w="591" w:type="pct"/>
            <w:noWrap w:val="0"/>
            <w:vAlign w:val="center"/>
          </w:tcPr>
          <w:p>
            <w:pPr>
              <w:pStyle w:val="132"/>
              <w:keepNext w:val="0"/>
              <w:keepLines w:val="0"/>
              <w:widowControl w:val="0"/>
              <w:rPr>
                <w:b/>
                <w:bCs/>
              </w:rPr>
            </w:pPr>
            <w:r>
              <w:rPr>
                <w:b/>
                <w:bCs/>
              </w:rPr>
              <w:t>浓度（mg/L）</w:t>
            </w:r>
          </w:p>
        </w:tc>
        <w:tc>
          <w:tcPr>
            <w:tcW w:w="504" w:type="pct"/>
            <w:noWrap w:val="0"/>
            <w:vAlign w:val="center"/>
          </w:tcPr>
          <w:p>
            <w:pPr>
              <w:pStyle w:val="132"/>
              <w:keepNext w:val="0"/>
              <w:keepLines w:val="0"/>
              <w:widowControl w:val="0"/>
              <w:rPr>
                <w:b/>
                <w:bCs/>
              </w:rPr>
            </w:pPr>
            <w:r>
              <w:rPr>
                <w:b/>
                <w:bCs/>
              </w:rPr>
              <w:t>产生量（t/</w:t>
            </w:r>
            <w:r>
              <w:rPr>
                <w:rFonts w:hint="eastAsia"/>
                <w:b/>
                <w:bCs/>
                <w:lang w:val="en-US" w:eastAsia="zh-CN"/>
              </w:rPr>
              <w:t>d</w:t>
            </w:r>
            <w:r>
              <w:rPr>
                <w:b/>
                <w:bCs/>
              </w:rPr>
              <w:t>）</w:t>
            </w:r>
          </w:p>
        </w:tc>
        <w:tc>
          <w:tcPr>
            <w:tcW w:w="512" w:type="pct"/>
            <w:noWrap w:val="0"/>
            <w:vAlign w:val="center"/>
          </w:tcPr>
          <w:p>
            <w:pPr>
              <w:pStyle w:val="132"/>
              <w:keepNext w:val="0"/>
              <w:keepLines w:val="0"/>
              <w:widowControl w:val="0"/>
              <w:rPr>
                <w:b/>
                <w:bCs/>
              </w:rPr>
            </w:pPr>
            <w:r>
              <w:rPr>
                <w:b/>
                <w:bCs/>
              </w:rPr>
              <w:t>浓度（mg/L）</w:t>
            </w:r>
          </w:p>
        </w:tc>
        <w:tc>
          <w:tcPr>
            <w:tcW w:w="478" w:type="pct"/>
            <w:noWrap w:val="0"/>
            <w:vAlign w:val="center"/>
          </w:tcPr>
          <w:p>
            <w:pPr>
              <w:pStyle w:val="132"/>
              <w:keepNext w:val="0"/>
              <w:keepLines w:val="0"/>
              <w:widowControl w:val="0"/>
              <w:rPr>
                <w:b/>
                <w:bCs/>
              </w:rPr>
            </w:pPr>
            <w:r>
              <w:rPr>
                <w:rFonts w:hint="eastAsia"/>
                <w:b/>
                <w:bCs/>
                <w:lang w:eastAsia="zh-CN"/>
              </w:rPr>
              <w:t>出水</w:t>
            </w:r>
            <w:r>
              <w:rPr>
                <w:b/>
                <w:bCs/>
              </w:rPr>
              <w:t>量（t/</w:t>
            </w:r>
            <w:r>
              <w:rPr>
                <w:rFonts w:hint="eastAsia"/>
                <w:b/>
                <w:bCs/>
                <w:lang w:val="en-US" w:eastAsia="zh-CN"/>
              </w:rPr>
              <w:t>d</w:t>
            </w:r>
            <w:r>
              <w:rPr>
                <w:b/>
                <w:bCs/>
              </w:rPr>
              <w:t>）</w:t>
            </w:r>
          </w:p>
        </w:tc>
        <w:tc>
          <w:tcPr>
            <w:tcW w:w="437" w:type="pct"/>
            <w:vMerge w:val="continue"/>
            <w:noWrap w:val="0"/>
            <w:vAlign w:val="center"/>
          </w:tcPr>
          <w:p>
            <w:pPr>
              <w:pStyle w:val="132"/>
              <w:keepNext w:val="0"/>
              <w:keepLines w:val="0"/>
              <w:widowControl w:val="0"/>
            </w:pPr>
          </w:p>
        </w:tc>
        <w:tc>
          <w:tcPr>
            <w:tcW w:w="235" w:type="pct"/>
            <w:vMerge w:val="continue"/>
            <w:noWrap w:val="0"/>
            <w:vAlign w:val="center"/>
          </w:tcPr>
          <w:p>
            <w:pPr>
              <w:pStyle w:val="132"/>
              <w:keepNext w:val="0"/>
              <w:keepLines w:val="0"/>
              <w:widowControl w:val="0"/>
            </w:pPr>
          </w:p>
        </w:tc>
        <w:tc>
          <w:tcPr>
            <w:tcW w:w="597" w:type="pct"/>
            <w:noWrap w:val="0"/>
            <w:vAlign w:val="center"/>
          </w:tcPr>
          <w:p>
            <w:pPr>
              <w:pStyle w:val="132"/>
              <w:keepNext w:val="0"/>
              <w:keepLines w:val="0"/>
              <w:widowControl w:val="0"/>
              <w:ind w:firstLine="0" w:firstLineChars="0"/>
            </w:pPr>
            <w:r>
              <w:rPr>
                <w:b/>
                <w:bCs/>
              </w:rPr>
              <w:t>浓度（mg/L）</w:t>
            </w:r>
          </w:p>
        </w:tc>
        <w:tc>
          <w:tcPr>
            <w:tcW w:w="475" w:type="pct"/>
            <w:noWrap w:val="0"/>
            <w:vAlign w:val="center"/>
          </w:tcPr>
          <w:p>
            <w:pPr>
              <w:pStyle w:val="132"/>
              <w:keepNext w:val="0"/>
              <w:keepLines w:val="0"/>
              <w:widowControl w:val="0"/>
              <w:ind w:firstLine="0" w:firstLineChars="0"/>
            </w:pPr>
            <w:r>
              <w:rPr>
                <w:rFonts w:hint="eastAsia"/>
                <w:b/>
                <w:bCs/>
                <w:lang w:eastAsia="zh-CN"/>
              </w:rPr>
              <w:t>排放</w:t>
            </w:r>
            <w:r>
              <w:rPr>
                <w:b/>
                <w:bCs/>
              </w:rPr>
              <w:t>量（t/</w:t>
            </w:r>
            <w:r>
              <w:rPr>
                <w:rFonts w:hint="eastAsia"/>
                <w:b/>
                <w:bCs/>
                <w:lang w:val="en-US" w:eastAsia="zh-CN"/>
              </w:rPr>
              <w:t>d</w:t>
            </w:r>
            <w:r>
              <w:rPr>
                <w:b/>
                <w:bCs/>
              </w:rPr>
              <w:t>）</w:t>
            </w:r>
          </w:p>
        </w:tc>
        <w:tc>
          <w:tcPr>
            <w:tcW w:w="236" w:type="pct"/>
            <w:vMerge w:val="continue"/>
            <w:noWrap w:val="0"/>
            <w:vAlign w:val="center"/>
          </w:tcPr>
          <w:p>
            <w:pPr>
              <w:pStyle w:val="132"/>
              <w:keepNext w:val="0"/>
              <w:keepLines w:val="0"/>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 w:hRule="atLeast"/>
          <w:jc w:val="center"/>
        </w:trPr>
        <w:tc>
          <w:tcPr>
            <w:tcW w:w="434" w:type="pct"/>
            <w:vMerge w:val="restart"/>
            <w:noWrap w:val="0"/>
            <w:vAlign w:val="center"/>
          </w:tcPr>
          <w:p>
            <w:pPr>
              <w:pStyle w:val="132"/>
              <w:keepNext w:val="0"/>
              <w:keepLines w:val="0"/>
              <w:widowControl w:val="0"/>
              <w:rPr>
                <w:rFonts w:hint="eastAsia" w:eastAsia="宋体"/>
                <w:lang w:eastAsia="zh-CN"/>
              </w:rPr>
            </w:pPr>
            <w:r>
              <w:rPr>
                <w:rFonts w:hint="eastAsia"/>
                <w:lang w:val="en-US" w:eastAsia="zh-CN"/>
              </w:rPr>
              <w:t>3000</w:t>
            </w:r>
            <w:r>
              <w:t>m</w:t>
            </w:r>
            <w:r>
              <w:rPr>
                <w:rFonts w:hint="eastAsia"/>
                <w:vertAlign w:val="superscript"/>
              </w:rPr>
              <w:t>3</w:t>
            </w:r>
            <w:r>
              <w:t>/</w:t>
            </w:r>
            <w:r>
              <w:rPr>
                <w:rFonts w:hint="eastAsia"/>
                <w:lang w:val="en-US" w:eastAsia="zh-CN"/>
              </w:rPr>
              <w:t>d</w:t>
            </w:r>
          </w:p>
        </w:tc>
        <w:tc>
          <w:tcPr>
            <w:tcW w:w="495" w:type="pct"/>
            <w:noWrap w:val="0"/>
            <w:vAlign w:val="center"/>
          </w:tcPr>
          <w:p>
            <w:pPr>
              <w:pStyle w:val="132"/>
              <w:keepNext w:val="0"/>
              <w:keepLines w:val="0"/>
              <w:widowControl w:val="0"/>
              <w:rPr>
                <w:rFonts w:hint="eastAsia" w:eastAsia="宋体"/>
                <w:vertAlign w:val="subscript"/>
                <w:lang w:eastAsia="zh-CN"/>
              </w:rPr>
            </w:pPr>
            <w:r>
              <w:rPr>
                <w:rFonts w:hint="eastAsia"/>
                <w:lang w:eastAsia="zh-CN"/>
              </w:rPr>
              <w:t>总锰</w:t>
            </w:r>
          </w:p>
        </w:tc>
        <w:tc>
          <w:tcPr>
            <w:tcW w:w="591" w:type="pct"/>
            <w:noWrap w:val="0"/>
            <w:vAlign w:val="center"/>
          </w:tcPr>
          <w:p>
            <w:pPr>
              <w:pStyle w:val="132"/>
              <w:keepNext w:val="0"/>
              <w:keepLines w:val="0"/>
              <w:widowControl w:val="0"/>
              <w:rPr>
                <w:rFonts w:hint="default" w:eastAsia="宋体"/>
                <w:lang w:val="en-US" w:eastAsia="zh-CN"/>
              </w:rPr>
            </w:pPr>
            <w:r>
              <w:rPr>
                <w:rFonts w:hint="eastAsia"/>
                <w:lang w:val="en-US" w:eastAsia="zh-CN"/>
              </w:rPr>
              <w:t>25.0</w:t>
            </w:r>
          </w:p>
        </w:tc>
        <w:tc>
          <w:tcPr>
            <w:tcW w:w="504" w:type="pct"/>
            <w:noWrap w:val="0"/>
            <w:vAlign w:val="center"/>
          </w:tcPr>
          <w:p>
            <w:pPr>
              <w:pStyle w:val="132"/>
              <w:keepNext w:val="0"/>
              <w:keepLines w:val="0"/>
              <w:widowControl w:val="0"/>
              <w:rPr>
                <w:rFonts w:hint="default" w:eastAsia="宋体"/>
                <w:lang w:val="en-US" w:eastAsia="zh-CN"/>
              </w:rPr>
            </w:pPr>
            <w:r>
              <w:rPr>
                <w:rFonts w:hint="eastAsia"/>
                <w:lang w:val="en-US" w:eastAsia="zh-CN"/>
              </w:rPr>
              <w:t>0.075</w:t>
            </w:r>
          </w:p>
        </w:tc>
        <w:tc>
          <w:tcPr>
            <w:tcW w:w="512" w:type="pct"/>
            <w:noWrap w:val="0"/>
            <w:vAlign w:val="center"/>
          </w:tcPr>
          <w:p>
            <w:pPr>
              <w:pStyle w:val="132"/>
              <w:keepNext w:val="0"/>
              <w:keepLines w:val="0"/>
              <w:widowControl w:val="0"/>
              <w:rPr>
                <w:rFonts w:hint="default" w:eastAsia="宋体"/>
                <w:lang w:val="en-US" w:eastAsia="zh-CN"/>
              </w:rPr>
            </w:pPr>
            <w:r>
              <w:rPr>
                <w:rFonts w:hint="eastAsia"/>
                <w:lang w:val="en-US" w:eastAsia="zh-CN"/>
              </w:rPr>
              <w:t>2.0</w:t>
            </w:r>
          </w:p>
        </w:tc>
        <w:tc>
          <w:tcPr>
            <w:tcW w:w="478" w:type="pct"/>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0.006</w:t>
            </w:r>
          </w:p>
        </w:tc>
        <w:tc>
          <w:tcPr>
            <w:tcW w:w="437" w:type="pct"/>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0.069</w:t>
            </w:r>
          </w:p>
        </w:tc>
        <w:tc>
          <w:tcPr>
            <w:tcW w:w="235" w:type="pct"/>
            <w:vMerge w:val="continue"/>
            <w:noWrap w:val="0"/>
            <w:vAlign w:val="center"/>
          </w:tcPr>
          <w:p>
            <w:pPr>
              <w:pStyle w:val="132"/>
              <w:keepNext w:val="0"/>
              <w:keepLines w:val="0"/>
              <w:widowControl w:val="0"/>
              <w:rPr>
                <w:rFonts w:hint="eastAsia" w:eastAsia="宋体"/>
                <w:lang w:eastAsia="zh-CN"/>
              </w:rPr>
            </w:pPr>
          </w:p>
        </w:tc>
        <w:tc>
          <w:tcPr>
            <w:tcW w:w="597" w:type="pct"/>
            <w:noWrap w:val="0"/>
            <w:vAlign w:val="center"/>
          </w:tcPr>
          <w:p>
            <w:pPr>
              <w:pStyle w:val="132"/>
              <w:keepNext w:val="0"/>
              <w:keepLines w:val="0"/>
              <w:widowControl w:val="0"/>
              <w:rPr>
                <w:rFonts w:hint="default" w:eastAsia="宋体"/>
                <w:lang w:val="en-US" w:eastAsia="zh-CN"/>
              </w:rPr>
            </w:pPr>
            <w:r>
              <w:rPr>
                <w:rFonts w:hint="eastAsia"/>
                <w:lang w:val="en-US" w:eastAsia="zh-CN"/>
              </w:rPr>
              <w:t>1.0</w:t>
            </w:r>
          </w:p>
        </w:tc>
        <w:tc>
          <w:tcPr>
            <w:tcW w:w="475" w:type="pct"/>
            <w:noWrap w:val="0"/>
            <w:vAlign w:val="center"/>
          </w:tcPr>
          <w:p>
            <w:pPr>
              <w:pStyle w:val="132"/>
              <w:keepNext w:val="0"/>
              <w:keepLines w:val="0"/>
              <w:widowControl w:val="0"/>
              <w:rPr>
                <w:rFonts w:hint="default" w:eastAsia="宋体"/>
                <w:lang w:val="en-US" w:eastAsia="zh-CN"/>
              </w:rPr>
            </w:pPr>
            <w:r>
              <w:rPr>
                <w:rFonts w:hint="eastAsia"/>
                <w:lang w:val="en-US" w:eastAsia="zh-CN"/>
              </w:rPr>
              <w:t>0.003</w:t>
            </w:r>
          </w:p>
        </w:tc>
        <w:tc>
          <w:tcPr>
            <w:tcW w:w="236" w:type="pct"/>
            <w:vMerge w:val="restart"/>
            <w:noWrap w:val="0"/>
            <w:vAlign w:val="center"/>
          </w:tcPr>
          <w:p>
            <w:pPr>
              <w:pStyle w:val="132"/>
              <w:keepNext w:val="0"/>
              <w:keepLines w:val="0"/>
              <w:widowControl w:val="0"/>
              <w:rPr>
                <w:rFonts w:hint="eastAsia" w:eastAsia="宋体"/>
                <w:lang w:eastAsia="zh-CN"/>
              </w:rPr>
            </w:pPr>
            <w:r>
              <w:rPr>
                <w:rFonts w:hint="eastAsia"/>
                <w:lang w:eastAsia="zh-CN"/>
              </w:rPr>
              <w:t>花垣河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9" w:hRule="atLeast"/>
          <w:jc w:val="center"/>
        </w:trPr>
        <w:tc>
          <w:tcPr>
            <w:tcW w:w="434" w:type="pct"/>
            <w:vMerge w:val="continue"/>
            <w:noWrap w:val="0"/>
            <w:vAlign w:val="center"/>
          </w:tcPr>
          <w:p>
            <w:pPr>
              <w:pStyle w:val="132"/>
              <w:keepNext w:val="0"/>
              <w:keepLines w:val="0"/>
              <w:widowControl w:val="0"/>
            </w:pPr>
          </w:p>
        </w:tc>
        <w:tc>
          <w:tcPr>
            <w:tcW w:w="495" w:type="pct"/>
            <w:noWrap w:val="0"/>
            <w:vAlign w:val="center"/>
          </w:tcPr>
          <w:p>
            <w:pPr>
              <w:pStyle w:val="132"/>
              <w:keepNext w:val="0"/>
              <w:keepLines w:val="0"/>
              <w:widowControl w:val="0"/>
              <w:rPr>
                <w:rFonts w:hint="eastAsia" w:eastAsia="宋体"/>
                <w:vertAlign w:val="subscript"/>
                <w:lang w:eastAsia="zh-CN"/>
              </w:rPr>
            </w:pPr>
            <w:r>
              <w:rPr>
                <w:rFonts w:hint="eastAsia"/>
                <w:lang w:eastAsia="zh-CN"/>
              </w:rPr>
              <w:t>总铬</w:t>
            </w:r>
          </w:p>
        </w:tc>
        <w:tc>
          <w:tcPr>
            <w:tcW w:w="591" w:type="pct"/>
            <w:noWrap w:val="0"/>
            <w:vAlign w:val="center"/>
          </w:tcPr>
          <w:p>
            <w:pPr>
              <w:pStyle w:val="132"/>
              <w:keepNext w:val="0"/>
              <w:keepLines w:val="0"/>
              <w:widowControl w:val="0"/>
              <w:rPr>
                <w:rFonts w:hint="default" w:eastAsia="宋体"/>
                <w:lang w:val="en-US" w:eastAsia="zh-CN"/>
              </w:rPr>
            </w:pPr>
            <w:r>
              <w:rPr>
                <w:rFonts w:hint="eastAsia"/>
                <w:lang w:val="en-US" w:eastAsia="zh-CN"/>
              </w:rPr>
              <w:t>1.5</w:t>
            </w:r>
          </w:p>
        </w:tc>
        <w:tc>
          <w:tcPr>
            <w:tcW w:w="504" w:type="pct"/>
            <w:noWrap w:val="0"/>
            <w:vAlign w:val="center"/>
          </w:tcPr>
          <w:p>
            <w:pPr>
              <w:pStyle w:val="132"/>
              <w:keepNext w:val="0"/>
              <w:keepLines w:val="0"/>
              <w:widowControl w:val="0"/>
              <w:rPr>
                <w:rFonts w:hint="default" w:eastAsia="宋体"/>
                <w:lang w:val="en-US" w:eastAsia="zh-CN"/>
              </w:rPr>
            </w:pPr>
            <w:r>
              <w:rPr>
                <w:rFonts w:hint="eastAsia"/>
                <w:lang w:val="en-US" w:eastAsia="zh-CN"/>
              </w:rPr>
              <w:t>0.0045</w:t>
            </w:r>
          </w:p>
        </w:tc>
        <w:tc>
          <w:tcPr>
            <w:tcW w:w="512" w:type="pct"/>
            <w:noWrap w:val="0"/>
            <w:vAlign w:val="center"/>
          </w:tcPr>
          <w:p>
            <w:pPr>
              <w:pStyle w:val="132"/>
              <w:keepNext w:val="0"/>
              <w:keepLines w:val="0"/>
              <w:widowControl w:val="0"/>
              <w:rPr>
                <w:rFonts w:hint="default" w:eastAsia="宋体"/>
                <w:lang w:val="en-US" w:eastAsia="zh-CN"/>
              </w:rPr>
            </w:pPr>
            <w:r>
              <w:rPr>
                <w:rFonts w:hint="eastAsia"/>
                <w:lang w:val="en-US" w:eastAsia="zh-CN"/>
              </w:rPr>
              <w:t>0.1</w:t>
            </w:r>
          </w:p>
        </w:tc>
        <w:tc>
          <w:tcPr>
            <w:tcW w:w="478" w:type="pct"/>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0.0003</w:t>
            </w:r>
          </w:p>
        </w:tc>
        <w:tc>
          <w:tcPr>
            <w:tcW w:w="437" w:type="pct"/>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0.0042</w:t>
            </w:r>
          </w:p>
        </w:tc>
        <w:tc>
          <w:tcPr>
            <w:tcW w:w="235" w:type="pct"/>
            <w:vMerge w:val="continue"/>
            <w:noWrap w:val="0"/>
            <w:vAlign w:val="center"/>
          </w:tcPr>
          <w:p>
            <w:pPr>
              <w:pStyle w:val="132"/>
              <w:keepNext w:val="0"/>
              <w:keepLines w:val="0"/>
              <w:widowControl w:val="0"/>
            </w:pPr>
          </w:p>
        </w:tc>
        <w:tc>
          <w:tcPr>
            <w:tcW w:w="597" w:type="pct"/>
            <w:noWrap w:val="0"/>
            <w:vAlign w:val="center"/>
          </w:tcPr>
          <w:p>
            <w:pPr>
              <w:pStyle w:val="132"/>
              <w:keepNext w:val="0"/>
              <w:keepLines w:val="0"/>
              <w:widowControl w:val="0"/>
              <w:ind w:firstLine="0" w:firstLineChars="0"/>
            </w:pPr>
            <w:r>
              <w:rPr>
                <w:rFonts w:hint="eastAsia"/>
                <w:lang w:val="en-US" w:eastAsia="zh-CN"/>
              </w:rPr>
              <w:t>0.1</w:t>
            </w:r>
          </w:p>
        </w:tc>
        <w:tc>
          <w:tcPr>
            <w:tcW w:w="475" w:type="pct"/>
            <w:noWrap w:val="0"/>
            <w:vAlign w:val="center"/>
          </w:tcPr>
          <w:p>
            <w:pPr>
              <w:pStyle w:val="132"/>
              <w:keepNext w:val="0"/>
              <w:keepLines w:val="0"/>
              <w:widowControl w:val="0"/>
              <w:ind w:firstLine="0" w:firstLineChars="0"/>
            </w:pPr>
            <w:r>
              <w:rPr>
                <w:rFonts w:hint="eastAsia" w:ascii="Times New Roman" w:hAnsi="Times New Roman" w:eastAsia="宋体" w:cs="Times New Roman"/>
                <w:lang w:val="en-US" w:eastAsia="zh-CN"/>
              </w:rPr>
              <w:t>0.0003</w:t>
            </w:r>
          </w:p>
        </w:tc>
        <w:tc>
          <w:tcPr>
            <w:tcW w:w="236" w:type="pct"/>
            <w:vMerge w:val="continue"/>
            <w:noWrap w:val="0"/>
            <w:vAlign w:val="center"/>
          </w:tcPr>
          <w:p>
            <w:pPr>
              <w:pStyle w:val="132"/>
              <w:keepNext w:val="0"/>
              <w:keepLines w:val="0"/>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34" w:type="pct"/>
            <w:vMerge w:val="continue"/>
            <w:noWrap w:val="0"/>
            <w:vAlign w:val="center"/>
          </w:tcPr>
          <w:p>
            <w:pPr>
              <w:pStyle w:val="132"/>
              <w:keepNext w:val="0"/>
              <w:keepLines w:val="0"/>
              <w:widowControl w:val="0"/>
            </w:pPr>
          </w:p>
        </w:tc>
        <w:tc>
          <w:tcPr>
            <w:tcW w:w="495" w:type="pct"/>
            <w:noWrap w:val="0"/>
            <w:vAlign w:val="center"/>
          </w:tcPr>
          <w:p>
            <w:pPr>
              <w:pStyle w:val="132"/>
              <w:keepNext w:val="0"/>
              <w:keepLines w:val="0"/>
              <w:widowControl w:val="0"/>
              <w:rPr>
                <w:rFonts w:hint="eastAsia" w:eastAsia="宋体"/>
                <w:lang w:eastAsia="zh-CN"/>
              </w:rPr>
            </w:pPr>
            <w:r>
              <w:rPr>
                <w:rFonts w:hint="eastAsia"/>
                <w:lang w:eastAsia="zh-CN"/>
              </w:rPr>
              <w:t>六价铬</w:t>
            </w:r>
          </w:p>
        </w:tc>
        <w:tc>
          <w:tcPr>
            <w:tcW w:w="591" w:type="pct"/>
            <w:noWrap w:val="0"/>
            <w:vAlign w:val="center"/>
          </w:tcPr>
          <w:p>
            <w:pPr>
              <w:pStyle w:val="132"/>
              <w:keepNext w:val="0"/>
              <w:keepLines w:val="0"/>
              <w:widowControl w:val="0"/>
              <w:rPr>
                <w:rFonts w:hint="default" w:eastAsia="宋体"/>
                <w:lang w:val="en-US" w:eastAsia="zh-CN"/>
              </w:rPr>
            </w:pPr>
            <w:r>
              <w:rPr>
                <w:rFonts w:hint="eastAsia"/>
                <w:lang w:val="en-US" w:eastAsia="zh-CN"/>
              </w:rPr>
              <w:t>0.5</w:t>
            </w:r>
          </w:p>
        </w:tc>
        <w:tc>
          <w:tcPr>
            <w:tcW w:w="504" w:type="pct"/>
            <w:noWrap w:val="0"/>
            <w:vAlign w:val="center"/>
          </w:tcPr>
          <w:p>
            <w:pPr>
              <w:pStyle w:val="132"/>
              <w:keepNext w:val="0"/>
              <w:keepLines w:val="0"/>
              <w:widowControl w:val="0"/>
              <w:rPr>
                <w:rFonts w:hint="default" w:eastAsia="宋体"/>
                <w:lang w:val="en-US" w:eastAsia="zh-CN"/>
              </w:rPr>
            </w:pPr>
            <w:r>
              <w:rPr>
                <w:rFonts w:hint="eastAsia"/>
                <w:lang w:val="en-US" w:eastAsia="zh-CN"/>
              </w:rPr>
              <w:t>0.0015</w:t>
            </w:r>
          </w:p>
        </w:tc>
        <w:tc>
          <w:tcPr>
            <w:tcW w:w="512" w:type="pct"/>
            <w:noWrap w:val="0"/>
            <w:vAlign w:val="center"/>
          </w:tcPr>
          <w:p>
            <w:pPr>
              <w:pStyle w:val="132"/>
              <w:keepNext w:val="0"/>
              <w:keepLines w:val="0"/>
              <w:widowControl w:val="0"/>
              <w:rPr>
                <w:rFonts w:hint="default" w:eastAsia="宋体"/>
                <w:lang w:val="en-US" w:eastAsia="zh-CN"/>
              </w:rPr>
            </w:pPr>
            <w:r>
              <w:rPr>
                <w:rFonts w:hint="eastAsia"/>
                <w:lang w:val="en-US" w:eastAsia="zh-CN"/>
              </w:rPr>
              <w:t>0.05</w:t>
            </w:r>
          </w:p>
        </w:tc>
        <w:tc>
          <w:tcPr>
            <w:tcW w:w="478" w:type="pct"/>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0.00015</w:t>
            </w:r>
          </w:p>
        </w:tc>
        <w:tc>
          <w:tcPr>
            <w:tcW w:w="437" w:type="pct"/>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0.00135</w:t>
            </w:r>
          </w:p>
        </w:tc>
        <w:tc>
          <w:tcPr>
            <w:tcW w:w="235" w:type="pct"/>
            <w:vMerge w:val="continue"/>
            <w:noWrap w:val="0"/>
            <w:vAlign w:val="center"/>
          </w:tcPr>
          <w:p>
            <w:pPr>
              <w:pStyle w:val="132"/>
              <w:keepNext w:val="0"/>
              <w:keepLines w:val="0"/>
              <w:widowControl w:val="0"/>
              <w:rPr>
                <w:rFonts w:hint="eastAsia"/>
              </w:rPr>
            </w:pPr>
          </w:p>
        </w:tc>
        <w:tc>
          <w:tcPr>
            <w:tcW w:w="597" w:type="pct"/>
            <w:noWrap w:val="0"/>
            <w:vAlign w:val="center"/>
          </w:tcPr>
          <w:p>
            <w:pPr>
              <w:pStyle w:val="132"/>
              <w:keepNext w:val="0"/>
              <w:keepLines w:val="0"/>
              <w:widowControl w:val="0"/>
              <w:ind w:firstLine="0" w:firstLineChars="0"/>
              <w:rPr>
                <w:color w:val="auto"/>
              </w:rPr>
            </w:pPr>
            <w:r>
              <w:rPr>
                <w:rFonts w:hint="eastAsia"/>
                <w:color w:val="auto"/>
                <w:lang w:val="en-US" w:eastAsia="zh-CN"/>
              </w:rPr>
              <w:t>0.05</w:t>
            </w:r>
          </w:p>
        </w:tc>
        <w:tc>
          <w:tcPr>
            <w:tcW w:w="475" w:type="pct"/>
            <w:noWrap w:val="0"/>
            <w:vAlign w:val="center"/>
          </w:tcPr>
          <w:p>
            <w:pPr>
              <w:pStyle w:val="132"/>
              <w:keepNext w:val="0"/>
              <w:keepLines w:val="0"/>
              <w:widowControl w:val="0"/>
              <w:ind w:firstLine="0" w:firstLineChars="0"/>
            </w:pPr>
            <w:r>
              <w:rPr>
                <w:rFonts w:hint="eastAsia" w:ascii="Times New Roman" w:hAnsi="Times New Roman" w:eastAsia="宋体" w:cs="Times New Roman"/>
                <w:lang w:val="en-US" w:eastAsia="zh-CN"/>
              </w:rPr>
              <w:t>0.00015</w:t>
            </w:r>
          </w:p>
        </w:tc>
        <w:tc>
          <w:tcPr>
            <w:tcW w:w="236" w:type="pct"/>
            <w:vMerge w:val="continue"/>
            <w:noWrap w:val="0"/>
            <w:vAlign w:val="center"/>
          </w:tcPr>
          <w:p>
            <w:pPr>
              <w:pStyle w:val="132"/>
              <w:keepNext w:val="0"/>
              <w:keepLines w:val="0"/>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34" w:type="pct"/>
            <w:vMerge w:val="continue"/>
            <w:noWrap w:val="0"/>
            <w:vAlign w:val="center"/>
          </w:tcPr>
          <w:p>
            <w:pPr>
              <w:pStyle w:val="132"/>
              <w:keepNext w:val="0"/>
              <w:keepLines w:val="0"/>
              <w:widowControl w:val="0"/>
            </w:pPr>
          </w:p>
        </w:tc>
        <w:tc>
          <w:tcPr>
            <w:tcW w:w="495" w:type="pct"/>
            <w:noWrap w:val="0"/>
            <w:vAlign w:val="center"/>
          </w:tcPr>
          <w:p>
            <w:pPr>
              <w:pStyle w:val="132"/>
              <w:keepNext w:val="0"/>
              <w:keepLines w:val="0"/>
              <w:widowControl w:val="0"/>
              <w:rPr>
                <w:rFonts w:hint="eastAsia" w:eastAsia="宋体"/>
                <w:u w:val="single"/>
                <w:lang w:eastAsia="zh-CN"/>
              </w:rPr>
            </w:pPr>
            <w:r>
              <w:rPr>
                <w:rFonts w:hint="eastAsia"/>
                <w:u w:val="single"/>
                <w:lang w:eastAsia="zh-CN"/>
              </w:rPr>
              <w:t>总钒</w:t>
            </w:r>
          </w:p>
        </w:tc>
        <w:tc>
          <w:tcPr>
            <w:tcW w:w="591" w:type="pct"/>
            <w:noWrap w:val="0"/>
            <w:vAlign w:val="center"/>
          </w:tcPr>
          <w:p>
            <w:pPr>
              <w:pStyle w:val="132"/>
              <w:keepNext w:val="0"/>
              <w:keepLines w:val="0"/>
              <w:widowControl w:val="0"/>
              <w:rPr>
                <w:rFonts w:hint="default" w:eastAsia="宋体"/>
                <w:u w:val="single"/>
                <w:lang w:val="en-US" w:eastAsia="zh-CN"/>
              </w:rPr>
            </w:pPr>
            <w:r>
              <w:rPr>
                <w:rFonts w:hint="eastAsia"/>
                <w:u w:val="single"/>
                <w:lang w:val="en-US" w:eastAsia="zh-CN"/>
              </w:rPr>
              <w:t>4.0</w:t>
            </w:r>
          </w:p>
        </w:tc>
        <w:tc>
          <w:tcPr>
            <w:tcW w:w="504" w:type="pct"/>
            <w:noWrap w:val="0"/>
            <w:vAlign w:val="center"/>
          </w:tcPr>
          <w:p>
            <w:pPr>
              <w:pStyle w:val="132"/>
              <w:keepNext w:val="0"/>
              <w:keepLines w:val="0"/>
              <w:widowControl w:val="0"/>
              <w:rPr>
                <w:rFonts w:hint="default" w:eastAsia="宋体"/>
                <w:u w:val="single"/>
                <w:lang w:val="en-US" w:eastAsia="zh-CN"/>
              </w:rPr>
            </w:pPr>
            <w:r>
              <w:rPr>
                <w:rFonts w:hint="eastAsia"/>
                <w:u w:val="single"/>
                <w:lang w:val="en-US" w:eastAsia="zh-CN"/>
              </w:rPr>
              <w:t>0.012</w:t>
            </w:r>
          </w:p>
        </w:tc>
        <w:tc>
          <w:tcPr>
            <w:tcW w:w="512" w:type="pct"/>
            <w:noWrap w:val="0"/>
            <w:vAlign w:val="center"/>
          </w:tcPr>
          <w:p>
            <w:pPr>
              <w:pStyle w:val="132"/>
              <w:keepNext w:val="0"/>
              <w:keepLines w:val="0"/>
              <w:widowControl w:val="0"/>
              <w:rPr>
                <w:rFonts w:hint="default" w:eastAsia="宋体"/>
                <w:u w:val="single"/>
                <w:lang w:val="en-US" w:eastAsia="zh-CN"/>
              </w:rPr>
            </w:pPr>
            <w:r>
              <w:rPr>
                <w:rFonts w:hint="eastAsia"/>
                <w:u w:val="single"/>
                <w:lang w:val="en-US" w:eastAsia="zh-CN"/>
              </w:rPr>
              <w:t>1.0</w:t>
            </w:r>
          </w:p>
        </w:tc>
        <w:tc>
          <w:tcPr>
            <w:tcW w:w="478" w:type="pct"/>
            <w:noWrap w:val="0"/>
            <w:vAlign w:val="center"/>
          </w:tcPr>
          <w:p>
            <w:pPr>
              <w:pStyle w:val="132"/>
              <w:keepNext w:val="0"/>
              <w:keepLines w:val="0"/>
              <w:widowControl w:val="0"/>
              <w:rPr>
                <w:rFonts w:hint="eastAsia" w:ascii="Times New Roman" w:hAnsi="Times New Roman" w:eastAsia="宋体" w:cs="Times New Roman"/>
                <w:color w:val="auto"/>
                <w:u w:val="single"/>
                <w:lang w:val="en-US" w:eastAsia="zh-CN"/>
              </w:rPr>
            </w:pPr>
            <w:r>
              <w:rPr>
                <w:rFonts w:hint="eastAsia" w:eastAsia="宋体" w:cs="Times New Roman"/>
                <w:color w:val="auto"/>
                <w:u w:val="single"/>
                <w:lang w:val="en-US" w:eastAsia="zh-CN"/>
              </w:rPr>
              <w:t>0.003</w:t>
            </w:r>
          </w:p>
        </w:tc>
        <w:tc>
          <w:tcPr>
            <w:tcW w:w="437" w:type="pct"/>
            <w:noWrap w:val="0"/>
            <w:vAlign w:val="center"/>
          </w:tcPr>
          <w:p>
            <w:pPr>
              <w:pStyle w:val="132"/>
              <w:keepNext w:val="0"/>
              <w:keepLines w:val="0"/>
              <w:widowControl w:val="0"/>
              <w:rPr>
                <w:rFonts w:hint="default" w:ascii="Times New Roman" w:hAnsi="Times New Roman" w:eastAsia="宋体" w:cs="Times New Roman"/>
                <w:color w:val="auto"/>
                <w:u w:val="single"/>
                <w:lang w:val="en-US" w:eastAsia="zh-CN"/>
              </w:rPr>
            </w:pPr>
            <w:r>
              <w:rPr>
                <w:rFonts w:hint="eastAsia" w:eastAsia="宋体" w:cs="Times New Roman"/>
                <w:color w:val="auto"/>
                <w:u w:val="single"/>
                <w:lang w:val="en-US" w:eastAsia="zh-CN"/>
              </w:rPr>
              <w:t>0.009</w:t>
            </w:r>
          </w:p>
        </w:tc>
        <w:tc>
          <w:tcPr>
            <w:tcW w:w="235" w:type="pct"/>
            <w:vMerge w:val="continue"/>
            <w:noWrap w:val="0"/>
            <w:vAlign w:val="center"/>
          </w:tcPr>
          <w:p>
            <w:pPr>
              <w:pStyle w:val="132"/>
              <w:keepNext w:val="0"/>
              <w:keepLines w:val="0"/>
              <w:widowControl w:val="0"/>
              <w:rPr>
                <w:u w:val="single"/>
              </w:rPr>
            </w:pPr>
          </w:p>
        </w:tc>
        <w:tc>
          <w:tcPr>
            <w:tcW w:w="597" w:type="pct"/>
            <w:noWrap w:val="0"/>
            <w:vAlign w:val="center"/>
          </w:tcPr>
          <w:p>
            <w:pPr>
              <w:pStyle w:val="132"/>
              <w:keepNext w:val="0"/>
              <w:keepLines w:val="0"/>
              <w:widowControl w:val="0"/>
              <w:ind w:firstLine="0" w:firstLineChars="0"/>
              <w:rPr>
                <w:color w:val="auto"/>
                <w:u w:val="single"/>
              </w:rPr>
            </w:pPr>
            <w:r>
              <w:rPr>
                <w:rFonts w:hint="eastAsia"/>
                <w:color w:val="auto"/>
                <w:u w:val="single"/>
                <w:lang w:val="en-US" w:eastAsia="zh-CN"/>
              </w:rPr>
              <w:t>1.0</w:t>
            </w:r>
          </w:p>
        </w:tc>
        <w:tc>
          <w:tcPr>
            <w:tcW w:w="475" w:type="pct"/>
            <w:noWrap w:val="0"/>
            <w:vAlign w:val="center"/>
          </w:tcPr>
          <w:p>
            <w:pPr>
              <w:pStyle w:val="132"/>
              <w:keepNext w:val="0"/>
              <w:keepLines w:val="0"/>
              <w:widowControl w:val="0"/>
              <w:ind w:firstLine="0" w:firstLineChars="0"/>
              <w:rPr>
                <w:u w:val="single"/>
              </w:rPr>
            </w:pPr>
            <w:r>
              <w:rPr>
                <w:rFonts w:hint="eastAsia" w:ascii="Times New Roman" w:hAnsi="Times New Roman" w:eastAsia="宋体" w:cs="Times New Roman"/>
                <w:u w:val="single"/>
                <w:lang w:val="en-US" w:eastAsia="zh-CN"/>
              </w:rPr>
              <w:t>0.00</w:t>
            </w:r>
            <w:r>
              <w:rPr>
                <w:rFonts w:hint="eastAsia" w:eastAsia="宋体" w:cs="Times New Roman"/>
                <w:u w:val="single"/>
                <w:lang w:val="en-US" w:eastAsia="zh-CN"/>
              </w:rPr>
              <w:t>3</w:t>
            </w:r>
          </w:p>
        </w:tc>
        <w:tc>
          <w:tcPr>
            <w:tcW w:w="236" w:type="pct"/>
            <w:vMerge w:val="continue"/>
            <w:noWrap w:val="0"/>
            <w:vAlign w:val="center"/>
          </w:tcPr>
          <w:p>
            <w:pPr>
              <w:pStyle w:val="132"/>
              <w:keepNext w:val="0"/>
              <w:keepLines w:val="0"/>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34" w:type="pct"/>
            <w:vMerge w:val="continue"/>
            <w:noWrap w:val="0"/>
            <w:vAlign w:val="center"/>
          </w:tcPr>
          <w:p>
            <w:pPr>
              <w:pStyle w:val="132"/>
              <w:keepNext w:val="0"/>
              <w:keepLines w:val="0"/>
              <w:widowControl w:val="0"/>
            </w:pPr>
          </w:p>
        </w:tc>
        <w:tc>
          <w:tcPr>
            <w:tcW w:w="495" w:type="pct"/>
            <w:noWrap w:val="0"/>
            <w:vAlign w:val="center"/>
          </w:tcPr>
          <w:p>
            <w:pPr>
              <w:pStyle w:val="132"/>
              <w:keepNext w:val="0"/>
              <w:keepLines w:val="0"/>
              <w:widowControl w:val="0"/>
              <w:rPr>
                <w:rFonts w:hint="eastAsia" w:eastAsia="宋体"/>
                <w:lang w:eastAsia="zh-CN"/>
              </w:rPr>
            </w:pPr>
            <w:r>
              <w:rPr>
                <w:rFonts w:hint="eastAsia"/>
                <w:lang w:eastAsia="zh-CN"/>
              </w:rPr>
              <w:t>总锌</w:t>
            </w:r>
          </w:p>
        </w:tc>
        <w:tc>
          <w:tcPr>
            <w:tcW w:w="591" w:type="pct"/>
            <w:noWrap w:val="0"/>
            <w:vAlign w:val="center"/>
          </w:tcPr>
          <w:p>
            <w:pPr>
              <w:pStyle w:val="132"/>
              <w:keepNext w:val="0"/>
              <w:keepLines w:val="0"/>
              <w:widowControl w:val="0"/>
              <w:rPr>
                <w:rFonts w:hint="default" w:eastAsia="宋体"/>
                <w:lang w:val="en-US" w:eastAsia="zh-CN"/>
              </w:rPr>
            </w:pPr>
            <w:r>
              <w:rPr>
                <w:rFonts w:hint="eastAsia"/>
                <w:lang w:val="en-US" w:eastAsia="zh-CN"/>
              </w:rPr>
              <w:t>5.0</w:t>
            </w:r>
          </w:p>
        </w:tc>
        <w:tc>
          <w:tcPr>
            <w:tcW w:w="504" w:type="pct"/>
            <w:noWrap w:val="0"/>
            <w:vAlign w:val="center"/>
          </w:tcPr>
          <w:p>
            <w:pPr>
              <w:pStyle w:val="132"/>
              <w:keepNext w:val="0"/>
              <w:keepLines w:val="0"/>
              <w:widowControl w:val="0"/>
              <w:rPr>
                <w:rFonts w:hint="default" w:eastAsia="宋体"/>
                <w:lang w:val="en-US" w:eastAsia="zh-CN"/>
              </w:rPr>
            </w:pPr>
            <w:r>
              <w:rPr>
                <w:rFonts w:hint="eastAsia"/>
                <w:lang w:val="en-US" w:eastAsia="zh-CN"/>
              </w:rPr>
              <w:t>0.015</w:t>
            </w:r>
          </w:p>
        </w:tc>
        <w:tc>
          <w:tcPr>
            <w:tcW w:w="512" w:type="pct"/>
            <w:noWrap w:val="0"/>
            <w:vAlign w:val="center"/>
          </w:tcPr>
          <w:p>
            <w:pPr>
              <w:pStyle w:val="132"/>
              <w:keepNext w:val="0"/>
              <w:keepLines w:val="0"/>
              <w:widowControl w:val="0"/>
              <w:rPr>
                <w:rFonts w:hint="default" w:eastAsia="宋体"/>
                <w:lang w:val="en-US" w:eastAsia="zh-CN"/>
              </w:rPr>
            </w:pPr>
            <w:r>
              <w:rPr>
                <w:rFonts w:hint="eastAsia"/>
                <w:lang w:val="en-US" w:eastAsia="zh-CN"/>
              </w:rPr>
              <w:t>1.0</w:t>
            </w:r>
          </w:p>
        </w:tc>
        <w:tc>
          <w:tcPr>
            <w:tcW w:w="478" w:type="pct"/>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0.003</w:t>
            </w:r>
          </w:p>
        </w:tc>
        <w:tc>
          <w:tcPr>
            <w:tcW w:w="437" w:type="pct"/>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0.012</w:t>
            </w:r>
          </w:p>
        </w:tc>
        <w:tc>
          <w:tcPr>
            <w:tcW w:w="235" w:type="pct"/>
            <w:vMerge w:val="continue"/>
            <w:noWrap w:val="0"/>
            <w:vAlign w:val="center"/>
          </w:tcPr>
          <w:p>
            <w:pPr>
              <w:pStyle w:val="132"/>
              <w:keepNext w:val="0"/>
              <w:keepLines w:val="0"/>
              <w:widowControl w:val="0"/>
            </w:pPr>
          </w:p>
        </w:tc>
        <w:tc>
          <w:tcPr>
            <w:tcW w:w="597" w:type="pct"/>
            <w:noWrap w:val="0"/>
            <w:vAlign w:val="center"/>
          </w:tcPr>
          <w:p>
            <w:pPr>
              <w:pStyle w:val="132"/>
              <w:keepNext w:val="0"/>
              <w:keepLines w:val="0"/>
              <w:widowControl w:val="0"/>
              <w:ind w:firstLine="0" w:firstLineChars="0"/>
              <w:rPr>
                <w:color w:val="auto"/>
              </w:rPr>
            </w:pPr>
            <w:r>
              <w:rPr>
                <w:rFonts w:hint="eastAsia"/>
                <w:color w:val="auto"/>
                <w:lang w:val="en-US" w:eastAsia="zh-CN"/>
              </w:rPr>
              <w:t>1.0</w:t>
            </w:r>
          </w:p>
        </w:tc>
        <w:tc>
          <w:tcPr>
            <w:tcW w:w="475" w:type="pct"/>
            <w:noWrap w:val="0"/>
            <w:vAlign w:val="center"/>
          </w:tcPr>
          <w:p>
            <w:pPr>
              <w:pStyle w:val="132"/>
              <w:keepNext w:val="0"/>
              <w:keepLines w:val="0"/>
              <w:widowControl w:val="0"/>
              <w:ind w:firstLine="0" w:firstLineChars="0"/>
            </w:pPr>
            <w:r>
              <w:rPr>
                <w:rFonts w:hint="eastAsia" w:ascii="Times New Roman" w:hAnsi="Times New Roman" w:eastAsia="宋体" w:cs="Times New Roman"/>
                <w:lang w:val="en-US" w:eastAsia="zh-CN"/>
              </w:rPr>
              <w:t>0.003</w:t>
            </w:r>
          </w:p>
        </w:tc>
        <w:tc>
          <w:tcPr>
            <w:tcW w:w="236" w:type="pct"/>
            <w:vMerge w:val="continue"/>
            <w:noWrap w:val="0"/>
            <w:vAlign w:val="center"/>
          </w:tcPr>
          <w:p>
            <w:pPr>
              <w:pStyle w:val="132"/>
              <w:keepNext w:val="0"/>
              <w:keepLines w:val="0"/>
              <w:widowControl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34" w:type="pct"/>
            <w:vMerge w:val="continue"/>
            <w:noWrap w:val="0"/>
            <w:vAlign w:val="center"/>
          </w:tcPr>
          <w:p>
            <w:pPr>
              <w:pStyle w:val="132"/>
              <w:keepNext w:val="0"/>
              <w:keepLines w:val="0"/>
              <w:widowControl w:val="0"/>
            </w:pPr>
          </w:p>
        </w:tc>
        <w:tc>
          <w:tcPr>
            <w:tcW w:w="495" w:type="pct"/>
            <w:noWrap w:val="0"/>
            <w:vAlign w:val="center"/>
          </w:tcPr>
          <w:p>
            <w:pPr>
              <w:pStyle w:val="132"/>
              <w:keepNext w:val="0"/>
              <w:keepLines w:val="0"/>
              <w:widowControl w:val="0"/>
              <w:rPr>
                <w:rFonts w:hint="eastAsia" w:eastAsia="宋体"/>
                <w:lang w:eastAsia="zh-CN"/>
              </w:rPr>
            </w:pPr>
            <w:r>
              <w:rPr>
                <w:rFonts w:hint="eastAsia"/>
                <w:lang w:eastAsia="zh-CN"/>
              </w:rPr>
              <w:t>总铅</w:t>
            </w:r>
          </w:p>
        </w:tc>
        <w:tc>
          <w:tcPr>
            <w:tcW w:w="591" w:type="pct"/>
            <w:noWrap w:val="0"/>
            <w:vAlign w:val="center"/>
          </w:tcPr>
          <w:p>
            <w:pPr>
              <w:pStyle w:val="132"/>
              <w:keepNext w:val="0"/>
              <w:keepLines w:val="0"/>
              <w:widowControl w:val="0"/>
              <w:rPr>
                <w:rFonts w:hint="default" w:eastAsia="宋体"/>
                <w:lang w:val="en-US" w:eastAsia="zh-CN"/>
              </w:rPr>
            </w:pPr>
            <w:r>
              <w:rPr>
                <w:rFonts w:hint="eastAsia"/>
                <w:lang w:val="en-US" w:eastAsia="zh-CN"/>
              </w:rPr>
              <w:t>1.0</w:t>
            </w:r>
          </w:p>
        </w:tc>
        <w:tc>
          <w:tcPr>
            <w:tcW w:w="504" w:type="pct"/>
            <w:noWrap w:val="0"/>
            <w:vAlign w:val="center"/>
          </w:tcPr>
          <w:p>
            <w:pPr>
              <w:pStyle w:val="132"/>
              <w:keepNext w:val="0"/>
              <w:keepLines w:val="0"/>
              <w:widowControl w:val="0"/>
              <w:rPr>
                <w:rFonts w:hint="default" w:eastAsia="宋体"/>
                <w:lang w:val="en-US" w:eastAsia="zh-CN"/>
              </w:rPr>
            </w:pPr>
            <w:r>
              <w:rPr>
                <w:rFonts w:hint="eastAsia"/>
                <w:lang w:val="en-US" w:eastAsia="zh-CN"/>
              </w:rPr>
              <w:t>0.003</w:t>
            </w:r>
          </w:p>
        </w:tc>
        <w:tc>
          <w:tcPr>
            <w:tcW w:w="512" w:type="pct"/>
            <w:noWrap w:val="0"/>
            <w:vAlign w:val="center"/>
          </w:tcPr>
          <w:p>
            <w:pPr>
              <w:pStyle w:val="132"/>
              <w:keepNext w:val="0"/>
              <w:keepLines w:val="0"/>
              <w:widowControl w:val="0"/>
              <w:rPr>
                <w:rFonts w:hint="default" w:eastAsia="宋体"/>
                <w:lang w:val="en-US" w:eastAsia="zh-CN"/>
              </w:rPr>
            </w:pPr>
            <w:r>
              <w:rPr>
                <w:rFonts w:hint="eastAsia"/>
                <w:lang w:val="en-US" w:eastAsia="zh-CN"/>
              </w:rPr>
              <w:t>0.1</w:t>
            </w:r>
          </w:p>
        </w:tc>
        <w:tc>
          <w:tcPr>
            <w:tcW w:w="478" w:type="pct"/>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0.0003</w:t>
            </w:r>
          </w:p>
        </w:tc>
        <w:tc>
          <w:tcPr>
            <w:tcW w:w="437" w:type="pct"/>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0.0027</w:t>
            </w:r>
          </w:p>
        </w:tc>
        <w:tc>
          <w:tcPr>
            <w:tcW w:w="235" w:type="pct"/>
            <w:vMerge w:val="continue"/>
            <w:noWrap w:val="0"/>
            <w:vAlign w:val="center"/>
          </w:tcPr>
          <w:p>
            <w:pPr>
              <w:pStyle w:val="132"/>
              <w:keepNext w:val="0"/>
              <w:keepLines w:val="0"/>
              <w:widowControl w:val="0"/>
            </w:pPr>
          </w:p>
        </w:tc>
        <w:tc>
          <w:tcPr>
            <w:tcW w:w="597" w:type="pct"/>
            <w:noWrap w:val="0"/>
            <w:vAlign w:val="center"/>
          </w:tcPr>
          <w:p>
            <w:pPr>
              <w:pStyle w:val="132"/>
              <w:keepNext w:val="0"/>
              <w:keepLines w:val="0"/>
              <w:widowControl w:val="0"/>
              <w:ind w:firstLine="0" w:firstLineChars="0"/>
              <w:rPr>
                <w:color w:val="auto"/>
              </w:rPr>
            </w:pPr>
            <w:r>
              <w:rPr>
                <w:rFonts w:hint="eastAsia"/>
                <w:color w:val="auto"/>
                <w:lang w:val="en-US" w:eastAsia="zh-CN"/>
              </w:rPr>
              <w:t>0.1</w:t>
            </w:r>
          </w:p>
        </w:tc>
        <w:tc>
          <w:tcPr>
            <w:tcW w:w="475" w:type="pct"/>
            <w:noWrap w:val="0"/>
            <w:vAlign w:val="center"/>
          </w:tcPr>
          <w:p>
            <w:pPr>
              <w:pStyle w:val="132"/>
              <w:keepNext w:val="0"/>
              <w:keepLines w:val="0"/>
              <w:widowControl w:val="0"/>
              <w:ind w:firstLine="0" w:firstLineChars="0"/>
            </w:pPr>
            <w:r>
              <w:rPr>
                <w:rFonts w:hint="eastAsia" w:ascii="Times New Roman" w:hAnsi="Times New Roman" w:eastAsia="宋体" w:cs="Times New Roman"/>
                <w:lang w:val="en-US" w:eastAsia="zh-CN"/>
              </w:rPr>
              <w:t>0.0003</w:t>
            </w:r>
          </w:p>
        </w:tc>
        <w:tc>
          <w:tcPr>
            <w:tcW w:w="236" w:type="pct"/>
            <w:vMerge w:val="continue"/>
            <w:noWrap w:val="0"/>
            <w:vAlign w:val="center"/>
          </w:tcPr>
          <w:p>
            <w:pPr>
              <w:pStyle w:val="132"/>
              <w:keepNext w:val="0"/>
              <w:keepLines w:val="0"/>
              <w:widowControl w:val="0"/>
            </w:pPr>
          </w:p>
        </w:tc>
      </w:tr>
    </w:tbl>
    <w:p>
      <w:pPr>
        <w:pStyle w:val="81"/>
        <w:rPr>
          <w:rFonts w:hint="eastAsia"/>
          <w:color w:val="000000"/>
        </w:rPr>
      </w:pPr>
      <w:r>
        <w:rPr>
          <w:color w:val="000000"/>
        </w:rPr>
        <w:t>2.</w:t>
      </w:r>
      <w:r>
        <w:rPr>
          <w:rFonts w:hint="eastAsia"/>
          <w:color w:val="000000"/>
        </w:rPr>
        <w:t>4</w:t>
      </w:r>
      <w:r>
        <w:rPr>
          <w:color w:val="000000"/>
        </w:rPr>
        <w:t>.</w:t>
      </w:r>
      <w:r>
        <w:rPr>
          <w:rFonts w:hint="eastAsia"/>
          <w:color w:val="000000"/>
          <w:lang w:val="en-US" w:eastAsia="zh-CN"/>
        </w:rPr>
        <w:t>3</w:t>
      </w:r>
      <w:r>
        <w:rPr>
          <w:color w:val="000000"/>
        </w:rPr>
        <w:t>.2 大气污染源</w:t>
      </w:r>
    </w:p>
    <w:p>
      <w:pPr>
        <w:ind w:firstLine="482"/>
        <w:rPr>
          <w:rFonts w:hint="eastAsia"/>
          <w:b/>
          <w:color w:val="000000"/>
          <w:kern w:val="0"/>
          <w:u w:val="single"/>
        </w:rPr>
      </w:pPr>
      <w:r>
        <w:rPr>
          <w:rFonts w:hint="eastAsia"/>
          <w:b/>
          <w:color w:val="000000"/>
          <w:kern w:val="0"/>
          <w:u w:val="single"/>
        </w:rPr>
        <w:t>（1）污水处理</w:t>
      </w:r>
      <w:r>
        <w:rPr>
          <w:rFonts w:hint="eastAsia"/>
          <w:b/>
          <w:color w:val="000000"/>
          <w:kern w:val="0"/>
          <w:u w:val="single"/>
          <w:lang w:eastAsia="zh-CN"/>
        </w:rPr>
        <w:t>站</w:t>
      </w:r>
      <w:r>
        <w:rPr>
          <w:rFonts w:hint="eastAsia"/>
          <w:b/>
          <w:color w:val="000000"/>
          <w:kern w:val="0"/>
          <w:u w:val="single"/>
        </w:rPr>
        <w:t>工程</w:t>
      </w:r>
    </w:p>
    <w:p>
      <w:pPr>
        <w:pStyle w:val="16"/>
        <w:ind w:left="0" w:firstLine="480" w:firstLineChars="200"/>
        <w:rPr>
          <w:rFonts w:hint="eastAsia" w:ascii="Times New Roman" w:hAnsi="Times New Roman" w:eastAsia="宋体" w:cs="Times New Roman"/>
          <w:color w:val="000000"/>
          <w:u w:val="single"/>
          <w:lang w:eastAsia="zh-CN"/>
        </w:rPr>
      </w:pPr>
      <w:r>
        <w:rPr>
          <w:rFonts w:hint="eastAsia" w:ascii="Times New Roman" w:hAnsi="Times New Roman" w:cs="Times New Roman"/>
          <w:color w:val="000000"/>
          <w:u w:val="single"/>
          <w:lang w:eastAsia="zh-CN"/>
        </w:rPr>
        <w:t>本项目</w:t>
      </w:r>
      <w:r>
        <w:rPr>
          <w:rFonts w:hint="eastAsia" w:ascii="Times New Roman" w:hAnsi="Times New Roman" w:cs="Times New Roman"/>
          <w:color w:val="000000"/>
          <w:u w:val="single"/>
        </w:rPr>
        <w:t>运营期污水主要污染物为重金属，</w:t>
      </w:r>
      <w:r>
        <w:rPr>
          <w:rFonts w:hint="eastAsia" w:ascii="Times New Roman" w:hAnsi="Times New Roman" w:cs="Times New Roman"/>
          <w:color w:val="000000"/>
          <w:u w:val="single"/>
          <w:lang w:eastAsia="zh-CN"/>
        </w:rPr>
        <w:t>项目采用工艺为“化学混凝沉淀分离+石英砂过滤”，不考虑对</w:t>
      </w:r>
      <w:r>
        <w:rPr>
          <w:rFonts w:hint="eastAsia" w:ascii="Times New Roman" w:hAnsi="Times New Roman" w:cs="Times New Roman"/>
          <w:color w:val="000000"/>
          <w:u w:val="single"/>
        </w:rPr>
        <w:t>有机物COD、BOD</w:t>
      </w:r>
      <w:r>
        <w:rPr>
          <w:rFonts w:hint="eastAsia" w:ascii="Times New Roman" w:hAnsi="Times New Roman" w:cs="Times New Roman"/>
          <w:color w:val="000000"/>
          <w:u w:val="single"/>
          <w:lang w:eastAsia="zh-CN"/>
        </w:rPr>
        <w:t>进行处理</w:t>
      </w:r>
      <w:r>
        <w:rPr>
          <w:rFonts w:hint="eastAsia" w:ascii="Times New Roman" w:hAnsi="Times New Roman" w:cs="Times New Roman"/>
          <w:color w:val="000000"/>
          <w:u w:val="single"/>
        </w:rPr>
        <w:t>，不会产生氨、硫化氢恶臭气体</w:t>
      </w:r>
      <w:r>
        <w:rPr>
          <w:rFonts w:hint="eastAsia" w:ascii="Times New Roman" w:hAnsi="Times New Roman" w:cs="Times New Roman"/>
          <w:color w:val="000000"/>
          <w:u w:val="single"/>
          <w:lang w:eastAsia="zh-CN"/>
        </w:rPr>
        <w:t>，项目在处理过程中会加入盐酸，会产生少量酸性气体挥发，为无组织排放，排放量较少，对环境影响可以接受，不会改变区域环境质量现状，本环评仅进行定性分析。</w:t>
      </w:r>
    </w:p>
    <w:p>
      <w:pPr>
        <w:ind w:firstLine="480"/>
        <w:rPr>
          <w:rFonts w:hint="eastAsia"/>
          <w:color w:val="000000"/>
          <w:kern w:val="0"/>
          <w:u w:val="single"/>
        </w:rPr>
      </w:pPr>
      <w:r>
        <w:rPr>
          <w:rFonts w:hint="eastAsia"/>
          <w:color w:val="000000"/>
          <w:kern w:val="0"/>
          <w:u w:val="single"/>
        </w:rPr>
        <w:t>2）食堂油烟</w:t>
      </w:r>
    </w:p>
    <w:p>
      <w:pPr>
        <w:ind w:firstLine="480"/>
        <w:rPr>
          <w:rFonts w:hint="eastAsia"/>
          <w:color w:val="000000"/>
          <w:kern w:val="0"/>
          <w:u w:val="single"/>
        </w:rPr>
      </w:pPr>
      <w:r>
        <w:rPr>
          <w:rFonts w:hint="eastAsia"/>
          <w:color w:val="000000"/>
          <w:kern w:val="0"/>
          <w:u w:val="single"/>
          <w:lang w:eastAsia="zh-CN"/>
        </w:rPr>
        <w:t>项目仅设置值班室，不设置有厨房，无油烟废气产生</w:t>
      </w:r>
      <w:r>
        <w:rPr>
          <w:rFonts w:hint="eastAsia"/>
          <w:color w:val="000000"/>
          <w:kern w:val="0"/>
          <w:u w:val="single"/>
        </w:rPr>
        <w:t>。</w:t>
      </w:r>
    </w:p>
    <w:p>
      <w:pPr>
        <w:ind w:firstLine="482"/>
        <w:rPr>
          <w:rFonts w:hint="eastAsia"/>
          <w:b/>
          <w:color w:val="auto"/>
          <w:kern w:val="0"/>
        </w:rPr>
      </w:pPr>
      <w:r>
        <w:rPr>
          <w:rFonts w:hint="eastAsia"/>
          <w:b/>
          <w:color w:val="auto"/>
          <w:kern w:val="0"/>
        </w:rPr>
        <w:t>（2）管道</w:t>
      </w:r>
      <w:r>
        <w:rPr>
          <w:rFonts w:hint="eastAsia"/>
          <w:b/>
          <w:color w:val="auto"/>
          <w:kern w:val="0"/>
          <w:lang w:eastAsia="zh-CN"/>
        </w:rPr>
        <w:t>、泵站</w:t>
      </w:r>
      <w:r>
        <w:rPr>
          <w:rFonts w:hint="eastAsia"/>
          <w:b/>
          <w:color w:val="auto"/>
          <w:kern w:val="0"/>
        </w:rPr>
        <w:t>工程</w:t>
      </w:r>
    </w:p>
    <w:p>
      <w:pPr>
        <w:ind w:firstLine="480"/>
        <w:jc w:val="both"/>
        <w:rPr>
          <w:rFonts w:hint="eastAsia" w:eastAsia="宋体"/>
          <w:bCs/>
          <w:color w:val="auto"/>
          <w:kern w:val="0"/>
          <w:lang w:eastAsia="zh-CN"/>
        </w:rPr>
      </w:pPr>
      <w:r>
        <w:rPr>
          <w:rFonts w:hint="eastAsia"/>
          <w:color w:val="auto"/>
          <w:kern w:val="0"/>
          <w:szCs w:val="20"/>
        </w:rPr>
        <w:t>管道铺设采用地底填埋，铺设完成运营后正常情况下不会对区域大气环境造成不良影响，污水管道的铺设</w:t>
      </w:r>
      <w:r>
        <w:rPr>
          <w:bCs/>
          <w:color w:val="auto"/>
          <w:kern w:val="0"/>
        </w:rPr>
        <w:t>实现污水的集中处理，减少废水的直接排放量，</w:t>
      </w:r>
      <w:r>
        <w:rPr>
          <w:rFonts w:hint="eastAsia"/>
          <w:bCs/>
          <w:color w:val="auto"/>
          <w:kern w:val="0"/>
        </w:rPr>
        <w:t>雨污分流管道可以实现雨污分流，减少下游污水处理厂运行压力，有助于其自然生态环境的改善提高。</w:t>
      </w:r>
      <w:r>
        <w:rPr>
          <w:rFonts w:hint="eastAsia"/>
          <w:bCs/>
          <w:color w:val="auto"/>
          <w:kern w:val="0"/>
          <w:lang w:eastAsia="zh-CN"/>
        </w:rPr>
        <w:t>本项目泵站工程在运营期无废气产生。</w:t>
      </w:r>
    </w:p>
    <w:p>
      <w:pPr>
        <w:pStyle w:val="81"/>
        <w:rPr>
          <w:rFonts w:hint="eastAsia"/>
          <w:color w:val="auto"/>
        </w:rPr>
      </w:pPr>
      <w:r>
        <w:rPr>
          <w:color w:val="auto"/>
        </w:rPr>
        <w:t>2</w:t>
      </w:r>
      <w:r>
        <w:rPr>
          <w:rFonts w:hint="eastAsia"/>
          <w:color w:val="auto"/>
        </w:rPr>
        <w:t>.4.</w:t>
      </w:r>
      <w:r>
        <w:rPr>
          <w:rFonts w:hint="eastAsia"/>
          <w:color w:val="auto"/>
          <w:lang w:val="en-US" w:eastAsia="zh-CN"/>
        </w:rPr>
        <w:t>3</w:t>
      </w:r>
      <w:r>
        <w:rPr>
          <w:rFonts w:hint="eastAsia"/>
          <w:color w:val="auto"/>
        </w:rPr>
        <w:t>.3</w:t>
      </w:r>
      <w:r>
        <w:rPr>
          <w:color w:val="auto"/>
        </w:rPr>
        <w:t xml:space="preserve"> </w:t>
      </w:r>
      <w:r>
        <w:rPr>
          <w:rFonts w:hint="eastAsia"/>
          <w:color w:val="auto"/>
        </w:rPr>
        <w:t>噪声污染源</w:t>
      </w:r>
    </w:p>
    <w:p>
      <w:pPr>
        <w:ind w:firstLine="482"/>
        <w:rPr>
          <w:rFonts w:hint="eastAsia"/>
          <w:b/>
          <w:color w:val="auto"/>
          <w:kern w:val="0"/>
        </w:rPr>
      </w:pPr>
      <w:r>
        <w:rPr>
          <w:rFonts w:hint="eastAsia"/>
          <w:b/>
          <w:color w:val="auto"/>
          <w:kern w:val="0"/>
        </w:rPr>
        <w:t>（1）污水处理</w:t>
      </w:r>
      <w:r>
        <w:rPr>
          <w:rFonts w:hint="eastAsia"/>
          <w:b/>
          <w:color w:val="auto"/>
          <w:kern w:val="0"/>
          <w:lang w:eastAsia="zh-CN"/>
        </w:rPr>
        <w:t>站</w:t>
      </w:r>
      <w:r>
        <w:rPr>
          <w:rFonts w:hint="eastAsia"/>
          <w:b/>
          <w:color w:val="auto"/>
          <w:kern w:val="0"/>
        </w:rPr>
        <w:t>工程</w:t>
      </w:r>
    </w:p>
    <w:p>
      <w:pPr>
        <w:ind w:firstLine="480"/>
        <w:rPr>
          <w:color w:val="auto"/>
          <w:kern w:val="0"/>
        </w:rPr>
      </w:pPr>
      <w:r>
        <w:rPr>
          <w:rFonts w:hint="eastAsia"/>
          <w:color w:val="auto"/>
          <w:kern w:val="0"/>
        </w:rPr>
        <w:t>污水处理</w:t>
      </w:r>
      <w:r>
        <w:rPr>
          <w:rFonts w:hint="eastAsia"/>
          <w:color w:val="auto"/>
          <w:kern w:val="0"/>
          <w:lang w:eastAsia="zh-CN"/>
        </w:rPr>
        <w:t>站</w:t>
      </w:r>
      <w:r>
        <w:rPr>
          <w:rFonts w:hint="eastAsia"/>
          <w:color w:val="auto"/>
          <w:kern w:val="0"/>
        </w:rPr>
        <w:t>工程噪声源主要来自厂区泵房、污泥处理间、沉淀池及鼓风机房的设备</w:t>
      </w:r>
      <w:r>
        <w:rPr>
          <w:rFonts w:hint="eastAsia"/>
          <w:color w:val="auto"/>
          <w:kern w:val="0"/>
          <w:lang w:eastAsia="zh-CN"/>
        </w:rPr>
        <w:t>，以及提升泵站</w:t>
      </w:r>
      <w:r>
        <w:rPr>
          <w:rFonts w:hint="eastAsia"/>
          <w:color w:val="auto"/>
          <w:kern w:val="0"/>
        </w:rPr>
        <w:t>等所产噪声，其设备数量和噪声值见表</w:t>
      </w:r>
      <w:r>
        <w:rPr>
          <w:color w:val="auto"/>
          <w:kern w:val="0"/>
        </w:rPr>
        <w:t>2</w:t>
      </w:r>
      <w:r>
        <w:rPr>
          <w:rFonts w:hint="eastAsia"/>
          <w:color w:val="auto"/>
          <w:kern w:val="0"/>
        </w:rPr>
        <w:t>.4-</w:t>
      </w:r>
      <w:r>
        <w:rPr>
          <w:rFonts w:hint="eastAsia"/>
          <w:color w:val="auto"/>
          <w:kern w:val="0"/>
          <w:lang w:val="en-US" w:eastAsia="zh-CN"/>
        </w:rPr>
        <w:t>2</w:t>
      </w:r>
      <w:r>
        <w:rPr>
          <w:rFonts w:hint="eastAsia"/>
          <w:color w:val="auto"/>
          <w:kern w:val="0"/>
        </w:rPr>
        <w:t>。</w:t>
      </w:r>
    </w:p>
    <w:p>
      <w:pPr>
        <w:ind w:firstLine="422"/>
        <w:jc w:val="center"/>
        <w:rPr>
          <w:rFonts w:hint="eastAsia"/>
          <w:b/>
          <w:color w:val="000000"/>
          <w:kern w:val="0"/>
          <w:sz w:val="21"/>
          <w:szCs w:val="21"/>
        </w:rPr>
      </w:pPr>
      <w:r>
        <w:rPr>
          <w:rFonts w:hint="eastAsia"/>
          <w:b/>
          <w:color w:val="000000"/>
          <w:kern w:val="0"/>
          <w:sz w:val="21"/>
          <w:szCs w:val="21"/>
        </w:rPr>
        <w:t>表</w:t>
      </w:r>
      <w:r>
        <w:rPr>
          <w:b/>
          <w:color w:val="000000"/>
          <w:kern w:val="0"/>
          <w:sz w:val="21"/>
          <w:szCs w:val="21"/>
        </w:rPr>
        <w:t>2</w:t>
      </w:r>
      <w:r>
        <w:rPr>
          <w:rFonts w:hint="eastAsia"/>
          <w:b/>
          <w:color w:val="000000"/>
          <w:kern w:val="0"/>
          <w:sz w:val="21"/>
          <w:szCs w:val="21"/>
        </w:rPr>
        <w:t>.4-</w:t>
      </w:r>
      <w:r>
        <w:rPr>
          <w:rFonts w:hint="eastAsia"/>
          <w:b/>
          <w:color w:val="000000"/>
          <w:kern w:val="0"/>
          <w:sz w:val="21"/>
          <w:szCs w:val="21"/>
          <w:lang w:val="en-US" w:eastAsia="zh-CN"/>
        </w:rPr>
        <w:t>2</w:t>
      </w:r>
      <w:r>
        <w:rPr>
          <w:rFonts w:hint="eastAsia"/>
          <w:b/>
          <w:color w:val="000000"/>
          <w:kern w:val="0"/>
          <w:sz w:val="21"/>
          <w:szCs w:val="21"/>
        </w:rPr>
        <w:t xml:space="preserve"> 工程运营期主要噪声源表</w:t>
      </w:r>
    </w:p>
    <w:tbl>
      <w:tblPr>
        <w:tblStyle w:val="37"/>
        <w:tblW w:w="8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1443"/>
        <w:gridCol w:w="1965"/>
        <w:gridCol w:w="2043"/>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61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b/>
                <w:bCs/>
                <w:color w:val="000000"/>
                <w:kern w:val="0"/>
                <w:sz w:val="21"/>
                <w:szCs w:val="21"/>
              </w:rPr>
            </w:pPr>
            <w:r>
              <w:rPr>
                <w:rFonts w:hint="eastAsia" w:ascii="Times New Roman" w:hAnsi="Times New Roman" w:eastAsia="宋体" w:cs="Times New Roman"/>
                <w:b/>
                <w:bCs/>
                <w:color w:val="000000"/>
                <w:kern w:val="0"/>
                <w:sz w:val="21"/>
                <w:szCs w:val="21"/>
              </w:rPr>
              <w:t>工段</w:t>
            </w: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b/>
                <w:bCs/>
                <w:color w:val="000000"/>
                <w:kern w:val="0"/>
                <w:sz w:val="21"/>
                <w:szCs w:val="21"/>
              </w:rPr>
            </w:pPr>
            <w:r>
              <w:rPr>
                <w:rFonts w:hint="eastAsia" w:ascii="Times New Roman" w:hAnsi="Times New Roman" w:eastAsia="宋体" w:cs="Times New Roman"/>
                <w:b/>
                <w:bCs/>
                <w:color w:val="000000"/>
                <w:kern w:val="0"/>
                <w:sz w:val="21"/>
                <w:szCs w:val="21"/>
              </w:rPr>
              <w:t>高噪声设备</w:t>
            </w:r>
          </w:p>
        </w:tc>
        <w:tc>
          <w:tcPr>
            <w:tcW w:w="19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b/>
                <w:bCs/>
                <w:color w:val="000000"/>
                <w:kern w:val="0"/>
                <w:sz w:val="21"/>
                <w:szCs w:val="21"/>
              </w:rPr>
            </w:pPr>
            <w:r>
              <w:rPr>
                <w:rFonts w:hint="eastAsia" w:ascii="Times New Roman" w:hAnsi="Times New Roman" w:eastAsia="宋体" w:cs="Times New Roman"/>
                <w:b/>
                <w:bCs/>
                <w:color w:val="000000"/>
                <w:kern w:val="0"/>
                <w:sz w:val="21"/>
                <w:szCs w:val="21"/>
              </w:rPr>
              <w:t>数量</w:t>
            </w:r>
          </w:p>
        </w:tc>
        <w:tc>
          <w:tcPr>
            <w:tcW w:w="20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b/>
                <w:bCs/>
                <w:color w:val="000000"/>
                <w:kern w:val="0"/>
                <w:sz w:val="21"/>
                <w:szCs w:val="21"/>
              </w:rPr>
            </w:pPr>
            <w:r>
              <w:rPr>
                <w:rFonts w:hint="eastAsia" w:ascii="Times New Roman" w:hAnsi="Times New Roman" w:eastAsia="宋体" w:cs="Times New Roman"/>
                <w:b/>
                <w:bCs/>
                <w:color w:val="000000"/>
                <w:kern w:val="0"/>
                <w:sz w:val="21"/>
                <w:szCs w:val="21"/>
              </w:rPr>
              <w:t>预测源强dB（A）</w:t>
            </w:r>
          </w:p>
        </w:tc>
        <w:tc>
          <w:tcPr>
            <w:tcW w:w="13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b/>
                <w:bCs/>
                <w:color w:val="000000"/>
                <w:kern w:val="0"/>
                <w:sz w:val="21"/>
                <w:szCs w:val="21"/>
              </w:rPr>
            </w:pPr>
            <w:r>
              <w:rPr>
                <w:rFonts w:hint="eastAsia" w:ascii="Times New Roman" w:hAnsi="Times New Roman" w:eastAsia="宋体" w:cs="Times New Roman"/>
                <w:b/>
                <w:bCs/>
                <w:color w:val="000000"/>
                <w:kern w:val="0"/>
                <w:sz w:val="21"/>
                <w:szCs w:val="21"/>
              </w:rPr>
              <w:t>安装位置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61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调节池</w:t>
            </w: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潜水提升泵</w:t>
            </w:r>
          </w:p>
        </w:tc>
        <w:tc>
          <w:tcPr>
            <w:tcW w:w="19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2台（一备一用）</w:t>
            </w:r>
          </w:p>
        </w:tc>
        <w:tc>
          <w:tcPr>
            <w:tcW w:w="20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85</w:t>
            </w:r>
          </w:p>
        </w:tc>
        <w:tc>
          <w:tcPr>
            <w:tcW w:w="13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lang w:eastAsia="zh-CN"/>
              </w:rPr>
              <w:t>地下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61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eastAsia="zh-CN"/>
              </w:rPr>
              <w:t>反应</w:t>
            </w:r>
            <w:r>
              <w:rPr>
                <w:rFonts w:hint="eastAsia" w:ascii="Times New Roman" w:hAnsi="Times New Roman" w:eastAsia="宋体" w:cs="Times New Roman"/>
                <w:color w:val="000000"/>
                <w:kern w:val="0"/>
                <w:sz w:val="21"/>
                <w:szCs w:val="21"/>
              </w:rPr>
              <w:t>池</w:t>
            </w: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刮泥机</w:t>
            </w:r>
          </w:p>
        </w:tc>
        <w:tc>
          <w:tcPr>
            <w:tcW w:w="19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2台</w:t>
            </w:r>
          </w:p>
        </w:tc>
        <w:tc>
          <w:tcPr>
            <w:tcW w:w="20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80</w:t>
            </w:r>
          </w:p>
        </w:tc>
        <w:tc>
          <w:tcPr>
            <w:tcW w:w="13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rPr>
              <w:t>水下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jc w:val="center"/>
        </w:trPr>
        <w:tc>
          <w:tcPr>
            <w:tcW w:w="1618" w:type="dxa"/>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lang w:eastAsia="zh-CN"/>
              </w:rPr>
              <w:t>污泥脱水房</w:t>
            </w: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污泥泵</w:t>
            </w:r>
          </w:p>
        </w:tc>
        <w:tc>
          <w:tcPr>
            <w:tcW w:w="19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2台</w:t>
            </w:r>
          </w:p>
        </w:tc>
        <w:tc>
          <w:tcPr>
            <w:tcW w:w="20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85</w:t>
            </w:r>
          </w:p>
        </w:tc>
        <w:tc>
          <w:tcPr>
            <w:tcW w:w="13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618"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lang w:eastAsia="zh-CN"/>
              </w:rPr>
              <w:t>板框压滤机</w:t>
            </w:r>
          </w:p>
        </w:tc>
        <w:tc>
          <w:tcPr>
            <w:tcW w:w="19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1台</w:t>
            </w:r>
          </w:p>
        </w:tc>
        <w:tc>
          <w:tcPr>
            <w:tcW w:w="20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80</w:t>
            </w:r>
          </w:p>
        </w:tc>
        <w:tc>
          <w:tcPr>
            <w:tcW w:w="13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618" w:type="dxa"/>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混凝沉淀池</w:t>
            </w: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搅拌机</w:t>
            </w:r>
          </w:p>
        </w:tc>
        <w:tc>
          <w:tcPr>
            <w:tcW w:w="19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4台</w:t>
            </w:r>
          </w:p>
        </w:tc>
        <w:tc>
          <w:tcPr>
            <w:tcW w:w="20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80</w:t>
            </w:r>
          </w:p>
        </w:tc>
        <w:tc>
          <w:tcPr>
            <w:tcW w:w="13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水下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618" w:type="dxa"/>
            <w:vMerge w:val="continue"/>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污泥离心泵</w:t>
            </w:r>
          </w:p>
        </w:tc>
        <w:tc>
          <w:tcPr>
            <w:tcW w:w="19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4台</w:t>
            </w:r>
          </w:p>
        </w:tc>
        <w:tc>
          <w:tcPr>
            <w:tcW w:w="20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85</w:t>
            </w:r>
          </w:p>
        </w:tc>
        <w:tc>
          <w:tcPr>
            <w:tcW w:w="13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地</w:t>
            </w:r>
            <w:r>
              <w:rPr>
                <w:rFonts w:hint="eastAsia" w:ascii="Times New Roman" w:hAnsi="Times New Roman" w:eastAsia="宋体" w:cs="Times New Roman"/>
                <w:color w:val="000000"/>
                <w:kern w:val="0"/>
                <w:sz w:val="21"/>
                <w:szCs w:val="21"/>
                <w:lang w:eastAsia="zh-CN"/>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jc w:val="center"/>
        </w:trPr>
        <w:tc>
          <w:tcPr>
            <w:tcW w:w="1618"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潜水排污泵</w:t>
            </w:r>
          </w:p>
        </w:tc>
        <w:tc>
          <w:tcPr>
            <w:tcW w:w="19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1台</w:t>
            </w:r>
          </w:p>
        </w:tc>
        <w:tc>
          <w:tcPr>
            <w:tcW w:w="20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85</w:t>
            </w:r>
          </w:p>
        </w:tc>
        <w:tc>
          <w:tcPr>
            <w:tcW w:w="13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地</w:t>
            </w:r>
            <w:r>
              <w:rPr>
                <w:rFonts w:hint="eastAsia" w:ascii="Times New Roman" w:hAnsi="Times New Roman" w:eastAsia="宋体" w:cs="Times New Roman"/>
                <w:color w:val="000000"/>
                <w:kern w:val="0"/>
                <w:sz w:val="21"/>
                <w:szCs w:val="21"/>
                <w:lang w:eastAsia="zh-CN"/>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618" w:type="dxa"/>
            <w:vMerge w:val="restart"/>
            <w:tcBorders>
              <w:left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eastAsia="zh-CN"/>
              </w:rPr>
              <w:t>絮凝沉淀池</w:t>
            </w: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搅拌机</w:t>
            </w:r>
          </w:p>
        </w:tc>
        <w:tc>
          <w:tcPr>
            <w:tcW w:w="19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4台</w:t>
            </w:r>
          </w:p>
        </w:tc>
        <w:tc>
          <w:tcPr>
            <w:tcW w:w="20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80</w:t>
            </w:r>
          </w:p>
        </w:tc>
        <w:tc>
          <w:tcPr>
            <w:tcW w:w="13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水下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618" w:type="dxa"/>
            <w:vMerge w:val="continue"/>
            <w:tcBorders>
              <w:left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污泥离心泵</w:t>
            </w:r>
          </w:p>
        </w:tc>
        <w:tc>
          <w:tcPr>
            <w:tcW w:w="19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4台</w:t>
            </w:r>
          </w:p>
        </w:tc>
        <w:tc>
          <w:tcPr>
            <w:tcW w:w="20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85</w:t>
            </w:r>
          </w:p>
        </w:tc>
        <w:tc>
          <w:tcPr>
            <w:tcW w:w="13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地</w:t>
            </w:r>
            <w:r>
              <w:rPr>
                <w:rFonts w:hint="eastAsia" w:ascii="Times New Roman" w:hAnsi="Times New Roman" w:eastAsia="宋体" w:cs="Times New Roman"/>
                <w:color w:val="000000"/>
                <w:kern w:val="0"/>
                <w:sz w:val="21"/>
                <w:szCs w:val="21"/>
                <w:lang w:eastAsia="zh-CN"/>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618"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潜水排污泵</w:t>
            </w:r>
          </w:p>
        </w:tc>
        <w:tc>
          <w:tcPr>
            <w:tcW w:w="19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1台</w:t>
            </w:r>
          </w:p>
        </w:tc>
        <w:tc>
          <w:tcPr>
            <w:tcW w:w="20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85</w:t>
            </w:r>
          </w:p>
        </w:tc>
        <w:tc>
          <w:tcPr>
            <w:tcW w:w="13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地</w:t>
            </w:r>
            <w:r>
              <w:rPr>
                <w:rFonts w:hint="eastAsia" w:ascii="Times New Roman" w:hAnsi="Times New Roman" w:eastAsia="宋体" w:cs="Times New Roman"/>
                <w:color w:val="000000"/>
                <w:kern w:val="0"/>
                <w:sz w:val="21"/>
                <w:szCs w:val="21"/>
                <w:lang w:eastAsia="zh-CN"/>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jc w:val="center"/>
        </w:trPr>
        <w:tc>
          <w:tcPr>
            <w:tcW w:w="1618" w:type="dxa"/>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污泥浓缩池</w:t>
            </w: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污泥浓缩机</w:t>
            </w:r>
          </w:p>
        </w:tc>
        <w:tc>
          <w:tcPr>
            <w:tcW w:w="19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1台</w:t>
            </w:r>
          </w:p>
        </w:tc>
        <w:tc>
          <w:tcPr>
            <w:tcW w:w="20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85</w:t>
            </w:r>
          </w:p>
        </w:tc>
        <w:tc>
          <w:tcPr>
            <w:tcW w:w="13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618" w:type="dxa"/>
            <w:vMerge w:val="continue"/>
            <w:tcBorders>
              <w:left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污泥泵</w:t>
            </w:r>
          </w:p>
        </w:tc>
        <w:tc>
          <w:tcPr>
            <w:tcW w:w="19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2台</w:t>
            </w:r>
          </w:p>
        </w:tc>
        <w:tc>
          <w:tcPr>
            <w:tcW w:w="20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85</w:t>
            </w:r>
          </w:p>
        </w:tc>
        <w:tc>
          <w:tcPr>
            <w:tcW w:w="13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1618" w:type="dxa"/>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提升泵站</w:t>
            </w:r>
          </w:p>
        </w:tc>
        <w:tc>
          <w:tcPr>
            <w:tcW w:w="14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污水提升泵</w:t>
            </w:r>
          </w:p>
        </w:tc>
        <w:tc>
          <w:tcPr>
            <w:tcW w:w="196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rPr>
              <w:t>2台（一备一用）</w:t>
            </w:r>
          </w:p>
        </w:tc>
        <w:tc>
          <w:tcPr>
            <w:tcW w:w="204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85</w:t>
            </w:r>
          </w:p>
        </w:tc>
        <w:tc>
          <w:tcPr>
            <w:tcW w:w="132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地下</w:t>
            </w:r>
          </w:p>
        </w:tc>
      </w:tr>
    </w:tbl>
    <w:p>
      <w:pPr>
        <w:ind w:firstLine="482"/>
        <w:rPr>
          <w:rFonts w:hint="eastAsia"/>
          <w:b/>
          <w:bCs/>
        </w:rPr>
      </w:pPr>
      <w:r>
        <w:rPr>
          <w:rFonts w:hint="eastAsia"/>
          <w:b/>
          <w:bCs/>
        </w:rPr>
        <w:t>（2）管道铺设工程</w:t>
      </w:r>
    </w:p>
    <w:p>
      <w:pPr>
        <w:ind w:firstLine="480"/>
        <w:rPr>
          <w:kern w:val="0"/>
        </w:rPr>
      </w:pPr>
      <w:r>
        <w:rPr>
          <w:rFonts w:hint="eastAsia"/>
          <w:kern w:val="0"/>
        </w:rPr>
        <w:t>管道铺设采用地底填埋，铺设完成运营后正常情况下不会对区域声环境造成不良影响。</w:t>
      </w:r>
    </w:p>
    <w:p>
      <w:pPr>
        <w:pStyle w:val="81"/>
        <w:rPr>
          <w:rFonts w:hint="eastAsia"/>
        </w:rPr>
      </w:pPr>
      <w:r>
        <w:t>2</w:t>
      </w:r>
      <w:r>
        <w:rPr>
          <w:rFonts w:hint="eastAsia"/>
        </w:rPr>
        <w:t>.4.</w:t>
      </w:r>
      <w:r>
        <w:rPr>
          <w:rFonts w:hint="eastAsia"/>
          <w:lang w:val="en-US" w:eastAsia="zh-CN"/>
        </w:rPr>
        <w:t>3</w:t>
      </w:r>
      <w:r>
        <w:rPr>
          <w:rFonts w:hint="eastAsia"/>
        </w:rPr>
        <w:t>.4固体废物</w:t>
      </w:r>
    </w:p>
    <w:p>
      <w:pPr>
        <w:ind w:firstLine="480"/>
        <w:rPr>
          <w:rFonts w:hint="eastAsia"/>
          <w:b/>
          <w:bCs/>
          <w:color w:val="000000"/>
          <w:kern w:val="0"/>
        </w:rPr>
      </w:pPr>
      <w:r>
        <w:rPr>
          <w:rFonts w:hint="eastAsia"/>
          <w:b/>
          <w:bCs/>
          <w:color w:val="000000"/>
          <w:kern w:val="0"/>
          <w:lang w:val="en-US" w:eastAsia="zh-CN"/>
        </w:rPr>
        <w:t>（1）</w:t>
      </w:r>
      <w:r>
        <w:rPr>
          <w:rFonts w:hint="eastAsia"/>
          <w:b/>
          <w:bCs/>
          <w:color w:val="000000"/>
          <w:kern w:val="0"/>
          <w:lang w:eastAsia="zh-CN"/>
        </w:rPr>
        <w:t>格栅渣和沉砂</w:t>
      </w:r>
    </w:p>
    <w:p>
      <w:pPr>
        <w:ind w:firstLine="480"/>
        <w:rPr>
          <w:rFonts w:hint="eastAsia"/>
          <w:color w:val="000000"/>
          <w:kern w:val="0"/>
          <w:u w:val="single"/>
          <w:lang w:eastAsia="zh-CN"/>
        </w:rPr>
      </w:pPr>
      <w:r>
        <w:rPr>
          <w:rFonts w:hint="eastAsia"/>
          <w:color w:val="000000"/>
          <w:kern w:val="0"/>
          <w:u w:val="single"/>
          <w:lang w:eastAsia="zh-CN"/>
        </w:rPr>
        <w:t>项目</w:t>
      </w:r>
      <w:r>
        <w:rPr>
          <w:rFonts w:hint="eastAsia"/>
          <w:color w:val="000000"/>
          <w:kern w:val="0"/>
          <w:u w:val="single"/>
        </w:rPr>
        <w:t>建设总规模为3000m</w:t>
      </w:r>
      <w:r>
        <w:rPr>
          <w:rFonts w:hint="eastAsia"/>
          <w:color w:val="000000"/>
          <w:kern w:val="0"/>
          <w:u w:val="single"/>
          <w:vertAlign w:val="superscript"/>
        </w:rPr>
        <w:t>3</w:t>
      </w:r>
      <w:r>
        <w:rPr>
          <w:rFonts w:hint="eastAsia"/>
          <w:color w:val="000000"/>
          <w:kern w:val="0"/>
          <w:u w:val="single"/>
        </w:rPr>
        <w:t>/d</w:t>
      </w:r>
      <w:r>
        <w:rPr>
          <w:rFonts w:hint="eastAsia"/>
          <w:color w:val="000000"/>
          <w:kern w:val="0"/>
          <w:u w:val="single"/>
          <w:lang w:eastAsia="zh-CN"/>
        </w:rPr>
        <w:t>，本项目产生的固体废物包括污水预处理阶段截留的格栅渣和沉砂，处理阶段的剩余污泥，根据《污水处理厂工艺设计手册》（高俊发，王社平主编，化学工业出版社，200</w:t>
      </w:r>
      <w:r>
        <w:rPr>
          <w:rFonts w:hint="eastAsia"/>
          <w:color w:val="auto"/>
          <w:kern w:val="0"/>
          <w:u w:val="single"/>
          <w:lang w:eastAsia="zh-CN"/>
        </w:rPr>
        <w:t>3年），污水厂格栅渣产生量一般为0.05～0.1m</w:t>
      </w:r>
      <w:r>
        <w:rPr>
          <w:rFonts w:hint="eastAsia"/>
          <w:color w:val="auto"/>
          <w:kern w:val="0"/>
          <w:u w:val="single"/>
          <w:vertAlign w:val="superscript"/>
          <w:lang w:eastAsia="zh-CN"/>
        </w:rPr>
        <w:t>3</w:t>
      </w:r>
      <w:r>
        <w:rPr>
          <w:rFonts w:hint="eastAsia"/>
          <w:color w:val="auto"/>
          <w:kern w:val="0"/>
          <w:u w:val="single"/>
          <w:lang w:eastAsia="zh-CN"/>
        </w:rPr>
        <w:t>/1000m</w:t>
      </w:r>
      <w:r>
        <w:rPr>
          <w:rFonts w:hint="eastAsia"/>
          <w:color w:val="auto"/>
          <w:kern w:val="0"/>
          <w:u w:val="single"/>
          <w:vertAlign w:val="superscript"/>
          <w:lang w:eastAsia="zh-CN"/>
        </w:rPr>
        <w:t>3</w:t>
      </w:r>
      <w:r>
        <w:rPr>
          <w:rFonts w:hint="eastAsia"/>
          <w:color w:val="auto"/>
          <w:kern w:val="0"/>
          <w:u w:val="single"/>
          <w:lang w:eastAsia="zh-CN"/>
        </w:rPr>
        <w:t>·d，含水率50%时容重约为90kg/m</w:t>
      </w:r>
      <w:r>
        <w:rPr>
          <w:rFonts w:hint="eastAsia"/>
          <w:color w:val="auto"/>
          <w:kern w:val="0"/>
          <w:u w:val="single"/>
          <w:vertAlign w:val="superscript"/>
          <w:lang w:eastAsia="zh-CN"/>
        </w:rPr>
        <w:t>3</w:t>
      </w:r>
      <w:r>
        <w:rPr>
          <w:rFonts w:hint="eastAsia"/>
          <w:color w:val="auto"/>
          <w:kern w:val="0"/>
          <w:u w:val="single"/>
          <w:lang w:eastAsia="zh-CN"/>
        </w:rPr>
        <w:t>，沉砂量约0.3m</w:t>
      </w:r>
      <w:r>
        <w:rPr>
          <w:rFonts w:hint="eastAsia"/>
          <w:color w:val="auto"/>
          <w:kern w:val="0"/>
          <w:u w:val="single"/>
          <w:vertAlign w:val="superscript"/>
          <w:lang w:eastAsia="zh-CN"/>
        </w:rPr>
        <w:t>3</w:t>
      </w:r>
      <w:r>
        <w:rPr>
          <w:rFonts w:hint="eastAsia"/>
          <w:color w:val="auto"/>
          <w:kern w:val="0"/>
          <w:u w:val="single"/>
          <w:lang w:eastAsia="zh-CN"/>
        </w:rPr>
        <w:t>/1000m</w:t>
      </w:r>
      <w:r>
        <w:rPr>
          <w:rFonts w:hint="eastAsia"/>
          <w:color w:val="auto"/>
          <w:kern w:val="0"/>
          <w:u w:val="single"/>
          <w:vertAlign w:val="superscript"/>
          <w:lang w:eastAsia="zh-CN"/>
        </w:rPr>
        <w:t>3</w:t>
      </w:r>
      <w:r>
        <w:rPr>
          <w:rFonts w:hint="eastAsia"/>
          <w:color w:val="auto"/>
          <w:kern w:val="0"/>
          <w:u w:val="single"/>
          <w:lang w:eastAsia="zh-CN"/>
        </w:rPr>
        <w:t>·d，含水率50%时容重约为120kg/m</w:t>
      </w:r>
      <w:r>
        <w:rPr>
          <w:rFonts w:hint="eastAsia"/>
          <w:color w:val="auto"/>
          <w:kern w:val="0"/>
          <w:u w:val="single"/>
          <w:vertAlign w:val="superscript"/>
          <w:lang w:eastAsia="zh-CN"/>
        </w:rPr>
        <w:t>3</w:t>
      </w:r>
      <w:r>
        <w:rPr>
          <w:rFonts w:hint="eastAsia"/>
          <w:color w:val="auto"/>
          <w:kern w:val="0"/>
          <w:u w:val="single"/>
          <w:lang w:eastAsia="zh-CN"/>
        </w:rPr>
        <w:t>，则预计格栅渣（</w:t>
      </w:r>
      <w:r>
        <w:rPr>
          <w:rFonts w:hint="eastAsia"/>
          <w:color w:val="auto"/>
          <w:kern w:val="0"/>
          <w:u w:val="single"/>
          <w:lang w:val="en-US" w:eastAsia="zh-CN"/>
        </w:rPr>
        <w:t>含水量</w:t>
      </w:r>
      <w:r>
        <w:rPr>
          <w:rFonts w:hint="eastAsia"/>
          <w:color w:val="auto"/>
          <w:kern w:val="0"/>
          <w:u w:val="single"/>
          <w:lang w:eastAsia="zh-CN"/>
        </w:rPr>
        <w:t>50%）产生量为0.045t/d（</w:t>
      </w:r>
      <w:r>
        <w:rPr>
          <w:rFonts w:hint="eastAsia"/>
          <w:color w:val="auto"/>
          <w:kern w:val="0"/>
          <w:u w:val="single"/>
          <w:lang w:val="en-US" w:eastAsia="zh-CN"/>
        </w:rPr>
        <w:t>16.425t/a</w:t>
      </w:r>
      <w:r>
        <w:rPr>
          <w:rFonts w:hint="eastAsia"/>
          <w:color w:val="auto"/>
          <w:kern w:val="0"/>
          <w:u w:val="single"/>
          <w:lang w:eastAsia="zh-CN"/>
        </w:rPr>
        <w:t>）和沉淀池沉砂（含水率50%）产生量为0.018t/d（</w:t>
      </w:r>
      <w:r>
        <w:rPr>
          <w:rFonts w:hint="eastAsia"/>
          <w:color w:val="auto"/>
          <w:kern w:val="0"/>
          <w:u w:val="single"/>
          <w:lang w:val="en-US" w:eastAsia="zh-CN"/>
        </w:rPr>
        <w:t>6.57t/a</w:t>
      </w:r>
      <w:r>
        <w:rPr>
          <w:rFonts w:hint="eastAsia"/>
          <w:color w:val="auto"/>
          <w:kern w:val="0"/>
          <w:u w:val="single"/>
          <w:lang w:eastAsia="zh-CN"/>
        </w:rPr>
        <w:t>）。由于本项目</w:t>
      </w:r>
      <w:r>
        <w:rPr>
          <w:rFonts w:hint="eastAsia"/>
          <w:color w:val="000000"/>
          <w:kern w:val="0"/>
          <w:u w:val="single"/>
          <w:lang w:eastAsia="zh-CN"/>
        </w:rPr>
        <w:t>涉及多种重金属，项目产生的格栅渣、沉沙可能具有危险特性，应按《国家危险废物名录》、国家环境保护标准《危险废物鉴别技术规范》（HJ/T298-2007）和危险废物鉴别标准的规定，对该类进行危险特性鉴别。如为危险废物，运营单位应按照危险废物要求进行管理，并委托具有相应资质单位进行安全处置；如鉴别属于一般固废，运至吉首市垃圾焚烧厂进行焚烧。</w:t>
      </w:r>
    </w:p>
    <w:p>
      <w:pPr>
        <w:ind w:firstLine="480"/>
        <w:rPr>
          <w:rFonts w:hint="eastAsia"/>
          <w:b/>
          <w:bCs/>
          <w:color w:val="000000"/>
          <w:kern w:val="0"/>
        </w:rPr>
      </w:pPr>
      <w:r>
        <w:rPr>
          <w:rFonts w:hint="eastAsia"/>
          <w:b/>
          <w:bCs/>
          <w:color w:val="000000"/>
          <w:kern w:val="0"/>
          <w:lang w:val="en-US" w:eastAsia="zh-CN"/>
        </w:rPr>
        <w:t>（2）</w:t>
      </w:r>
      <w:r>
        <w:rPr>
          <w:b/>
          <w:bCs/>
          <w:color w:val="000000"/>
          <w:kern w:val="0"/>
        </w:rPr>
        <w:t>工艺污泥</w:t>
      </w:r>
    </w:p>
    <w:p>
      <w:pPr>
        <w:ind w:firstLine="480"/>
        <w:rPr>
          <w:rFonts w:hint="eastAsia"/>
          <w:color w:val="000000"/>
          <w:kern w:val="0"/>
          <w:lang w:eastAsia="zh-CN"/>
        </w:rPr>
      </w:pPr>
      <w:r>
        <w:rPr>
          <w:rFonts w:hint="eastAsia"/>
          <w:color w:val="000000"/>
          <w:kern w:val="0"/>
          <w:lang w:eastAsia="zh-CN"/>
        </w:rPr>
        <w:t>储存在储泥池的剩余污泥通过污泥泵提升至污泥浓缩脱水一体机进行污泥浓缩脱水，污泥浓缩脱水过程中需投加高分子有机絮凝剂PAM。类比同类型污水处理厂污泥产生量：污泥每天产生量（含水率80%）约为3.57t/10</w:t>
      </w:r>
      <w:r>
        <w:rPr>
          <w:rFonts w:hint="eastAsia"/>
          <w:color w:val="000000"/>
          <w:kern w:val="0"/>
          <w:vertAlign w:val="superscript"/>
          <w:lang w:eastAsia="zh-CN"/>
        </w:rPr>
        <w:t>4</w:t>
      </w:r>
      <w:r>
        <w:rPr>
          <w:rFonts w:hint="eastAsia"/>
          <w:color w:val="000000"/>
          <w:kern w:val="0"/>
          <w:lang w:eastAsia="zh-CN"/>
        </w:rPr>
        <w:t>m</w:t>
      </w:r>
      <w:r>
        <w:rPr>
          <w:rFonts w:hint="eastAsia"/>
          <w:color w:val="000000"/>
          <w:kern w:val="0"/>
          <w:vertAlign w:val="superscript"/>
          <w:lang w:eastAsia="zh-CN"/>
        </w:rPr>
        <w:t>3</w:t>
      </w:r>
      <w:r>
        <w:rPr>
          <w:rFonts w:hint="eastAsia"/>
          <w:color w:val="000000"/>
          <w:kern w:val="0"/>
          <w:lang w:eastAsia="zh-CN"/>
        </w:rPr>
        <w:t xml:space="preserve"> 污水。项目污水规模为</w:t>
      </w:r>
      <w:r>
        <w:rPr>
          <w:rFonts w:hint="eastAsia"/>
          <w:color w:val="000000"/>
          <w:kern w:val="0"/>
          <w:lang w:val="en-US" w:eastAsia="zh-CN"/>
        </w:rPr>
        <w:t>3</w:t>
      </w:r>
      <w:r>
        <w:rPr>
          <w:rFonts w:hint="eastAsia"/>
          <w:color w:val="000000"/>
          <w:kern w:val="0"/>
          <w:lang w:eastAsia="zh-CN"/>
        </w:rPr>
        <w:t>000m</w:t>
      </w:r>
      <w:r>
        <w:rPr>
          <w:rFonts w:hint="eastAsia"/>
          <w:color w:val="000000"/>
          <w:kern w:val="0"/>
          <w:vertAlign w:val="superscript"/>
          <w:lang w:eastAsia="zh-CN"/>
        </w:rPr>
        <w:t>3</w:t>
      </w:r>
      <w:r>
        <w:rPr>
          <w:rFonts w:hint="eastAsia"/>
          <w:color w:val="000000"/>
          <w:kern w:val="0"/>
          <w:lang w:eastAsia="zh-CN"/>
        </w:rPr>
        <w:t>/d，则本项目污泥（干化后含水率80%）产生量为</w:t>
      </w:r>
      <w:r>
        <w:rPr>
          <w:rFonts w:hint="eastAsia"/>
          <w:color w:val="000000"/>
          <w:kern w:val="0"/>
          <w:lang w:val="en-US" w:eastAsia="zh-CN"/>
        </w:rPr>
        <w:t>1.071</w:t>
      </w:r>
      <w:r>
        <w:rPr>
          <w:rFonts w:hint="eastAsia"/>
          <w:color w:val="000000"/>
          <w:kern w:val="0"/>
          <w:lang w:eastAsia="zh-CN"/>
        </w:rPr>
        <w:t>t/d（</w:t>
      </w:r>
      <w:r>
        <w:rPr>
          <w:rFonts w:hint="eastAsia"/>
          <w:color w:val="000000"/>
          <w:kern w:val="0"/>
          <w:lang w:val="en-US" w:eastAsia="zh-CN"/>
        </w:rPr>
        <w:t>390.915t/a</w:t>
      </w:r>
      <w:r>
        <w:rPr>
          <w:rFonts w:hint="eastAsia"/>
          <w:color w:val="000000"/>
          <w:kern w:val="0"/>
          <w:lang w:eastAsia="zh-CN"/>
        </w:rPr>
        <w:t>）。</w:t>
      </w:r>
    </w:p>
    <w:p>
      <w:pPr>
        <w:ind w:firstLine="480"/>
        <w:rPr>
          <w:rFonts w:hint="eastAsia" w:eastAsia="宋体"/>
          <w:color w:val="000000"/>
          <w:kern w:val="0"/>
          <w:lang w:eastAsia="zh-CN"/>
        </w:rPr>
      </w:pPr>
      <w:r>
        <w:rPr>
          <w:rFonts w:hint="eastAsia"/>
          <w:color w:val="000000"/>
          <w:kern w:val="0"/>
          <w:lang w:eastAsia="zh-CN"/>
        </w:rPr>
        <w:t>本环评污泥采用板框压滤机进行脱水（污泥达到含水率80%），干化后的污泥量约为1.</w:t>
      </w:r>
      <w:r>
        <w:rPr>
          <w:rFonts w:hint="eastAsia"/>
          <w:color w:val="000000"/>
          <w:kern w:val="0"/>
          <w:lang w:val="en-US" w:eastAsia="zh-CN"/>
        </w:rPr>
        <w:t>071</w:t>
      </w:r>
      <w:r>
        <w:rPr>
          <w:rFonts w:hint="eastAsia"/>
          <w:color w:val="000000"/>
          <w:kern w:val="0"/>
          <w:lang w:eastAsia="zh-CN"/>
        </w:rPr>
        <w:t>t/d（含水率80%）</w:t>
      </w:r>
      <w:r>
        <w:rPr>
          <w:rFonts w:hint="eastAsia"/>
          <w:color w:val="000000"/>
        </w:rPr>
        <w:t>。</w:t>
      </w:r>
      <w:r>
        <w:rPr>
          <w:rFonts w:hint="eastAsia"/>
          <w:color w:val="000000"/>
          <w:lang w:eastAsia="zh-CN"/>
        </w:rPr>
        <w:t>根据《国家危险废物名录》（2021年版），本项目属于危废类类别HW23含锌废物中使用氢氧化钠、锌粉进行贵金属沉淀过程中产生的废液和废水处理污泥，属于危险固废，危废代码为900-021-23。</w:t>
      </w:r>
    </w:p>
    <w:p>
      <w:pPr>
        <w:ind w:firstLine="480"/>
        <w:rPr>
          <w:rFonts w:hint="eastAsia"/>
          <w:color w:val="000000"/>
        </w:rPr>
      </w:pPr>
      <w:r>
        <w:rPr>
          <w:rFonts w:hint="eastAsia"/>
          <w:color w:val="000000"/>
        </w:rPr>
        <w:t>运营单位应按照危险废物要求进行管理，并委托具有相应资质单位进行安全处置。</w:t>
      </w:r>
    </w:p>
    <w:p>
      <w:pPr>
        <w:pStyle w:val="16"/>
        <w:wordWrap w:val="0"/>
        <w:ind w:left="0" w:firstLine="482" w:firstLineChars="200"/>
        <w:rPr>
          <w:rFonts w:hint="eastAsia" w:ascii="Times New Roman" w:hAnsi="Times New Roman" w:cs="Times New Roman"/>
          <w:b/>
          <w:bCs/>
          <w:color w:val="000000"/>
          <w:lang w:eastAsia="zh-CN"/>
        </w:rPr>
      </w:pPr>
      <w:r>
        <w:rPr>
          <w:rFonts w:hint="eastAsia" w:ascii="Times New Roman" w:hAnsi="Times New Roman" w:cs="Times New Roman"/>
          <w:b/>
          <w:bCs/>
          <w:color w:val="000000"/>
          <w:lang w:val="en-US" w:eastAsia="zh-CN"/>
        </w:rPr>
        <w:t>（3）</w:t>
      </w:r>
      <w:r>
        <w:rPr>
          <w:rFonts w:hint="eastAsia" w:ascii="Times New Roman" w:hAnsi="Times New Roman" w:cs="Times New Roman"/>
          <w:b/>
          <w:bCs/>
          <w:color w:val="000000"/>
          <w:lang w:eastAsia="zh-CN"/>
        </w:rPr>
        <w:t>员工生活固废</w:t>
      </w:r>
    </w:p>
    <w:p>
      <w:pPr>
        <w:pStyle w:val="16"/>
        <w:wordWrap w:val="0"/>
        <w:ind w:left="0" w:firstLine="480" w:firstLineChars="200"/>
        <w:rPr>
          <w:rFonts w:hint="eastAsia" w:ascii="Times New Roman" w:hAnsi="Times New Roman" w:cs="Times New Roman"/>
          <w:color w:val="000000"/>
          <w:lang w:eastAsia="zh-CN"/>
        </w:rPr>
      </w:pPr>
      <w:r>
        <w:rPr>
          <w:rFonts w:hint="eastAsia" w:ascii="Times New Roman" w:hAnsi="Times New Roman" w:cs="Times New Roman"/>
          <w:color w:val="000000"/>
          <w:lang w:eastAsia="zh-CN"/>
        </w:rPr>
        <w:t>本项目运营期劳动定员为</w:t>
      </w:r>
      <w:r>
        <w:rPr>
          <w:rFonts w:hint="eastAsia" w:ascii="Times New Roman" w:hAnsi="Times New Roman" w:cs="Times New Roman"/>
          <w:color w:val="000000"/>
          <w:lang w:val="en-US" w:eastAsia="zh-CN"/>
        </w:rPr>
        <w:t>4</w:t>
      </w:r>
      <w:r>
        <w:rPr>
          <w:rFonts w:hint="eastAsia" w:ascii="Times New Roman" w:hAnsi="Times New Roman" w:cs="Times New Roman"/>
          <w:color w:val="000000"/>
          <w:lang w:eastAsia="zh-CN"/>
        </w:rPr>
        <w:t>人，生活垃圾产生量按每人每天0.38kg计，则生活垃圾产生量为</w:t>
      </w:r>
      <w:r>
        <w:rPr>
          <w:rFonts w:hint="eastAsia" w:ascii="Times New Roman" w:hAnsi="Times New Roman" w:cs="Times New Roman"/>
          <w:color w:val="000000"/>
          <w:lang w:val="en-US" w:eastAsia="zh-CN"/>
        </w:rPr>
        <w:t>1.52</w:t>
      </w:r>
      <w:r>
        <w:rPr>
          <w:rFonts w:hint="eastAsia" w:ascii="Times New Roman" w:hAnsi="Times New Roman" w:cs="Times New Roman"/>
          <w:color w:val="000000"/>
          <w:lang w:eastAsia="zh-CN"/>
        </w:rPr>
        <w:t>kg/d（</w:t>
      </w:r>
      <w:r>
        <w:rPr>
          <w:rFonts w:hint="eastAsia" w:ascii="Times New Roman" w:hAnsi="Times New Roman" w:cs="Times New Roman"/>
          <w:color w:val="000000"/>
          <w:lang w:val="en-US" w:eastAsia="zh-CN"/>
        </w:rPr>
        <w:t>554.8t/a</w:t>
      </w:r>
      <w:r>
        <w:rPr>
          <w:rFonts w:hint="eastAsia" w:ascii="Times New Roman" w:hAnsi="Times New Roman" w:cs="Times New Roman"/>
          <w:color w:val="000000"/>
          <w:lang w:eastAsia="zh-CN"/>
        </w:rPr>
        <w:t>）。员工生活固废属于一般固废，统一由环卫部门统一处理</w:t>
      </w:r>
    </w:p>
    <w:p>
      <w:pPr>
        <w:pStyle w:val="101"/>
        <w:ind w:firstLine="480"/>
        <w:rPr>
          <w:color w:val="000000"/>
          <w:lang w:val="en-US" w:eastAsia="zh-CN"/>
        </w:rPr>
      </w:pPr>
      <w:r>
        <w:rPr>
          <w:color w:val="000000"/>
          <w:lang w:val="en-US" w:eastAsia="zh-CN"/>
        </w:rPr>
        <w:t>根据《固体废物鉴别标准通则》（GB34330-2017）等规定，对各</w:t>
      </w:r>
      <w:r>
        <w:rPr>
          <w:rFonts w:hint="eastAsia"/>
          <w:color w:val="000000"/>
          <w:lang w:val="en-US" w:eastAsia="zh-CN"/>
        </w:rPr>
        <w:t>固废</w:t>
      </w:r>
      <w:r>
        <w:rPr>
          <w:color w:val="000000"/>
          <w:lang w:val="en-US" w:eastAsia="zh-CN"/>
        </w:rPr>
        <w:t>进行</w:t>
      </w:r>
      <w:r>
        <w:rPr>
          <w:rFonts w:hint="eastAsia"/>
          <w:color w:val="000000"/>
          <w:lang w:val="en-US" w:eastAsia="zh-CN"/>
        </w:rPr>
        <w:t>属性</w:t>
      </w:r>
      <w:r>
        <w:rPr>
          <w:color w:val="000000"/>
          <w:lang w:val="en-US" w:eastAsia="zh-CN"/>
        </w:rPr>
        <w:t>判定，结果见</w:t>
      </w:r>
      <w:r>
        <w:rPr>
          <w:rFonts w:hint="eastAsia"/>
          <w:color w:val="000000"/>
          <w:lang w:val="en-US" w:eastAsia="zh-CN"/>
        </w:rPr>
        <w:t>下</w:t>
      </w:r>
      <w:r>
        <w:rPr>
          <w:color w:val="000000"/>
          <w:lang w:val="en-US" w:eastAsia="zh-CN"/>
        </w:rPr>
        <w:t>表。</w:t>
      </w:r>
    </w:p>
    <w:p>
      <w:pPr>
        <w:pStyle w:val="101"/>
        <w:spacing w:line="240" w:lineRule="auto"/>
        <w:ind w:firstLine="482"/>
        <w:jc w:val="center"/>
        <w:rPr>
          <w:rFonts w:hint="default" w:ascii="Times New Roman" w:hAnsi="Times New Roman" w:cs="Times New Roman"/>
          <w:b/>
          <w:bCs/>
          <w:color w:val="000000"/>
          <w:sz w:val="21"/>
          <w:szCs w:val="21"/>
          <w:lang w:val="en-US" w:eastAsia="zh-CN"/>
        </w:rPr>
      </w:pPr>
      <w:r>
        <w:rPr>
          <w:rFonts w:hint="default" w:ascii="Times New Roman" w:hAnsi="Times New Roman" w:cs="Times New Roman"/>
          <w:b/>
          <w:bCs/>
          <w:color w:val="000000"/>
          <w:sz w:val="21"/>
          <w:szCs w:val="21"/>
        </w:rPr>
        <w:t>表</w:t>
      </w:r>
      <w:r>
        <w:rPr>
          <w:rFonts w:hint="default" w:ascii="Times New Roman" w:hAnsi="Times New Roman" w:cs="Times New Roman"/>
          <w:b/>
          <w:bCs/>
          <w:color w:val="000000"/>
          <w:sz w:val="21"/>
          <w:szCs w:val="21"/>
          <w:lang w:val="en-US" w:eastAsia="zh-CN"/>
        </w:rPr>
        <w:t>2.4</w:t>
      </w:r>
      <w:r>
        <w:rPr>
          <w:rFonts w:hint="default" w:ascii="Times New Roman" w:hAnsi="Times New Roman" w:cs="Times New Roman"/>
          <w:b/>
          <w:bCs/>
          <w:color w:val="000000"/>
          <w:sz w:val="21"/>
          <w:szCs w:val="21"/>
        </w:rPr>
        <w:t>-</w:t>
      </w:r>
      <w:r>
        <w:rPr>
          <w:rFonts w:hint="eastAsia" w:cs="Times New Roman"/>
          <w:b/>
          <w:bCs/>
          <w:color w:val="000000"/>
          <w:sz w:val="21"/>
          <w:szCs w:val="21"/>
          <w:lang w:val="en-US" w:eastAsia="zh-CN"/>
        </w:rPr>
        <w:t>3</w:t>
      </w:r>
      <w:r>
        <w:rPr>
          <w:rFonts w:hint="default" w:ascii="Times New Roman" w:hAnsi="Times New Roman" w:cs="Times New Roman"/>
          <w:b/>
          <w:bCs/>
          <w:color w:val="000000"/>
          <w:sz w:val="21"/>
          <w:szCs w:val="21"/>
          <w:lang w:val="en-US" w:eastAsia="zh-CN"/>
        </w:rPr>
        <w:t xml:space="preserve">   固体废物属性判断表</w:t>
      </w:r>
    </w:p>
    <w:tbl>
      <w:tblPr>
        <w:tblStyle w:val="37"/>
        <w:tblW w:w="493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358"/>
        <w:gridCol w:w="1958"/>
        <w:gridCol w:w="1368"/>
        <w:gridCol w:w="1638"/>
        <w:gridCol w:w="12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62"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序号</w:t>
            </w:r>
          </w:p>
        </w:tc>
        <w:tc>
          <w:tcPr>
            <w:tcW w:w="812"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固废名称</w:t>
            </w:r>
          </w:p>
        </w:tc>
        <w:tc>
          <w:tcPr>
            <w:tcW w:w="1171"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生产工序</w:t>
            </w:r>
          </w:p>
        </w:tc>
        <w:tc>
          <w:tcPr>
            <w:tcW w:w="818"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主要成分</w:t>
            </w:r>
          </w:p>
        </w:tc>
        <w:tc>
          <w:tcPr>
            <w:tcW w:w="980"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产生量（t/a）</w:t>
            </w:r>
          </w:p>
        </w:tc>
        <w:tc>
          <w:tcPr>
            <w:tcW w:w="754"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种类判断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62"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1</w:t>
            </w:r>
          </w:p>
        </w:tc>
        <w:tc>
          <w:tcPr>
            <w:tcW w:w="812"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隔栅和沉砂</w:t>
            </w:r>
          </w:p>
        </w:tc>
        <w:tc>
          <w:tcPr>
            <w:tcW w:w="1171"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粗细格栅的栅渣、沉砂池的沉砂</w:t>
            </w:r>
          </w:p>
        </w:tc>
        <w:tc>
          <w:tcPr>
            <w:tcW w:w="818"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渣、砂</w:t>
            </w:r>
          </w:p>
        </w:tc>
        <w:tc>
          <w:tcPr>
            <w:tcW w:w="980" w:type="pct"/>
            <w:tcBorders>
              <w:tl2br w:val="nil"/>
              <w:tr2bl w:val="nil"/>
            </w:tcBorders>
            <w:noWrap w:val="0"/>
            <w:vAlign w:val="center"/>
          </w:tcPr>
          <w:p>
            <w:pPr>
              <w:pStyle w:val="101"/>
              <w:spacing w:line="240" w:lineRule="exact"/>
              <w:ind w:firstLine="0" w:firstLineChars="0"/>
              <w:jc w:val="center"/>
              <w:rPr>
                <w:rFonts w:hint="default" w:cs="Times New Roman"/>
                <w:color w:val="000000"/>
                <w:kern w:val="2"/>
                <w:sz w:val="21"/>
                <w:szCs w:val="21"/>
                <w:lang w:val="en-US" w:eastAsia="zh-CN"/>
              </w:rPr>
            </w:pPr>
            <w:r>
              <w:rPr>
                <w:rFonts w:hint="eastAsia" w:cs="Times New Roman"/>
                <w:color w:val="000000"/>
                <w:kern w:val="2"/>
                <w:sz w:val="21"/>
                <w:szCs w:val="21"/>
                <w:lang w:val="en-US" w:eastAsia="zh-CN"/>
              </w:rPr>
              <w:t>22.995</w:t>
            </w:r>
          </w:p>
        </w:tc>
        <w:tc>
          <w:tcPr>
            <w:tcW w:w="754"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hint="eastAsia" w:cs="Times New Roman"/>
                <w:color w:val="000000"/>
                <w:kern w:val="2"/>
                <w:sz w:val="21"/>
                <w:szCs w:val="21"/>
                <w:lang w:val="en-US" w:eastAsia="zh-CN"/>
              </w:rPr>
              <w:t>需鉴别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62"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2</w:t>
            </w:r>
          </w:p>
        </w:tc>
        <w:tc>
          <w:tcPr>
            <w:tcW w:w="812"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污泥</w:t>
            </w:r>
          </w:p>
        </w:tc>
        <w:tc>
          <w:tcPr>
            <w:tcW w:w="1171"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污泥脱水机房</w:t>
            </w:r>
          </w:p>
        </w:tc>
        <w:tc>
          <w:tcPr>
            <w:tcW w:w="818"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水、污泥</w:t>
            </w:r>
            <w:r>
              <w:rPr>
                <w:rFonts w:hint="eastAsia" w:cs="Times New Roman"/>
                <w:color w:val="000000"/>
                <w:kern w:val="2"/>
                <w:sz w:val="21"/>
                <w:szCs w:val="21"/>
                <w:lang w:val="en-US" w:eastAsia="zh-CN"/>
              </w:rPr>
              <w:t>、重金属</w:t>
            </w:r>
          </w:p>
        </w:tc>
        <w:tc>
          <w:tcPr>
            <w:tcW w:w="980" w:type="pct"/>
            <w:tcBorders>
              <w:tl2br w:val="nil"/>
              <w:tr2bl w:val="nil"/>
            </w:tcBorders>
            <w:noWrap w:val="0"/>
            <w:vAlign w:val="center"/>
          </w:tcPr>
          <w:p>
            <w:pPr>
              <w:pStyle w:val="101"/>
              <w:spacing w:line="240" w:lineRule="exact"/>
              <w:ind w:firstLine="0" w:firstLineChars="0"/>
              <w:jc w:val="center"/>
              <w:rPr>
                <w:rFonts w:hint="default" w:cs="Times New Roman"/>
                <w:color w:val="000000"/>
                <w:kern w:val="2"/>
                <w:sz w:val="21"/>
                <w:szCs w:val="21"/>
                <w:lang w:val="en-US" w:eastAsia="zh-CN"/>
              </w:rPr>
            </w:pPr>
            <w:r>
              <w:rPr>
                <w:rFonts w:hint="eastAsia" w:cs="Times New Roman"/>
                <w:color w:val="000000"/>
                <w:kern w:val="2"/>
                <w:sz w:val="21"/>
                <w:szCs w:val="21"/>
                <w:lang w:val="en-US" w:eastAsia="zh-CN"/>
              </w:rPr>
              <w:t>390.915</w:t>
            </w:r>
          </w:p>
        </w:tc>
        <w:tc>
          <w:tcPr>
            <w:tcW w:w="754"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hint="eastAsia" w:cs="Times New Roman"/>
                <w:color w:val="000000"/>
                <w:kern w:val="2"/>
                <w:sz w:val="21"/>
                <w:szCs w:val="21"/>
                <w:lang w:val="en-US" w:eastAsia="zh-CN"/>
              </w:rPr>
              <w:t>危废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7" w:hRule="atLeast"/>
          <w:jc w:val="center"/>
        </w:trPr>
        <w:tc>
          <w:tcPr>
            <w:tcW w:w="462"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3</w:t>
            </w:r>
          </w:p>
        </w:tc>
        <w:tc>
          <w:tcPr>
            <w:tcW w:w="812"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生活垃圾</w:t>
            </w:r>
          </w:p>
        </w:tc>
        <w:tc>
          <w:tcPr>
            <w:tcW w:w="1171"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厂区</w:t>
            </w:r>
          </w:p>
        </w:tc>
        <w:tc>
          <w:tcPr>
            <w:tcW w:w="818"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日常生活残余物</w:t>
            </w:r>
          </w:p>
        </w:tc>
        <w:tc>
          <w:tcPr>
            <w:tcW w:w="980"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cs="Times New Roman"/>
                <w:color w:val="000000"/>
                <w:kern w:val="2"/>
                <w:sz w:val="21"/>
                <w:szCs w:val="21"/>
                <w:lang w:val="en-US" w:eastAsia="zh-CN"/>
              </w:rPr>
              <w:t>5.11</w:t>
            </w:r>
          </w:p>
        </w:tc>
        <w:tc>
          <w:tcPr>
            <w:tcW w:w="754" w:type="pct"/>
            <w:tcBorders>
              <w:tl2br w:val="nil"/>
              <w:tr2bl w:val="nil"/>
            </w:tcBorders>
            <w:noWrap w:val="0"/>
            <w:vAlign w:val="center"/>
          </w:tcPr>
          <w:p>
            <w:pPr>
              <w:pStyle w:val="101"/>
              <w:spacing w:line="240" w:lineRule="exact"/>
              <w:ind w:firstLine="0" w:firstLineChars="0"/>
              <w:jc w:val="center"/>
              <w:rPr>
                <w:rFonts w:cs="Times New Roman"/>
                <w:color w:val="000000"/>
                <w:kern w:val="2"/>
                <w:sz w:val="21"/>
                <w:szCs w:val="21"/>
                <w:lang w:val="en-US" w:eastAsia="zh-CN"/>
              </w:rPr>
            </w:pPr>
            <w:r>
              <w:rPr>
                <w:rFonts w:hint="eastAsia" w:cs="Times New Roman"/>
                <w:color w:val="000000"/>
                <w:kern w:val="2"/>
                <w:sz w:val="21"/>
                <w:szCs w:val="21"/>
                <w:lang w:val="en-US" w:eastAsia="zh-CN"/>
              </w:rPr>
              <w:t>一般固废</w:t>
            </w:r>
          </w:p>
        </w:tc>
      </w:tr>
    </w:tbl>
    <w:p>
      <w:pPr>
        <w:pStyle w:val="16"/>
        <w:ind w:left="0"/>
        <w:rPr>
          <w:rFonts w:hint="eastAsia" w:ascii="Times New Roman" w:hAnsi="Times New Roman" w:cs="Times New Roman"/>
          <w:color w:val="000000"/>
          <w:lang w:eastAsia="zh-CN"/>
        </w:rPr>
      </w:pPr>
    </w:p>
    <w:p>
      <w:pPr>
        <w:pStyle w:val="43"/>
        <w:rPr>
          <w:rFonts w:hint="eastAsia"/>
          <w:lang w:eastAsia="zh-CN"/>
        </w:rPr>
        <w:sectPr>
          <w:footerReference r:id="rId15" w:type="default"/>
          <w:pgSz w:w="11850" w:h="16790"/>
          <w:pgMar w:top="1440" w:right="1800" w:bottom="1440" w:left="1800" w:header="720" w:footer="227" w:gutter="0"/>
          <w:pgBorders>
            <w:top w:val="none" w:sz="0" w:space="0"/>
            <w:left w:val="none" w:sz="0" w:space="0"/>
            <w:bottom w:val="none" w:sz="0" w:space="0"/>
            <w:right w:val="none" w:sz="0" w:space="0"/>
          </w:pgBorders>
          <w:pgNumType w:fmt="decimal"/>
          <w:cols w:space="720" w:num="1"/>
          <w:docGrid w:linePitch="326" w:charSpace="0"/>
        </w:sectPr>
      </w:pPr>
    </w:p>
    <w:p>
      <w:pPr>
        <w:pStyle w:val="7"/>
        <w:ind w:firstLine="643"/>
        <w:rPr>
          <w:rFonts w:hint="eastAsia"/>
          <w:color w:val="000000"/>
          <w:kern w:val="0"/>
        </w:rPr>
      </w:pPr>
      <w:bookmarkStart w:id="217" w:name="_Toc489350169"/>
      <w:bookmarkStart w:id="218" w:name="_Toc489350005"/>
      <w:bookmarkStart w:id="219" w:name="_Toc489349350"/>
      <w:bookmarkStart w:id="220" w:name="_Toc29308661"/>
      <w:bookmarkStart w:id="221" w:name="_Toc8457"/>
      <w:r>
        <w:rPr>
          <w:rFonts w:hint="eastAsia"/>
          <w:color w:val="000000"/>
          <w:kern w:val="0"/>
        </w:rPr>
        <w:t>第</w:t>
      </w:r>
      <w:r>
        <w:rPr>
          <w:color w:val="000000"/>
          <w:kern w:val="0"/>
        </w:rPr>
        <w:t>3</w:t>
      </w:r>
      <w:r>
        <w:rPr>
          <w:rFonts w:hint="eastAsia"/>
          <w:color w:val="000000"/>
          <w:kern w:val="0"/>
        </w:rPr>
        <w:t xml:space="preserve">章  </w:t>
      </w:r>
      <w:bookmarkEnd w:id="217"/>
      <w:bookmarkEnd w:id="218"/>
      <w:bookmarkEnd w:id="219"/>
      <w:r>
        <w:rPr>
          <w:rFonts w:hint="eastAsia"/>
          <w:color w:val="000000"/>
          <w:kern w:val="0"/>
        </w:rPr>
        <w:t>环境现状调查与评价</w:t>
      </w:r>
      <w:bookmarkEnd w:id="220"/>
      <w:bookmarkEnd w:id="221"/>
    </w:p>
    <w:p>
      <w:pPr>
        <w:pStyle w:val="86"/>
        <w:spacing w:before="156" w:after="156"/>
        <w:rPr>
          <w:rFonts w:hint="eastAsia"/>
          <w:color w:val="000000"/>
          <w:kern w:val="0"/>
        </w:rPr>
      </w:pPr>
      <w:bookmarkStart w:id="222" w:name="_Toc489350183"/>
      <w:bookmarkStart w:id="223" w:name="_Toc489349364"/>
      <w:bookmarkStart w:id="224" w:name="_Toc7766"/>
      <w:bookmarkStart w:id="225" w:name="_Toc29308662"/>
      <w:r>
        <w:rPr>
          <w:color w:val="000000"/>
          <w:kern w:val="0"/>
        </w:rPr>
        <w:t>3</w:t>
      </w:r>
      <w:r>
        <w:rPr>
          <w:rFonts w:hint="eastAsia"/>
          <w:color w:val="000000"/>
          <w:kern w:val="0"/>
        </w:rPr>
        <w:t xml:space="preserve">.1 </w:t>
      </w:r>
      <w:bookmarkEnd w:id="222"/>
      <w:bookmarkEnd w:id="223"/>
      <w:r>
        <w:rPr>
          <w:color w:val="000000"/>
        </w:rPr>
        <w:t>自然环境</w:t>
      </w:r>
      <w:r>
        <w:rPr>
          <w:rFonts w:hint="eastAsia"/>
          <w:color w:val="000000"/>
        </w:rPr>
        <w:t>现状调查与评价</w:t>
      </w:r>
      <w:bookmarkEnd w:id="224"/>
      <w:bookmarkEnd w:id="225"/>
    </w:p>
    <w:p>
      <w:pPr>
        <w:pStyle w:val="8"/>
        <w:spacing w:before="156" w:after="156"/>
        <w:rPr>
          <w:color w:val="000000"/>
        </w:rPr>
      </w:pPr>
      <w:bookmarkStart w:id="226" w:name="_Toc489350285"/>
      <w:bookmarkStart w:id="227" w:name="_Toc489350017"/>
      <w:bookmarkStart w:id="228" w:name="_Toc489349365"/>
      <w:bookmarkStart w:id="229" w:name="_Toc489350184"/>
      <w:r>
        <w:rPr>
          <w:color w:val="000000"/>
        </w:rPr>
        <w:t>3</w:t>
      </w:r>
      <w:r>
        <w:rPr>
          <w:rFonts w:hint="eastAsia"/>
          <w:color w:val="000000"/>
        </w:rPr>
        <w:t>.1.1  地理位置</w:t>
      </w:r>
      <w:bookmarkEnd w:id="226"/>
      <w:bookmarkEnd w:id="227"/>
      <w:bookmarkEnd w:id="228"/>
      <w:bookmarkEnd w:id="229"/>
    </w:p>
    <w:p>
      <w:pPr>
        <w:ind w:firstLine="480"/>
        <w:rPr>
          <w:rFonts w:hint="eastAsia"/>
          <w:color w:val="000000"/>
          <w:kern w:val="0"/>
        </w:rPr>
      </w:pPr>
      <w:r>
        <w:rPr>
          <w:rFonts w:hint="eastAsia"/>
          <w:color w:val="000000"/>
          <w:kern w:val="0"/>
        </w:rPr>
        <w:t>花垣县位于湖南省西北部、是湖南省的西大门，地处云贵高原东缘，武陵山脉中段。东南邻吉首市，南接凤凰县，东北连保靖县，西部、西北部与贵州松桃苗族自治县和四川秀山县连接，地理座标范围在东径109°15′～109°38′之间，北纬28°10′～28°38′之间，平均海拔288米，东西宽约38.5公里。南北长49.5公里、总面积1108.7km2。其中耕地面积16662公顷（水田10127公顷、旱土6335公顷）折合25.0万亩，占总面积15.0%，人均耕地0.92亩，全县以山原地貌为主，占总面积 60.63%，其次是丘岗地占21.92%，平地占11.3%是一个山多田少的边远区县。</w:t>
      </w:r>
    </w:p>
    <w:p>
      <w:pPr>
        <w:ind w:firstLine="480"/>
        <w:rPr>
          <w:color w:val="000000"/>
        </w:rPr>
      </w:pPr>
      <w:r>
        <w:rPr>
          <w:rFonts w:hint="eastAsia"/>
          <w:color w:val="auto"/>
          <w:kern w:val="0"/>
        </w:rPr>
        <w:t>花垣产业开发区位于花</w:t>
      </w:r>
      <w:r>
        <w:rPr>
          <w:rFonts w:hint="eastAsia"/>
          <w:color w:val="000000"/>
          <w:kern w:val="0"/>
        </w:rPr>
        <w:t>垣镇，核准面积约10km</w:t>
      </w:r>
      <w:r>
        <w:rPr>
          <w:rFonts w:hint="eastAsia"/>
          <w:color w:val="000000"/>
          <w:kern w:val="0"/>
          <w:vertAlign w:val="superscript"/>
        </w:rPr>
        <w:t>2</w:t>
      </w:r>
      <w:r>
        <w:rPr>
          <w:rFonts w:hint="eastAsia"/>
          <w:color w:val="000000"/>
          <w:kern w:val="0"/>
        </w:rPr>
        <w:t>，整个产业开发区分为两部分，其中望城片区2.5km</w:t>
      </w:r>
      <w:r>
        <w:rPr>
          <w:rFonts w:hint="eastAsia"/>
          <w:color w:val="000000"/>
          <w:kern w:val="0"/>
          <w:vertAlign w:val="superscript"/>
        </w:rPr>
        <w:t>2</w:t>
      </w:r>
      <w:r>
        <w:rPr>
          <w:rFonts w:hint="eastAsia"/>
          <w:color w:val="000000"/>
          <w:kern w:val="0"/>
        </w:rPr>
        <w:t>，四至范围为北至花垣河，西南至兄弟河，东南至G209国道；卡地片区7.5km</w:t>
      </w:r>
      <w:r>
        <w:rPr>
          <w:rFonts w:hint="eastAsia"/>
          <w:color w:val="000000"/>
          <w:kern w:val="0"/>
          <w:vertAlign w:val="superscript"/>
        </w:rPr>
        <w:t>2</w:t>
      </w:r>
      <w:r>
        <w:rPr>
          <w:rFonts w:hint="eastAsia"/>
          <w:color w:val="000000"/>
          <w:kern w:val="0"/>
        </w:rPr>
        <w:t>，四至范围为东至建新路，西至兴园路，南至发展路，北至丰和路北约300米。</w:t>
      </w:r>
    </w:p>
    <w:p>
      <w:pPr>
        <w:ind w:firstLine="480"/>
        <w:rPr>
          <w:b/>
        </w:rPr>
      </w:pPr>
      <w:bookmarkStart w:id="230" w:name="_Toc489350185"/>
      <w:bookmarkStart w:id="231" w:name="_Toc489350018"/>
      <w:bookmarkStart w:id="232" w:name="_Toc489349366"/>
      <w:bookmarkStart w:id="233" w:name="_Toc489350286"/>
      <w:r>
        <w:rPr>
          <w:rFonts w:hint="eastAsia"/>
        </w:rPr>
        <w:t>本项目位于</w:t>
      </w:r>
      <w:r>
        <w:rPr>
          <w:rFonts w:hint="eastAsia"/>
          <w:lang w:eastAsia="zh-CN"/>
        </w:rPr>
        <w:t>花垣产业开发区</w:t>
      </w:r>
      <w:r>
        <w:rPr>
          <w:rFonts w:hint="eastAsia"/>
        </w:rPr>
        <w:t>，具体地理位置见附图1：项目地理位置图。</w:t>
      </w:r>
    </w:p>
    <w:p>
      <w:pPr>
        <w:pStyle w:val="8"/>
        <w:spacing w:before="156" w:after="156"/>
        <w:rPr>
          <w:rFonts w:hint="eastAsia"/>
          <w:color w:val="000000"/>
        </w:rPr>
      </w:pPr>
      <w:r>
        <w:rPr>
          <w:color w:val="000000"/>
        </w:rPr>
        <w:t>3</w:t>
      </w:r>
      <w:r>
        <w:rPr>
          <w:rFonts w:hint="eastAsia"/>
          <w:color w:val="000000"/>
        </w:rPr>
        <w:t>.1.2  地形、地貌</w:t>
      </w:r>
      <w:bookmarkEnd w:id="230"/>
      <w:bookmarkEnd w:id="231"/>
      <w:bookmarkEnd w:id="232"/>
      <w:bookmarkEnd w:id="233"/>
      <w:r>
        <w:rPr>
          <w:rFonts w:hint="eastAsia"/>
          <w:color w:val="000000"/>
        </w:rPr>
        <w:t>、地质</w:t>
      </w:r>
    </w:p>
    <w:p>
      <w:pPr>
        <w:widowControl w:val="0"/>
        <w:suppressAutoHyphens/>
        <w:wordWrap w:val="0"/>
        <w:topLinePunct/>
        <w:ind w:firstLine="480"/>
        <w:rPr>
          <w:rFonts w:hint="eastAsia"/>
          <w:color w:val="000000"/>
          <w:kern w:val="0"/>
        </w:rPr>
      </w:pPr>
      <w:r>
        <w:rPr>
          <w:rFonts w:hint="eastAsia"/>
          <w:color w:val="000000"/>
          <w:kern w:val="0"/>
        </w:rPr>
        <w:t>湘西自治州，地处云贵高原北东侧与鄂西山地南西端之结合部，武陵山脉由北东向南西斜贯全境，地势南东低、北西高。地势由西北向东南倾斜，平均海拨800-1200m，西北边境龙山县的大灵山海拨1736.5m，为州内最高点；泸溪县上堡乡大龙溪出口河床海拔97.1m，为州内最低点。西南石灰岩分布极广，岩溶发育充分，多溶洞、伏流；西北石英砂岩密布，因地壳作用形成小片峰，以花垣排吾乡周围最为典型。东西部为低山丘陵区，平均海拨200-500m，溪河纵横其间，两岸多冲积平原。地貌形态的总体轮廓是一个以山原山地为主，兼有丘陵和小平原，并向北西突出的弧形山区地貌。</w:t>
      </w:r>
    </w:p>
    <w:p>
      <w:pPr>
        <w:widowControl w:val="0"/>
        <w:suppressAutoHyphens/>
        <w:wordWrap w:val="0"/>
        <w:topLinePunct/>
        <w:ind w:firstLine="480"/>
        <w:rPr>
          <w:rFonts w:hint="eastAsia"/>
          <w:color w:val="000000"/>
          <w:kern w:val="0"/>
        </w:rPr>
      </w:pPr>
      <w:r>
        <w:rPr>
          <w:rFonts w:hint="eastAsia"/>
          <w:color w:val="000000"/>
          <w:kern w:val="0"/>
        </w:rPr>
        <w:t>花垣县处湘西山地西部，云贵高原东缘。地形以山地、丘陵为主。地势由东向西北倾斜，东、南、西部高，中部教缓，北部敞开，近似一围椅形。大致在海拔400米和700米两条等高线将县境分为三级台阶，呈阶梯状过渡。西南边境的莲花山峰顶海拔1197米，为全县最高点，东北狮子桥花园和边海拔212米，为最低点。最大相对高差985米，地势比降平均为24‰。由于地质构造及岩性的影响，形成复杂的地形，整个地势由南西至北东按中山原（中山）、中低山原（中低山）低山及丘岗平递降。境内地貌类型多样，有山原、山地、丘陵、岗地、平原等，以山原为主，占全县总面积60.63％，山地占21.92％，丘陵占2.05％，岗地占2.92％，平原占11.3％，水面占1.17％。</w:t>
      </w:r>
    </w:p>
    <w:p>
      <w:pPr>
        <w:widowControl w:val="0"/>
        <w:suppressAutoHyphens/>
        <w:wordWrap w:val="0"/>
        <w:topLinePunct/>
        <w:ind w:firstLine="480"/>
        <w:rPr>
          <w:rFonts w:hint="eastAsia"/>
          <w:color w:val="000000"/>
          <w:kern w:val="0"/>
        </w:rPr>
      </w:pPr>
      <w:r>
        <w:rPr>
          <w:rFonts w:hint="eastAsia"/>
          <w:color w:val="000000"/>
          <w:kern w:val="0"/>
        </w:rPr>
        <w:t>境内土壤以水稻土、黑色灰土、红色灰土、红壤土、黄壤土为主，共5类，13亚类，44土属，144土种。本项目涉及区域的底层包括古生界震旦系、寒武系、奥陶系、志留系、泥盆系、二迭系、中生界三迭系、白垩系，新生界第四系等。除泥盆系下统、石炭系、白垩系下统以及第三系底层缺失以外，自元古界至第四系均有出露，岩性以沉积岩建造与浅变质岩系为主。板溪群分布于武陵山区，呈北东-南西斜布于项目区中部的广大地区，主要为海相碳酸盐岩建造。该地区经历“印支运动”和“燕山运动”上升陆地后不再受海侵，为巨厚的古生代寒武纪地层。母质为石灰岩和青砂岩，该地区西面喀斯特发育较完全，土壤以山地黄壤和青砂土占绝对优势。项目区场地土为第四系冲积物（QaL）：上部为紫红色、红色夹灰白色粉性土，具网纹结构，呈硬塑至坚硬状态，厚度1-6米，下部为砂砾石层，土黄色，砾石由砂岩、脉石英组成，砾石占50-60%，其粉径1-3厘米居多，少数6-7厘米，磨圆度较好，分选一般，孔隙由粘性土充填，稍湿至湿，场址区域构造相对微弱的地带地质构造比较简单，松散堆积物不厚，工程地质情况较好。</w:t>
      </w:r>
    </w:p>
    <w:p>
      <w:pPr>
        <w:widowControl w:val="0"/>
        <w:suppressAutoHyphens/>
        <w:wordWrap w:val="0"/>
        <w:topLinePunct/>
        <w:ind w:firstLine="480"/>
      </w:pPr>
      <w:r>
        <w:rPr>
          <w:rFonts w:hint="eastAsia"/>
          <w:color w:val="000000"/>
          <w:kern w:val="0"/>
        </w:rPr>
        <w:t>根据《建筑抗震设计规范》GB50011—20011（2008年版）1：400万《中国地震动峰值加速度区划图》和《中国地震动反应谱特征周期区划图》，项目区地震动峰值加速度＜0.05g，地震动反应谱特征周期为0.35s，对应地震烈度＜Ⅵ度。本项目按Ⅵ度抗震设防</w:t>
      </w:r>
      <w:r>
        <w:t>。</w:t>
      </w:r>
    </w:p>
    <w:p>
      <w:pPr>
        <w:pStyle w:val="8"/>
        <w:spacing w:before="156" w:after="156"/>
        <w:rPr>
          <w:rFonts w:hint="eastAsia"/>
          <w:color w:val="000000"/>
        </w:rPr>
      </w:pPr>
      <w:r>
        <w:rPr>
          <w:color w:val="000000"/>
        </w:rPr>
        <w:t>3</w:t>
      </w:r>
      <w:r>
        <w:rPr>
          <w:rFonts w:hint="eastAsia"/>
          <w:color w:val="000000"/>
        </w:rPr>
        <w:t>.1.</w:t>
      </w:r>
      <w:r>
        <w:rPr>
          <w:color w:val="000000"/>
        </w:rPr>
        <w:t>3</w:t>
      </w:r>
      <w:r>
        <w:rPr>
          <w:rFonts w:hint="eastAsia"/>
          <w:color w:val="000000"/>
        </w:rPr>
        <w:t xml:space="preserve"> 气候气候</w:t>
      </w:r>
    </w:p>
    <w:p>
      <w:pPr>
        <w:ind w:firstLine="480"/>
        <w:jc w:val="both"/>
        <w:rPr>
          <w:rFonts w:hint="eastAsia"/>
          <w:color w:val="000000"/>
        </w:rPr>
      </w:pPr>
      <w:r>
        <w:rPr>
          <w:rFonts w:hint="eastAsia"/>
          <w:color w:val="000000"/>
        </w:rPr>
        <w:t>花垣县属于亚热带季风山地湿润气候区，气候温和，四季分明，光照充足，雨水充沛，春季气温回暖较早，但不稳定，寒潮活动较频繁，夏季降雨集中，雨热同季，夏秋季干旱发生较多，冬季比较寒冷，湿度大。</w:t>
      </w:r>
    </w:p>
    <w:p>
      <w:pPr>
        <w:ind w:firstLine="480"/>
        <w:jc w:val="both"/>
        <w:rPr>
          <w:rFonts w:hint="eastAsia"/>
          <w:color w:val="000000"/>
        </w:rPr>
      </w:pPr>
      <w:r>
        <w:rPr>
          <w:rFonts w:hint="eastAsia"/>
          <w:color w:val="000000"/>
        </w:rPr>
        <w:t>气温：多年平均气温16.0℃，最冷月平均气温4.6℃，最热月平均气温26.7℃，最低气温-15.5℃（1977年1月31日），最高极端气温39.3℃（1972年8月12日）。</w:t>
      </w:r>
    </w:p>
    <w:p>
      <w:pPr>
        <w:ind w:firstLine="480"/>
        <w:jc w:val="both"/>
        <w:rPr>
          <w:rFonts w:hint="eastAsia"/>
          <w:color w:val="000000"/>
        </w:rPr>
      </w:pPr>
      <w:r>
        <w:rPr>
          <w:rFonts w:hint="eastAsia"/>
          <w:color w:val="000000"/>
        </w:rPr>
        <w:t>降水：多年平均降雨量1421.7 mm，最大年降雨量1818.7 mm，最小年降雨量1026.3 mm。降雨多集中在4～7月，约占年降雨量的63%，三日最大暴雨205.8mm，一日最大暴雨153.4mm。</w:t>
      </w:r>
    </w:p>
    <w:p>
      <w:pPr>
        <w:ind w:firstLine="480"/>
        <w:jc w:val="both"/>
        <w:rPr>
          <w:rFonts w:hint="eastAsia"/>
          <w:color w:val="000000"/>
        </w:rPr>
      </w:pPr>
      <w:r>
        <w:rPr>
          <w:rFonts w:hint="eastAsia"/>
          <w:color w:val="000000"/>
        </w:rPr>
        <w:t>蒸发：多年平均蒸发量1108.1mm。最大年平均蒸发量1381.1mm，最小年平均蒸发量928.2mm。最小相对湿度4%，年平均无霜期279天。全年日照时数1219.2小时，占可照时数的28%。年雷暴日数53.9天。</w:t>
      </w:r>
    </w:p>
    <w:p>
      <w:pPr>
        <w:ind w:firstLine="480"/>
        <w:jc w:val="both"/>
        <w:rPr>
          <w:color w:val="000000"/>
        </w:rPr>
      </w:pPr>
      <w:r>
        <w:rPr>
          <w:rFonts w:hint="eastAsia"/>
          <w:color w:val="000000"/>
        </w:rPr>
        <w:t>风速：多年平均风速1.3m/s，多年最大平均风速12.2m/s，最大风速20m/s</w:t>
      </w:r>
      <w:r>
        <w:rPr>
          <w:color w:val="000000"/>
        </w:rPr>
        <w:t>。</w:t>
      </w:r>
    </w:p>
    <w:p>
      <w:pPr>
        <w:pStyle w:val="8"/>
        <w:spacing w:before="156" w:after="156"/>
        <w:rPr>
          <w:rFonts w:hint="eastAsia"/>
          <w:color w:val="000000"/>
        </w:rPr>
      </w:pPr>
      <w:bookmarkStart w:id="234" w:name="_Toc489350287"/>
      <w:bookmarkStart w:id="235" w:name="_Toc489349367"/>
      <w:bookmarkStart w:id="236" w:name="_Toc489350019"/>
      <w:bookmarkStart w:id="237" w:name="_Toc489350186"/>
      <w:r>
        <w:rPr>
          <w:color w:val="000000"/>
        </w:rPr>
        <w:t>3</w:t>
      </w:r>
      <w:r>
        <w:rPr>
          <w:rFonts w:hint="eastAsia"/>
          <w:color w:val="000000"/>
        </w:rPr>
        <w:t>.1.</w:t>
      </w:r>
      <w:r>
        <w:rPr>
          <w:color w:val="000000"/>
        </w:rPr>
        <w:t>4</w:t>
      </w:r>
      <w:r>
        <w:rPr>
          <w:rFonts w:hint="eastAsia"/>
          <w:color w:val="000000"/>
        </w:rPr>
        <w:t xml:space="preserve">  水文</w:t>
      </w:r>
      <w:bookmarkEnd w:id="234"/>
      <w:bookmarkEnd w:id="235"/>
      <w:bookmarkEnd w:id="236"/>
      <w:bookmarkEnd w:id="237"/>
    </w:p>
    <w:p>
      <w:pPr>
        <w:ind w:firstLine="480"/>
        <w:jc w:val="both"/>
        <w:rPr>
          <w:rFonts w:hint="eastAsia"/>
          <w:color w:val="000000"/>
        </w:rPr>
      </w:pPr>
      <w:bookmarkStart w:id="238" w:name="_Toc489349368"/>
      <w:bookmarkStart w:id="239" w:name="_Toc489350288"/>
      <w:bookmarkStart w:id="240" w:name="_Toc489350187"/>
      <w:bookmarkStart w:id="241" w:name="_Toc489350020"/>
      <w:r>
        <w:rPr>
          <w:rFonts w:hint="eastAsia"/>
          <w:color w:val="000000"/>
        </w:rPr>
        <w:t>（1）地表水</w:t>
      </w:r>
    </w:p>
    <w:p>
      <w:pPr>
        <w:ind w:firstLine="480"/>
        <w:jc w:val="both"/>
        <w:rPr>
          <w:rFonts w:hint="eastAsia"/>
          <w:color w:val="000000"/>
        </w:rPr>
      </w:pPr>
      <w:r>
        <w:rPr>
          <w:rFonts w:hint="eastAsia"/>
          <w:color w:val="000000"/>
        </w:rPr>
        <w:t>花垣县境河流属沅水支流，分酉水水系和武水水系，在境内流域面积1108.69km</w:t>
      </w:r>
      <w:r>
        <w:rPr>
          <w:rFonts w:hint="eastAsia"/>
          <w:color w:val="000000"/>
          <w:vertAlign w:val="superscript"/>
        </w:rPr>
        <w:t>2</w:t>
      </w:r>
      <w:r>
        <w:rPr>
          <w:rFonts w:hint="eastAsia"/>
          <w:color w:val="000000"/>
        </w:rPr>
        <w:t>，其干流长大于5km的32条，总长432km，其中属于酉水水系25条，流域面积799km</w:t>
      </w:r>
      <w:r>
        <w:rPr>
          <w:rFonts w:hint="eastAsia"/>
          <w:color w:val="000000"/>
          <w:vertAlign w:val="superscript"/>
        </w:rPr>
        <w:t>2</w:t>
      </w:r>
      <w:r>
        <w:rPr>
          <w:rFonts w:hint="eastAsia"/>
          <w:color w:val="000000"/>
        </w:rPr>
        <w:t>；属于武水水系7条，流域面积309.09km</w:t>
      </w:r>
      <w:r>
        <w:rPr>
          <w:rFonts w:hint="eastAsia"/>
          <w:color w:val="000000"/>
          <w:vertAlign w:val="superscript"/>
        </w:rPr>
        <w:t>2</w:t>
      </w:r>
      <w:r>
        <w:rPr>
          <w:rFonts w:hint="eastAsia"/>
          <w:color w:val="000000"/>
        </w:rPr>
        <w:t>。</w:t>
      </w:r>
    </w:p>
    <w:p>
      <w:pPr>
        <w:ind w:firstLine="480"/>
        <w:jc w:val="both"/>
        <w:rPr>
          <w:rFonts w:hint="eastAsia"/>
          <w:color w:val="000000"/>
          <w:u w:val="single"/>
        </w:rPr>
      </w:pPr>
      <w:r>
        <w:rPr>
          <w:rFonts w:hint="eastAsia"/>
          <w:color w:val="000000"/>
          <w:u w:val="single"/>
        </w:rPr>
        <w:t>花垣河系酉水的一级支流，发源于重庆市秀山县椅子山和贵州省松桃县木耳溪一带，流经松桃县城，从花垣县茶洞入境，经县城会兄弟河后流至保靖县江口汇入酉水，县境河长71.8km，流域面积356km</w:t>
      </w:r>
      <w:r>
        <w:rPr>
          <w:rFonts w:hint="eastAsia"/>
          <w:color w:val="000000"/>
          <w:u w:val="single"/>
          <w:vertAlign w:val="superscript"/>
        </w:rPr>
        <w:t>2</w:t>
      </w:r>
      <w:r>
        <w:rPr>
          <w:rFonts w:hint="eastAsia"/>
          <w:color w:val="000000"/>
          <w:u w:val="single"/>
        </w:rPr>
        <w:t>，占全县河流总流域面积的32.99%，年平均径流量22.5亿m</w:t>
      </w:r>
      <w:r>
        <w:rPr>
          <w:rFonts w:hint="eastAsia"/>
          <w:color w:val="000000"/>
          <w:u w:val="single"/>
          <w:vertAlign w:val="superscript"/>
        </w:rPr>
        <w:t>3</w:t>
      </w:r>
      <w:r>
        <w:rPr>
          <w:rFonts w:hint="eastAsia"/>
          <w:color w:val="000000"/>
          <w:u w:val="single"/>
        </w:rPr>
        <w:t>，水能蕴藏量4.35万千瓦。花垣河有长于5 km的支流12条，河的坡降1.71‰，部分河段可以通航，河床水面为县内最低平面，年平均水温24℃，含沙量0.211kg/m</w:t>
      </w:r>
      <w:r>
        <w:rPr>
          <w:rFonts w:hint="eastAsia"/>
          <w:color w:val="000000"/>
          <w:u w:val="single"/>
          <w:vertAlign w:val="superscript"/>
        </w:rPr>
        <w:t>3</w:t>
      </w:r>
      <w:r>
        <w:rPr>
          <w:rFonts w:hint="eastAsia"/>
          <w:color w:val="000000"/>
          <w:u w:val="single"/>
        </w:rPr>
        <w:t>，洪水期为0.288 kg/m</w:t>
      </w:r>
      <w:r>
        <w:rPr>
          <w:rFonts w:hint="eastAsia"/>
          <w:color w:val="000000"/>
          <w:u w:val="single"/>
          <w:vertAlign w:val="superscript"/>
        </w:rPr>
        <w:t>3</w:t>
      </w:r>
      <w:r>
        <w:rPr>
          <w:rFonts w:hint="eastAsia"/>
          <w:color w:val="000000"/>
          <w:u w:val="single"/>
        </w:rPr>
        <w:t>，枯水期为0.15 kg/m</w:t>
      </w:r>
      <w:r>
        <w:rPr>
          <w:rFonts w:hint="eastAsia"/>
          <w:color w:val="000000"/>
          <w:u w:val="single"/>
          <w:vertAlign w:val="superscript"/>
        </w:rPr>
        <w:t>3</w:t>
      </w:r>
      <w:r>
        <w:rPr>
          <w:rFonts w:hint="eastAsia"/>
          <w:color w:val="000000"/>
          <w:u w:val="single"/>
        </w:rPr>
        <w:t>。竹篙滩水电站坝址处多年平均流量57.35m</w:t>
      </w:r>
      <w:r>
        <w:rPr>
          <w:rFonts w:hint="eastAsia"/>
          <w:color w:val="000000"/>
          <w:u w:val="single"/>
          <w:vertAlign w:val="superscript"/>
        </w:rPr>
        <w:t>3</w:t>
      </w:r>
      <w:r>
        <w:rPr>
          <w:rFonts w:hint="eastAsia"/>
          <w:color w:val="000000"/>
          <w:u w:val="single"/>
        </w:rPr>
        <w:t>/s，相应多年平均径流量为18.086亿m3。花垣河丰水期为每年4～9月，枯水期为10月～次年3月。由于本项目尾水经4.2km后至竹篙滩水库，竹篙滩水库枯水期调节流量，即Q=21.1m</w:t>
      </w:r>
      <w:r>
        <w:rPr>
          <w:rFonts w:hint="eastAsia"/>
          <w:color w:val="000000"/>
          <w:u w:val="single"/>
          <w:vertAlign w:val="superscript"/>
        </w:rPr>
        <w:t>3</w:t>
      </w:r>
      <w:r>
        <w:rPr>
          <w:rFonts w:hint="eastAsia"/>
          <w:color w:val="000000"/>
          <w:u w:val="single"/>
        </w:rPr>
        <w:t>/s。流速 u=0.175m/s，水深 h=10m，河宽B=90m，I=0.17%，</w:t>
      </w:r>
    </w:p>
    <w:p>
      <w:pPr>
        <w:ind w:firstLine="480"/>
        <w:jc w:val="both"/>
        <w:rPr>
          <w:rFonts w:hint="eastAsia"/>
          <w:color w:val="000000"/>
        </w:rPr>
      </w:pPr>
      <w:r>
        <w:rPr>
          <w:rFonts w:hint="eastAsia"/>
          <w:color w:val="000000"/>
        </w:rPr>
        <w:t>兄弟河位于县境西南部，系花垣河的一级支流，发源于排吾摩天岭一带，斜穿县境中北部，在县城五拱桥注入花垣河，河长45.6km，流域面积443km2，占全县总流域面积的39.3%，年平均径流量3.87亿m3，多年平均流量12.25 m3/s，水能蕴藏量3.7万千瓦，年平均水温22.5℃，每立方米含沙量0.201kg，洪水期为0.281kg，枯水期为0.14kg。该河有大于5km的支流13条，河谷狭窄，落差集中，河谷附近出露基岩为白云岩，岩溶不甚发育，地质条件较好，为县境水能开发的重点。</w:t>
      </w:r>
    </w:p>
    <w:p>
      <w:pPr>
        <w:pStyle w:val="6"/>
        <w:rPr>
          <w:rFonts w:hint="eastAsia" w:eastAsia="宋体"/>
          <w:u w:val="single"/>
          <w:lang w:eastAsia="zh-CN"/>
        </w:rPr>
      </w:pPr>
      <w:r>
        <w:rPr>
          <w:rFonts w:hint="eastAsia"/>
          <w:color w:val="000000"/>
          <w:u w:val="single"/>
          <w:lang w:eastAsia="zh-CN"/>
        </w:rPr>
        <w:t>本项目污水经处理后达标排入花垣工业集中区污水处理厂进一步处理，处理达标后排入花垣河，项目所在花垣河河段水功能区为“花垣河花垣至保靖保留区”，该水功能区水域范围为“花垣县边城镇和平村断面至保靖县江口（花垣河河口） 断面”，长度44.0km，该河段范围开发利用程度不高，水环境现状水质执行《地 表水质环境质量标准》（GB3838-2002）Ⅲ类标准，目标水质执行《地表水质环 境质量标准》（GB3838-2002）Ⅲ类标准。根据调查，花垣县工业集中区污水处理厂已进行了排污口论证，并取得排污口论证报告的批复。</w:t>
      </w:r>
    </w:p>
    <w:p>
      <w:pPr>
        <w:ind w:firstLine="480"/>
        <w:jc w:val="both"/>
        <w:rPr>
          <w:rFonts w:hint="eastAsia"/>
          <w:color w:val="000000"/>
        </w:rPr>
      </w:pPr>
      <w:r>
        <w:rPr>
          <w:rFonts w:hint="eastAsia"/>
          <w:color w:val="000000"/>
        </w:rPr>
        <w:t>（2）地下水</w:t>
      </w:r>
    </w:p>
    <w:p>
      <w:pPr>
        <w:ind w:firstLine="480"/>
        <w:jc w:val="both"/>
        <w:rPr>
          <w:rFonts w:hint="eastAsia"/>
          <w:color w:val="000000"/>
        </w:rPr>
      </w:pPr>
      <w:r>
        <w:rPr>
          <w:rFonts w:hint="eastAsia"/>
          <w:color w:val="000000"/>
        </w:rPr>
        <w:t>县境岩溶发育强烈，地下水丰富，主要分布在雅酋、排碧、长乐、渔塘、团结5个富水区。评价区域地下水较丰富，水质较好。</w:t>
      </w:r>
    </w:p>
    <w:p>
      <w:pPr>
        <w:ind w:firstLine="480"/>
        <w:jc w:val="both"/>
        <w:rPr>
          <w:rFonts w:hint="eastAsia"/>
          <w:color w:val="000000"/>
        </w:rPr>
      </w:pPr>
      <w:r>
        <w:rPr>
          <w:rFonts w:hint="eastAsia"/>
          <w:color w:val="000000"/>
        </w:rPr>
        <w:t>评估区分布的地层有第四系残坡积层及寒武系中上统娄山群地层，第四系为弱透水层；娄山群为岩溶水含水层，岩性为白云岩。根据区域资料，该地层泉水流量一般为0.02~2.0L/s，为弱~中等富水性，水温18℃左右，均为居民饮用水。水质类型为HCO</w:t>
      </w:r>
      <w:r>
        <w:rPr>
          <w:rFonts w:hint="eastAsia"/>
          <w:color w:val="000000"/>
          <w:vertAlign w:val="subscript"/>
        </w:rPr>
        <w:t>3</w:t>
      </w:r>
      <w:r>
        <w:rPr>
          <w:rFonts w:hint="eastAsia"/>
          <w:color w:val="000000"/>
        </w:rPr>
        <w:t>-Ca·Mg 型，PH值6.5~7.5，矿化度125~290.1mg/L，属重碳酸钙型或重碳酸镁钙型低矿化中性淡水。水质对混凝土、混凝土中的钢筋微腐蚀性，对钢结构具弱腐蚀性。</w:t>
      </w:r>
    </w:p>
    <w:p>
      <w:pPr>
        <w:ind w:firstLine="480"/>
        <w:jc w:val="both"/>
        <w:rPr>
          <w:rFonts w:hint="eastAsia"/>
          <w:color w:val="000000"/>
        </w:rPr>
      </w:pPr>
      <w:r>
        <w:rPr>
          <w:rFonts w:hint="eastAsia"/>
          <w:color w:val="000000"/>
          <w:lang w:eastAsia="zh-CN"/>
        </w:rPr>
        <w:t>本项目依托的</w:t>
      </w:r>
      <w:r>
        <w:rPr>
          <w:rFonts w:hint="eastAsia"/>
          <w:color w:val="000000"/>
        </w:rPr>
        <w:t>花垣工业集中区污水处理厂排污口位于竹篙滩水电站大坝上游。</w:t>
      </w:r>
    </w:p>
    <w:p>
      <w:pPr>
        <w:ind w:firstLine="480"/>
        <w:jc w:val="both"/>
        <w:rPr>
          <w:rFonts w:hint="eastAsia" w:eastAsia="宋体"/>
          <w:color w:val="000000"/>
          <w:lang w:eastAsia="zh-CN"/>
        </w:rPr>
      </w:pPr>
      <w:r>
        <w:rPr>
          <w:rFonts w:hint="eastAsia"/>
          <w:color w:val="000000"/>
        </w:rPr>
        <w:t>竹篙滩水电站水库于2010年开始启动建设，设计正常蓄水位259.0m，相应库容3370万m</w:t>
      </w:r>
      <w:r>
        <w:rPr>
          <w:rFonts w:hint="eastAsia"/>
          <w:color w:val="000000"/>
          <w:vertAlign w:val="superscript"/>
        </w:rPr>
        <w:t>3</w:t>
      </w:r>
      <w:r>
        <w:rPr>
          <w:rFonts w:hint="eastAsia"/>
          <w:color w:val="000000"/>
        </w:rPr>
        <w:t>。校核洪水261.71m，相应总库容4184万m</w:t>
      </w:r>
      <w:r>
        <w:rPr>
          <w:rFonts w:hint="eastAsia"/>
          <w:color w:val="000000"/>
          <w:vertAlign w:val="superscript"/>
        </w:rPr>
        <w:t>3</w:t>
      </w:r>
      <w:r>
        <w:rPr>
          <w:rFonts w:hint="eastAsia"/>
          <w:color w:val="000000"/>
        </w:rPr>
        <w:t>。电站总装机容量3.3万kW，属中型水库、小型电站。坝顶高程262.9m，最大坝高37.4m，坝顶轴长298m，其中右岸非溢流坝段长128m，左岸非溢流坝段长96m，中间溢流坝段长74m，布置在河床偏左侧，由6孔10×10m表孔组成，闸墩中墩和边墩及导水墙厚均为2m，闸墩顶部高程262.9m，表孔堰顶高程249m，表孔设6扇10×10m（宽×高）弧形工作闸门，坝体泄洪采用底流消能</w:t>
      </w:r>
      <w:r>
        <w:rPr>
          <w:rFonts w:hint="eastAsia"/>
          <w:color w:val="000000"/>
          <w:lang w:eastAsia="zh-CN"/>
        </w:rPr>
        <w:t>。</w:t>
      </w:r>
    </w:p>
    <w:p>
      <w:pPr>
        <w:ind w:firstLine="480"/>
        <w:jc w:val="both"/>
        <w:rPr>
          <w:rFonts w:hint="eastAsia"/>
          <w:color w:val="000000"/>
          <w:u w:val="single"/>
        </w:rPr>
      </w:pPr>
      <w:r>
        <w:rPr>
          <w:rFonts w:hint="eastAsia"/>
          <w:color w:val="000000"/>
          <w:u w:val="single"/>
        </w:rPr>
        <w:t>工业集中区东部老工业区生活、工业用水全部来自花垣县城自来水厂， 西部新规划区生活用水以县城自来水为水源，工业用水近期从兄弟河水库取水。</w:t>
      </w:r>
    </w:p>
    <w:p>
      <w:pPr>
        <w:ind w:firstLine="480"/>
        <w:jc w:val="both"/>
        <w:rPr>
          <w:color w:val="000000"/>
        </w:rPr>
      </w:pPr>
      <w:r>
        <w:rPr>
          <w:rFonts w:hint="eastAsia"/>
          <w:color w:val="000000"/>
          <w:u w:val="single"/>
        </w:rPr>
        <w:t>区域取水规划不在本项目污水厂纳污河道。</w:t>
      </w:r>
      <w:r>
        <w:rPr>
          <w:rFonts w:hint="eastAsia"/>
          <w:color w:val="000000"/>
          <w:u w:val="single"/>
          <w:lang w:eastAsia="zh-CN"/>
        </w:rPr>
        <w:t>本项目上游国控断面为依托排污口上游</w:t>
      </w:r>
      <w:r>
        <w:rPr>
          <w:rFonts w:hint="eastAsia"/>
          <w:color w:val="000000"/>
          <w:u w:val="single"/>
          <w:lang w:val="en-US" w:eastAsia="zh-CN"/>
        </w:rPr>
        <w:t>1.5万米的边城镇断面，下游国控断面为依托排污口下游1万米川心城省控断面，下游1.2万米狮子桥坝下断面。项目纳污水体河段无集中式饮用水源保护区，区域饮用水源为项目地南侧1万米的兄弟河水库，兄弟河饮用水源于下游1.2万米汇入花垣河（汇入口在本项目纳污水体下游1万米处）</w:t>
      </w:r>
      <w:r>
        <w:rPr>
          <w:color w:val="000000"/>
        </w:rPr>
        <w:t>。</w:t>
      </w:r>
    </w:p>
    <w:bookmarkEnd w:id="238"/>
    <w:bookmarkEnd w:id="239"/>
    <w:bookmarkEnd w:id="240"/>
    <w:bookmarkEnd w:id="241"/>
    <w:p>
      <w:pPr>
        <w:pStyle w:val="8"/>
        <w:keepNext w:val="0"/>
        <w:keepLines w:val="0"/>
        <w:spacing w:before="156" w:after="156"/>
        <w:rPr>
          <w:rFonts w:hint="eastAsia"/>
          <w:color w:val="000000"/>
        </w:rPr>
      </w:pPr>
      <w:bookmarkStart w:id="242" w:name="_Toc489350188"/>
      <w:bookmarkStart w:id="243" w:name="_Toc489350289"/>
      <w:bookmarkStart w:id="244" w:name="_Toc489349369"/>
      <w:bookmarkStart w:id="245" w:name="_Toc489350021"/>
      <w:r>
        <w:rPr>
          <w:color w:val="000000"/>
        </w:rPr>
        <w:t>3</w:t>
      </w:r>
      <w:r>
        <w:rPr>
          <w:rFonts w:hint="eastAsia"/>
          <w:color w:val="000000"/>
        </w:rPr>
        <w:t>.1.5  自然资源</w:t>
      </w:r>
      <w:bookmarkEnd w:id="242"/>
      <w:bookmarkEnd w:id="243"/>
      <w:bookmarkEnd w:id="244"/>
      <w:bookmarkEnd w:id="245"/>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rPr>
      </w:pPr>
      <w:bookmarkStart w:id="246" w:name="_Toc489349370"/>
      <w:bookmarkStart w:id="247" w:name="_Toc489350189"/>
      <w:bookmarkStart w:id="248" w:name="_Toc489350022"/>
      <w:bookmarkStart w:id="249" w:name="_Toc489350290"/>
      <w:r>
        <w:rPr>
          <w:rFonts w:hint="default" w:ascii="Times New Roman" w:hAnsi="Times New Roman" w:cs="Times New Roman"/>
          <w:color w:val="auto"/>
          <w:highlight w:val="none"/>
          <w:lang w:val="en-US" w:eastAsia="zh-CN"/>
        </w:rPr>
        <w:t>花垣县森林资源丰富，据</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八五</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期间森林资源调查，全县森林植物种类有99科、263属、454种，主要树种为用材林如杉木、马尾松、柏木、香椿、檫木、樟树以及经济林如油桐、油茶、漆树、板栗等。根据1999年对全县森业资源调查统计，全县林业用地面积82.81万亩，占土地总面积的49.8%。全县现有森林面积65.7千公顷，植被覆盖率42.9%。各类林木蓄积量较往年呈上升趋势，县内林木蓄积量见下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w:t>
      </w:r>
      <w:r>
        <w:rPr>
          <w:rFonts w:hint="eastAsia" w:cs="Times New Roman"/>
          <w:b/>
          <w:bCs/>
          <w:sz w:val="21"/>
          <w:szCs w:val="21"/>
          <w:lang w:val="en-US" w:eastAsia="zh-CN"/>
        </w:rPr>
        <w:t>3</w:t>
      </w:r>
      <w:r>
        <w:rPr>
          <w:rFonts w:hint="default" w:ascii="Times New Roman" w:hAnsi="Times New Roman" w:cs="Times New Roman"/>
          <w:b/>
          <w:bCs/>
          <w:sz w:val="21"/>
          <w:szCs w:val="21"/>
          <w:lang w:val="en-US" w:eastAsia="zh-CN"/>
        </w:rPr>
        <w:t>.</w:t>
      </w:r>
      <w:r>
        <w:rPr>
          <w:rFonts w:hint="eastAsia" w:cs="Times New Roman"/>
          <w:b/>
          <w:bCs/>
          <w:sz w:val="21"/>
          <w:szCs w:val="21"/>
          <w:lang w:val="en-US" w:eastAsia="zh-CN"/>
        </w:rPr>
        <w:t>1</w:t>
      </w:r>
      <w:r>
        <w:rPr>
          <w:rFonts w:hint="default" w:ascii="Times New Roman" w:hAnsi="Times New Roman" w:cs="Times New Roman"/>
          <w:b/>
          <w:bCs/>
          <w:sz w:val="21"/>
          <w:szCs w:val="21"/>
          <w:lang w:val="en-US" w:eastAsia="zh-CN"/>
        </w:rPr>
        <w:t>-</w:t>
      </w:r>
      <w:r>
        <w:rPr>
          <w:rFonts w:hint="eastAsia" w:cs="Times New Roman"/>
          <w:b/>
          <w:bCs/>
          <w:sz w:val="21"/>
          <w:szCs w:val="21"/>
          <w:lang w:val="en-US" w:eastAsia="zh-CN"/>
        </w:rPr>
        <w:t>1</w:t>
      </w:r>
      <w:r>
        <w:rPr>
          <w:rFonts w:hint="default" w:ascii="Times New Roman" w:hAnsi="Times New Roman" w:cs="Times New Roman"/>
          <w:b/>
          <w:bCs/>
          <w:sz w:val="21"/>
          <w:szCs w:val="21"/>
          <w:lang w:val="en-US" w:eastAsia="zh-CN"/>
        </w:rPr>
        <w:t xml:space="preserve">  花垣县林木蓄积量统计表   单位：万亩、万立方米</w:t>
      </w:r>
    </w:p>
    <w:tbl>
      <w:tblPr>
        <w:tblStyle w:val="38"/>
        <w:tblW w:w="81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737"/>
        <w:gridCol w:w="738"/>
        <w:gridCol w:w="738"/>
        <w:gridCol w:w="739"/>
        <w:gridCol w:w="738"/>
        <w:gridCol w:w="739"/>
        <w:gridCol w:w="738"/>
        <w:gridCol w:w="739"/>
        <w:gridCol w:w="738"/>
        <w:gridCol w:w="7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调查年度</w:t>
            </w:r>
          </w:p>
        </w:tc>
        <w:tc>
          <w:tcPr>
            <w:tcW w:w="147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用材林</w:t>
            </w:r>
          </w:p>
        </w:tc>
        <w:tc>
          <w:tcPr>
            <w:tcW w:w="147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杉木</w:t>
            </w:r>
          </w:p>
        </w:tc>
        <w:tc>
          <w:tcPr>
            <w:tcW w:w="147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马尾松</w:t>
            </w:r>
          </w:p>
        </w:tc>
        <w:tc>
          <w:tcPr>
            <w:tcW w:w="147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阔叶林</w:t>
            </w:r>
          </w:p>
        </w:tc>
        <w:tc>
          <w:tcPr>
            <w:tcW w:w="147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柏木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3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p>
        </w:tc>
        <w:tc>
          <w:tcPr>
            <w:tcW w:w="7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面积</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蓄积</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vertAlign w:val="baseline"/>
                <w:lang w:val="en-US" w:eastAsia="zh-CN" w:bidi="ar-SA"/>
              </w:rPr>
            </w:pPr>
            <w:r>
              <w:rPr>
                <w:rFonts w:hint="default" w:ascii="Times New Roman" w:hAnsi="Times New Roman" w:cs="Times New Roman"/>
                <w:kern w:val="0"/>
                <w:sz w:val="18"/>
                <w:szCs w:val="18"/>
                <w:lang w:val="en-US" w:eastAsia="zh-CN"/>
              </w:rPr>
              <w:t>面积</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vertAlign w:val="baseline"/>
                <w:lang w:val="en-US" w:eastAsia="zh-CN" w:bidi="ar-SA"/>
              </w:rPr>
            </w:pPr>
            <w:r>
              <w:rPr>
                <w:rFonts w:hint="default" w:ascii="Times New Roman" w:hAnsi="Times New Roman" w:cs="Times New Roman"/>
                <w:kern w:val="0"/>
                <w:sz w:val="18"/>
                <w:szCs w:val="18"/>
                <w:lang w:val="en-US" w:eastAsia="zh-CN"/>
              </w:rPr>
              <w:t>蓄积</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vertAlign w:val="baseline"/>
                <w:lang w:val="en-US" w:eastAsia="zh-CN" w:bidi="ar-SA"/>
              </w:rPr>
            </w:pPr>
            <w:r>
              <w:rPr>
                <w:rFonts w:hint="default" w:ascii="Times New Roman" w:hAnsi="Times New Roman" w:cs="Times New Roman"/>
                <w:kern w:val="0"/>
                <w:sz w:val="18"/>
                <w:szCs w:val="18"/>
                <w:lang w:val="en-US" w:eastAsia="zh-CN"/>
              </w:rPr>
              <w:t>面积</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vertAlign w:val="baseline"/>
                <w:lang w:val="en-US" w:eastAsia="zh-CN" w:bidi="ar-SA"/>
              </w:rPr>
            </w:pPr>
            <w:r>
              <w:rPr>
                <w:rFonts w:hint="default" w:ascii="Times New Roman" w:hAnsi="Times New Roman" w:cs="Times New Roman"/>
                <w:kern w:val="0"/>
                <w:sz w:val="18"/>
                <w:szCs w:val="18"/>
                <w:lang w:val="en-US" w:eastAsia="zh-CN"/>
              </w:rPr>
              <w:t>蓄积</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vertAlign w:val="baseline"/>
                <w:lang w:val="en-US" w:eastAsia="zh-CN" w:bidi="ar-SA"/>
              </w:rPr>
            </w:pPr>
            <w:r>
              <w:rPr>
                <w:rFonts w:hint="default" w:ascii="Times New Roman" w:hAnsi="Times New Roman" w:cs="Times New Roman"/>
                <w:kern w:val="0"/>
                <w:sz w:val="18"/>
                <w:szCs w:val="18"/>
                <w:lang w:val="en-US" w:eastAsia="zh-CN"/>
              </w:rPr>
              <w:t>面积</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vertAlign w:val="baseline"/>
                <w:lang w:val="en-US" w:eastAsia="zh-CN" w:bidi="ar-SA"/>
              </w:rPr>
            </w:pPr>
            <w:r>
              <w:rPr>
                <w:rFonts w:hint="default" w:ascii="Times New Roman" w:hAnsi="Times New Roman" w:cs="Times New Roman"/>
                <w:kern w:val="0"/>
                <w:sz w:val="18"/>
                <w:szCs w:val="18"/>
                <w:lang w:val="en-US" w:eastAsia="zh-CN"/>
              </w:rPr>
              <w:t>蓄积</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vertAlign w:val="baseline"/>
                <w:lang w:val="en-US" w:eastAsia="zh-CN" w:bidi="ar-SA"/>
              </w:rPr>
            </w:pPr>
            <w:r>
              <w:rPr>
                <w:rFonts w:hint="default" w:ascii="Times New Roman" w:hAnsi="Times New Roman" w:cs="Times New Roman"/>
                <w:kern w:val="0"/>
                <w:sz w:val="18"/>
                <w:szCs w:val="18"/>
                <w:lang w:val="en-US" w:eastAsia="zh-CN"/>
              </w:rPr>
              <w:t>面积</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kern w:val="0"/>
                <w:sz w:val="18"/>
                <w:szCs w:val="18"/>
                <w:vertAlign w:val="baseline"/>
                <w:lang w:val="en-US" w:eastAsia="zh-CN" w:bidi="ar-SA"/>
              </w:rPr>
            </w:pPr>
            <w:r>
              <w:rPr>
                <w:rFonts w:hint="default" w:ascii="Times New Roman" w:hAnsi="Times New Roman" w:cs="Times New Roman"/>
                <w:kern w:val="0"/>
                <w:sz w:val="18"/>
                <w:szCs w:val="18"/>
                <w:lang w:val="en-US" w:eastAsia="zh-CN"/>
              </w:rPr>
              <w:t>蓄积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1987</w:t>
            </w:r>
          </w:p>
        </w:tc>
        <w:tc>
          <w:tcPr>
            <w:tcW w:w="7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vertAlign w:val="baseline"/>
                <w:lang w:val="en-US" w:eastAsia="zh-CN"/>
              </w:rPr>
              <w:t>24.46</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17.70</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3.81</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2.36</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7.24</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13.12</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1.33</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1.33</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4.99</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1995</w:t>
            </w:r>
          </w:p>
        </w:tc>
        <w:tc>
          <w:tcPr>
            <w:tcW w:w="7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18.50</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28.6</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4.59</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6.02</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12.30</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21.06</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0.54</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1.20</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1.07</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7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1999</w:t>
            </w:r>
          </w:p>
        </w:tc>
        <w:tc>
          <w:tcPr>
            <w:tcW w:w="7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19.05</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44.36</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4.71</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9.18</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12.67</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33.11</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0.59</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1.68</w:t>
            </w:r>
          </w:p>
        </w:tc>
        <w:tc>
          <w:tcPr>
            <w:tcW w:w="7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1.08</w:t>
            </w:r>
          </w:p>
        </w:tc>
        <w:tc>
          <w:tcPr>
            <w:tcW w:w="7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cs="Times New Roman"/>
                <w:kern w:val="0"/>
                <w:sz w:val="18"/>
                <w:szCs w:val="18"/>
                <w:vertAlign w:val="baseline"/>
                <w:lang w:val="en-US" w:eastAsia="zh-CN"/>
              </w:rPr>
            </w:pPr>
            <w:r>
              <w:rPr>
                <w:rFonts w:hint="default" w:ascii="Times New Roman" w:hAnsi="Times New Roman" w:cs="Times New Roman"/>
                <w:kern w:val="0"/>
                <w:sz w:val="18"/>
                <w:szCs w:val="18"/>
                <w:lang w:val="en-US" w:eastAsia="zh-CN"/>
              </w:rPr>
              <w:t>0.39</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2015年末耕地面积24.57千公顷。全县有自然保护区4个，自然保护区面积39000公顷。年末全县有林地6.84万公顷，森林覆盖率53.42%。城镇建成区绿化覆盖率25.4%。</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花垣县生物资源比较丰富，树种繁多，有树种99科、263属、454种。用材林主要有柏、杉、椿、槐、枫、梓等；经济林主要有油茶、油桐、桃、李、杏、柿、柑、桔等；竹林主要有楠竹、桂竹、篷竹、核桃、枇杷等。县境现存珍贵树种：属国家一级保护的有珙桐、水杉、钟萼木等；二级保护的有银杏、多脉青刚、胡桃、全钱松、香果等。区内野生动物分布较少，主要有田鼠、蜥蜴、青蛙、壁虎、山雀、黄鼠狼等。家畜主要有猪、牛、羊、鸡、鸭等。花垣河及兄弟河流域水生鱼类资源主要有草鱼、鲤鱼、鲫鱼、鲢鱼等，底栖动物有四个大类，即水生昆虫、软体动物、环节动物和甲壳动物。其中以水生昆虫和软体动物为主。</w:t>
      </w:r>
    </w:p>
    <w:p>
      <w:pPr>
        <w:widowControl w:val="0"/>
        <w:ind w:firstLine="480"/>
        <w:jc w:val="both"/>
        <w:rPr>
          <w:color w:val="000000"/>
          <w:szCs w:val="21"/>
        </w:rPr>
      </w:pPr>
      <w:r>
        <w:rPr>
          <w:rFonts w:hint="default" w:ascii="Times New Roman" w:hAnsi="Times New Roman" w:cs="Times New Roman"/>
          <w:color w:val="auto"/>
          <w:highlight w:val="none"/>
          <w:lang w:val="en-US" w:eastAsia="zh-CN"/>
        </w:rPr>
        <w:t>花垣县能源矿产丰富：已探明矿产20余种，锰矿探明储量居湖南省之最，全国第二；铅锌矿探明储量居湖南省第二、全国第三，有</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东方锰都</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有色金属之乡</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美誉；2011年初步探明铅锌矿远景储量1300万金属吨，花垣有望成为全国最大的铅锌矿基地。能源矿产发现有石煤和铀矿；黑色金属矿产：铁矿、钒矿；有色金属矿产：铅锌矿、钼矿；非金属矿产：水泥灰岩、白云岩、含钾页岩、滑石矿、方解石矿、建筑石料用灰岩。通过现场踏勘，本线路沿线及评价范围内没有发现国家保护珍稀动物</w:t>
      </w:r>
      <w:r>
        <w:rPr>
          <w:color w:val="000000"/>
          <w:szCs w:val="21"/>
        </w:rPr>
        <w:t>。</w:t>
      </w:r>
    </w:p>
    <w:p>
      <w:pPr>
        <w:widowControl w:val="0"/>
        <w:ind w:firstLine="480"/>
        <w:jc w:val="both"/>
        <w:rPr>
          <w:color w:val="000000"/>
          <w:szCs w:val="21"/>
        </w:rPr>
      </w:pPr>
      <w:r>
        <w:rPr>
          <w:rFonts w:hint="eastAsia"/>
        </w:rPr>
        <w:t>项目位于</w:t>
      </w:r>
      <w:r>
        <w:rPr>
          <w:rFonts w:hint="eastAsia"/>
          <w:lang w:eastAsia="zh-CN"/>
        </w:rPr>
        <w:t>花垣工业集中区</w:t>
      </w:r>
      <w:r>
        <w:rPr>
          <w:rFonts w:hint="eastAsia"/>
        </w:rPr>
        <w:t>，</w:t>
      </w:r>
      <w:r>
        <w:rPr>
          <w:color w:val="000000"/>
        </w:rPr>
        <w:t>土地资源开发利用程度较高</w:t>
      </w:r>
      <w:r>
        <w:rPr>
          <w:rFonts w:hint="eastAsia"/>
          <w:color w:val="000000"/>
        </w:rPr>
        <w:t>，</w:t>
      </w:r>
      <w:r>
        <w:rPr>
          <w:rFonts w:hint="eastAsia"/>
          <w:color w:val="000000"/>
          <w:szCs w:val="21"/>
        </w:rPr>
        <w:t>主要无珍稀濒危野生动植物。</w:t>
      </w:r>
      <w:r>
        <w:rPr>
          <w:color w:val="000000"/>
          <w:kern w:val="0"/>
          <w:szCs w:val="20"/>
        </w:rPr>
        <w:t>根据调查，本项目评价范围内尚未发现国家重点保护珍稀动植物。该区域生态系统结构简单。</w:t>
      </w:r>
    </w:p>
    <w:bookmarkEnd w:id="246"/>
    <w:bookmarkEnd w:id="247"/>
    <w:bookmarkEnd w:id="248"/>
    <w:bookmarkEnd w:id="249"/>
    <w:p>
      <w:pPr>
        <w:pStyle w:val="86"/>
        <w:spacing w:before="156" w:after="156"/>
        <w:rPr>
          <w:rFonts w:hint="eastAsia"/>
          <w:color w:val="000000"/>
          <w:kern w:val="0"/>
        </w:rPr>
      </w:pPr>
      <w:bookmarkStart w:id="250" w:name="_Toc29308663"/>
      <w:bookmarkStart w:id="251" w:name="_Toc30597"/>
      <w:bookmarkStart w:id="252" w:name="_Toc489349372"/>
      <w:bookmarkStart w:id="253" w:name="_Toc489350191"/>
      <w:r>
        <w:rPr>
          <w:color w:val="000000"/>
          <w:kern w:val="0"/>
        </w:rPr>
        <w:t>3</w:t>
      </w:r>
      <w:r>
        <w:rPr>
          <w:rFonts w:hint="eastAsia"/>
          <w:color w:val="000000"/>
          <w:kern w:val="0"/>
        </w:rPr>
        <w:t>.2 区域相关规划</w:t>
      </w:r>
      <w:bookmarkEnd w:id="250"/>
      <w:bookmarkEnd w:id="251"/>
      <w:bookmarkEnd w:id="252"/>
      <w:bookmarkEnd w:id="253"/>
    </w:p>
    <w:p>
      <w:pPr>
        <w:pStyle w:val="8"/>
        <w:keepNext w:val="0"/>
        <w:keepLines w:val="0"/>
        <w:pageBreakBefore w:val="0"/>
        <w:widowControl w:val="0"/>
        <w:kinsoku/>
        <w:wordWrap/>
        <w:topLinePunct w:val="0"/>
        <w:bidi w:val="0"/>
        <w:rPr>
          <w:rFonts w:hint="default" w:ascii="Times New Roman" w:hAnsi="Times New Roman" w:cs="Times New Roman"/>
          <w:lang w:val="en-US" w:eastAsia="zh-CN"/>
        </w:rPr>
      </w:pPr>
      <w:bookmarkStart w:id="254" w:name="_Toc489350192"/>
      <w:bookmarkStart w:id="255" w:name="_Toc489350024"/>
      <w:bookmarkStart w:id="256" w:name="_Toc489349373"/>
      <w:bookmarkStart w:id="257" w:name="_Toc489350293"/>
      <w:r>
        <w:rPr>
          <w:color w:val="000000"/>
        </w:rPr>
        <w:t>3</w:t>
      </w:r>
      <w:r>
        <w:rPr>
          <w:rFonts w:hint="eastAsia"/>
          <w:color w:val="000000"/>
        </w:rPr>
        <w:t>.2.1</w:t>
      </w:r>
      <w:bookmarkEnd w:id="254"/>
      <w:bookmarkEnd w:id="255"/>
      <w:bookmarkEnd w:id="256"/>
      <w:bookmarkEnd w:id="257"/>
      <w:bookmarkStart w:id="258" w:name="_Toc31243"/>
      <w:r>
        <w:rPr>
          <w:rFonts w:hint="default" w:ascii="Times New Roman" w:hAnsi="Times New Roman" w:cs="Times New Roman"/>
          <w:lang w:val="en-US" w:eastAsia="zh-CN"/>
        </w:rPr>
        <w:t>《花垣县工业园区发展规划（2008-2025）》</w:t>
      </w:r>
      <w:bookmarkEnd w:id="258"/>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lang w:val="en-US" w:eastAsia="zh-CN"/>
        </w:rPr>
        <w:t>花垣县</w:t>
      </w:r>
      <w:r>
        <w:rPr>
          <w:rFonts w:hint="default" w:ascii="Times New Roman" w:hAnsi="Times New Roman" w:cs="Times New Roman"/>
        </w:rPr>
        <w:t>工业园成立于200</w:t>
      </w:r>
      <w:r>
        <w:rPr>
          <w:rFonts w:hint="default" w:ascii="Times New Roman" w:hAnsi="Times New Roman" w:cs="Times New Roman"/>
          <w:lang w:val="en-US" w:eastAsia="zh-CN"/>
        </w:rPr>
        <w:t>4</w:t>
      </w:r>
      <w:r>
        <w:rPr>
          <w:rFonts w:hint="default" w:ascii="Times New Roman" w:hAnsi="Times New Roman" w:cs="Times New Roman"/>
        </w:rPr>
        <w:t>年，2008年编制完成了第一轮规划：</w:t>
      </w:r>
      <w:r>
        <w:rPr>
          <w:rFonts w:hint="default" w:ascii="Times New Roman" w:hAnsi="Times New Roman" w:cs="Times New Roman"/>
          <w:lang w:val="en-US" w:eastAsia="zh-CN"/>
        </w:rPr>
        <w:t>《花垣县工业园区发展规划》（2008-2025）</w:t>
      </w:r>
      <w:r>
        <w:rPr>
          <w:rFonts w:hint="default" w:ascii="Times New Roman" w:hAnsi="Times New Roman" w:cs="Times New Roman"/>
        </w:rPr>
        <w:t>。</w:t>
      </w:r>
    </w:p>
    <w:p>
      <w:pPr>
        <w:pStyle w:val="8"/>
        <w:keepNext w:val="0"/>
        <w:keepLines w:val="0"/>
        <w:pageBreakBefore w:val="0"/>
        <w:widowControl w:val="0"/>
        <w:kinsoku/>
        <w:wordWrap/>
        <w:topLinePunct w:val="0"/>
        <w:bidi w:val="0"/>
        <w:rPr>
          <w:rFonts w:hint="default" w:ascii="Times New Roman" w:hAnsi="Times New Roman" w:eastAsia="宋体" w:cs="Times New Roman"/>
          <w:b/>
          <w:bCs/>
          <w:color w:val="000000"/>
        </w:rPr>
      </w:pPr>
      <w:bookmarkStart w:id="259" w:name="_Toc24225"/>
      <w:r>
        <w:rPr>
          <w:rFonts w:hint="eastAsia" w:ascii="Times New Roman" w:hAnsi="Times New Roman" w:eastAsia="宋体" w:cs="Times New Roman"/>
          <w:b/>
          <w:bCs/>
          <w:color w:val="000000"/>
          <w:lang w:eastAsia="zh-CN"/>
        </w:rPr>
        <w:t>（</w:t>
      </w:r>
      <w:r>
        <w:rPr>
          <w:rFonts w:hint="eastAsia" w:ascii="Times New Roman" w:hAnsi="Times New Roman" w:eastAsia="宋体" w:cs="Times New Roman"/>
          <w:b/>
          <w:bCs/>
          <w:color w:val="000000"/>
          <w:lang w:val="en-US" w:eastAsia="zh-CN"/>
        </w:rPr>
        <w:t>1</w:t>
      </w:r>
      <w:r>
        <w:rPr>
          <w:rFonts w:hint="eastAsia" w:ascii="Times New Roman" w:hAnsi="Times New Roman" w:eastAsia="宋体" w:cs="Times New Roman"/>
          <w:b/>
          <w:bCs/>
          <w:color w:val="000000"/>
          <w:lang w:eastAsia="zh-CN"/>
        </w:rPr>
        <w:t>）</w:t>
      </w:r>
      <w:r>
        <w:rPr>
          <w:rFonts w:hint="default" w:ascii="Times New Roman" w:hAnsi="Times New Roman" w:eastAsia="宋体" w:cs="Times New Roman"/>
          <w:b/>
          <w:bCs/>
          <w:color w:val="000000"/>
        </w:rPr>
        <w:t>规划范围及规划年限</w:t>
      </w:r>
      <w:bookmarkEnd w:id="259"/>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规划范围：南起319国道，北至花垣河，东起张花高速公路，西至龙洞村寨、卡地村寨西侧的蜜糖坡、大地坡所依托的连绵山体，总体规划控制面积约6.90km</w:t>
      </w:r>
      <w:r>
        <w:rPr>
          <w:rFonts w:hint="default" w:ascii="Times New Roman" w:hAnsi="Times New Roman" w:cs="Times New Roman"/>
          <w:vertAlign w:val="superscript"/>
        </w:rPr>
        <w:t>2</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规划年限：2008</w:t>
      </w:r>
      <w:r>
        <w:rPr>
          <w:rFonts w:hint="default" w:ascii="Times New Roman" w:hAnsi="Times New Roman" w:cs="Times New Roman"/>
          <w:lang w:val="en-US" w:eastAsia="zh-CN"/>
        </w:rPr>
        <w:t>-2025</w:t>
      </w:r>
      <w:r>
        <w:rPr>
          <w:rFonts w:hint="default" w:ascii="Times New Roman" w:hAnsi="Times New Roman" w:cs="Times New Roman"/>
        </w:rPr>
        <w:t>年。近期：2008年</w:t>
      </w:r>
      <w:r>
        <w:rPr>
          <w:rFonts w:hint="default" w:ascii="Times New Roman" w:hAnsi="Times New Roman" w:cs="Times New Roman"/>
          <w:lang w:val="en-US" w:eastAsia="zh-CN"/>
        </w:rPr>
        <w:t>-2015</w:t>
      </w:r>
      <w:r>
        <w:rPr>
          <w:rFonts w:hint="default" w:ascii="Times New Roman" w:hAnsi="Times New Roman" w:cs="Times New Roman"/>
        </w:rPr>
        <w:t>年；远期：201</w:t>
      </w:r>
      <w:r>
        <w:rPr>
          <w:rFonts w:hint="default" w:ascii="Times New Roman" w:hAnsi="Times New Roman" w:cs="Times New Roman"/>
          <w:lang w:val="en-US" w:eastAsia="zh-CN"/>
        </w:rPr>
        <w:t>6</w:t>
      </w:r>
      <w:r>
        <w:rPr>
          <w:rFonts w:hint="default" w:ascii="Times New Roman" w:hAnsi="Times New Roman" w:cs="Times New Roman"/>
        </w:rPr>
        <w:t>年</w:t>
      </w:r>
      <w:r>
        <w:rPr>
          <w:rFonts w:hint="default" w:ascii="Times New Roman" w:hAnsi="Times New Roman" w:cs="Times New Roman"/>
          <w:lang w:val="en-US" w:eastAsia="zh-CN"/>
        </w:rPr>
        <w:t>-</w:t>
      </w:r>
      <w:r>
        <w:rPr>
          <w:rFonts w:hint="default" w:ascii="Times New Roman" w:hAnsi="Times New Roman" w:cs="Times New Roman"/>
        </w:rPr>
        <w:t>202</w:t>
      </w:r>
      <w:r>
        <w:rPr>
          <w:rFonts w:hint="default" w:ascii="Times New Roman" w:hAnsi="Times New Roman" w:cs="Times New Roman"/>
          <w:lang w:val="en-US" w:eastAsia="zh-CN"/>
        </w:rPr>
        <w:t>5</w:t>
      </w:r>
      <w:r>
        <w:rPr>
          <w:rFonts w:hint="default" w:ascii="Times New Roman" w:hAnsi="Times New Roman" w:cs="Times New Roman"/>
        </w:rPr>
        <w:t>年。</w:t>
      </w:r>
    </w:p>
    <w:p>
      <w:pPr>
        <w:pStyle w:val="8"/>
        <w:keepNext w:val="0"/>
        <w:keepLines w:val="0"/>
        <w:pageBreakBefore w:val="0"/>
        <w:widowControl w:val="0"/>
        <w:kinsoku/>
        <w:wordWrap/>
        <w:topLinePunct w:val="0"/>
        <w:bidi w:val="0"/>
        <w:rPr>
          <w:rFonts w:hint="default" w:ascii="Times New Roman" w:hAnsi="Times New Roman" w:eastAsia="宋体" w:cs="Times New Roman"/>
          <w:b/>
          <w:bCs/>
          <w:color w:val="000000"/>
        </w:rPr>
      </w:pPr>
      <w:bookmarkStart w:id="260" w:name="_Toc22731"/>
      <w:r>
        <w:rPr>
          <w:rFonts w:hint="eastAsia" w:ascii="Times New Roman" w:hAnsi="Times New Roman" w:eastAsia="宋体" w:cs="Times New Roman"/>
          <w:b/>
          <w:bCs/>
          <w:color w:val="000000"/>
          <w:lang w:eastAsia="zh-CN"/>
        </w:rPr>
        <w:t>（</w:t>
      </w:r>
      <w:r>
        <w:rPr>
          <w:rFonts w:hint="eastAsia" w:ascii="Times New Roman" w:hAnsi="Times New Roman" w:eastAsia="宋体" w:cs="Times New Roman"/>
          <w:b/>
          <w:bCs/>
          <w:color w:val="000000"/>
          <w:lang w:val="en-US" w:eastAsia="zh-CN"/>
        </w:rPr>
        <w:t>2</w:t>
      </w:r>
      <w:r>
        <w:rPr>
          <w:rFonts w:hint="eastAsia" w:ascii="Times New Roman" w:hAnsi="Times New Roman" w:eastAsia="宋体" w:cs="Times New Roman"/>
          <w:b/>
          <w:bCs/>
          <w:color w:val="000000"/>
          <w:lang w:eastAsia="zh-CN"/>
        </w:rPr>
        <w:t>）</w:t>
      </w:r>
      <w:r>
        <w:rPr>
          <w:rFonts w:hint="default" w:ascii="Times New Roman" w:hAnsi="Times New Roman" w:eastAsia="宋体" w:cs="Times New Roman"/>
          <w:b/>
          <w:bCs/>
          <w:color w:val="000000"/>
        </w:rPr>
        <w:t>规划区职能定位</w:t>
      </w:r>
      <w:bookmarkEnd w:id="260"/>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lang w:eastAsia="zh-CN"/>
        </w:rPr>
        <w:t>）</w:t>
      </w:r>
      <w:r>
        <w:rPr>
          <w:rFonts w:hint="default" w:ascii="Times New Roman" w:hAnsi="Times New Roman" w:cs="Times New Roman"/>
        </w:rPr>
        <w:t>总体定位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把花垣县工业园建设成具有一定影响力的现代化、环保型园区，成为湘、黔、鄂、渝四省市边区重要的矿产品精深加工生产基地，以转变经济发展方式，实现自主创新和技术进步、促进产业聚群发展，增加县财政收入为主要目标的生态型工业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default" w:ascii="Times New Roman" w:hAnsi="Times New Roman" w:cs="Times New Roman"/>
        </w:rPr>
        <w:t>功能定位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rPr>
      </w:pPr>
      <w:r>
        <w:rPr>
          <w:rFonts w:hint="default" w:ascii="Times New Roman" w:hAnsi="Times New Roman" w:cs="Times New Roman"/>
        </w:rPr>
        <w:t>花垣县工业园是以低污染、高附加值的新型工业为主导，配套建设必要的物流、居住、公共设施的城镇产业组团。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u w:val="single"/>
        </w:rPr>
      </w:pPr>
      <w:r>
        <w:rPr>
          <w:rFonts w:hint="default" w:ascii="Times New Roman" w:hAnsi="Times New Roman" w:cs="Times New Roman"/>
          <w:u w:val="single"/>
          <w:lang w:val="en-US" w:eastAsia="zh-CN"/>
        </w:rPr>
        <w:t>3</w:t>
      </w:r>
      <w:r>
        <w:rPr>
          <w:rFonts w:hint="default" w:ascii="Times New Roman" w:hAnsi="Times New Roman" w:cs="Times New Roman"/>
          <w:u w:val="single"/>
          <w:lang w:eastAsia="zh-CN"/>
        </w:rPr>
        <w:t>）</w:t>
      </w:r>
      <w:r>
        <w:rPr>
          <w:rFonts w:hint="default" w:ascii="Times New Roman" w:hAnsi="Times New Roman" w:cs="Times New Roman"/>
          <w:u w:val="single"/>
        </w:rPr>
        <w:t>产业定位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u w:val="single"/>
        </w:rPr>
      </w:pPr>
      <w:r>
        <w:rPr>
          <w:rFonts w:hint="default" w:ascii="Times New Roman" w:hAnsi="Times New Roman" w:cs="Times New Roman"/>
          <w:u w:val="single"/>
        </w:rPr>
        <w:t>花垣县工业园的产业定位是以高科技、高附加值的大产业为主导，主要发展一、二类工业，有选择性地发展三类工业。重点发展矿产品精深加工、农副产品加工、生物制药，适当发展三类工业，积极发展物流配套产业。花垣工业集中区的产业定位是重点发展锰、锌矿产品的新材料产业、环保复合型产业、农副产品加工产业、生物制药产业等，积极发展与工业集中区配套的物流、仓储等相关产业。</w:t>
      </w:r>
    </w:p>
    <w:p>
      <w:pPr>
        <w:pStyle w:val="8"/>
        <w:keepNext w:val="0"/>
        <w:keepLines w:val="0"/>
        <w:pageBreakBefore w:val="0"/>
        <w:widowControl w:val="0"/>
        <w:kinsoku/>
        <w:wordWrap/>
        <w:topLinePunct w:val="0"/>
        <w:bidi w:val="0"/>
        <w:rPr>
          <w:rFonts w:hint="eastAsia" w:ascii="Times New Roman" w:hAnsi="Times New Roman" w:eastAsia="宋体" w:cs="Times New Roman"/>
          <w:b/>
          <w:bCs/>
          <w:color w:val="000000"/>
          <w:lang w:eastAsia="zh-CN"/>
        </w:rPr>
      </w:pPr>
      <w:r>
        <w:rPr>
          <w:rFonts w:hint="eastAsia" w:ascii="Times New Roman" w:hAnsi="Times New Roman" w:eastAsia="宋体" w:cs="Times New Roman"/>
          <w:b/>
          <w:bCs/>
          <w:color w:val="000000"/>
          <w:lang w:eastAsia="zh-CN"/>
        </w:rPr>
        <w:t>（</w:t>
      </w:r>
      <w:r>
        <w:rPr>
          <w:rFonts w:hint="eastAsia" w:ascii="Times New Roman" w:hAnsi="Times New Roman" w:eastAsia="宋体" w:cs="Times New Roman"/>
          <w:b/>
          <w:bCs/>
          <w:color w:val="000000"/>
          <w:lang w:val="en-US" w:eastAsia="zh-CN"/>
        </w:rPr>
        <w:t>3</w:t>
      </w:r>
      <w:r>
        <w:rPr>
          <w:rFonts w:hint="eastAsia" w:ascii="Times New Roman" w:hAnsi="Times New Roman" w:eastAsia="宋体" w:cs="Times New Roman"/>
          <w:b/>
          <w:bCs/>
          <w:color w:val="000000"/>
          <w:lang w:eastAsia="zh-CN"/>
        </w:rPr>
        <w:t>）给水规划</w:t>
      </w:r>
    </w:p>
    <w:p>
      <w:pPr>
        <w:numPr>
          <w:ilvl w:val="3"/>
          <w:numId w:val="0"/>
        </w:numPr>
        <w:tabs>
          <w:tab w:val="left" w:pos="864"/>
          <w:tab w:val="left" w:pos="964"/>
        </w:tabs>
        <w:adjustRightInd w:val="0"/>
        <w:ind w:firstLine="480" w:firstLineChars="200"/>
        <w:textAlignment w:val="baseline"/>
        <w:rPr>
          <w:rFonts w:hint="eastAsia"/>
          <w:color w:val="000000"/>
          <w:kern w:val="0"/>
        </w:rPr>
      </w:pPr>
      <w:r>
        <w:rPr>
          <w:rFonts w:hint="eastAsia"/>
          <w:color w:val="000000"/>
          <w:kern w:val="0"/>
        </w:rPr>
        <w:t>1）给水水源</w:t>
      </w:r>
    </w:p>
    <w:p>
      <w:pPr>
        <w:numPr>
          <w:ilvl w:val="3"/>
          <w:numId w:val="0"/>
        </w:numPr>
        <w:tabs>
          <w:tab w:val="left" w:pos="864"/>
          <w:tab w:val="left" w:pos="964"/>
        </w:tabs>
        <w:adjustRightInd w:val="0"/>
        <w:ind w:firstLine="480" w:firstLineChars="200"/>
        <w:textAlignment w:val="baseline"/>
        <w:rPr>
          <w:rFonts w:hint="eastAsia"/>
          <w:color w:val="000000"/>
          <w:kern w:val="0"/>
        </w:rPr>
      </w:pPr>
      <w:r>
        <w:rPr>
          <w:rFonts w:hint="eastAsia"/>
          <w:color w:val="000000"/>
          <w:kern w:val="0"/>
        </w:rPr>
        <w:t>工业集中区生活用水以县城自来水（兄弟河水库）为水源，工业用水近期从兄弟河水库取水。在工业集中区用地范围内预留工业水厂用地，远期在工业集中区北部，以花垣河为水源，建设工业用水厂。</w:t>
      </w:r>
    </w:p>
    <w:p>
      <w:pPr>
        <w:numPr>
          <w:ilvl w:val="3"/>
          <w:numId w:val="0"/>
        </w:numPr>
        <w:tabs>
          <w:tab w:val="left" w:pos="864"/>
          <w:tab w:val="left" w:pos="964"/>
        </w:tabs>
        <w:adjustRightInd w:val="0"/>
        <w:ind w:firstLine="480" w:firstLineChars="200"/>
        <w:textAlignment w:val="baseline"/>
        <w:rPr>
          <w:rFonts w:hint="eastAsia"/>
          <w:color w:val="000000"/>
          <w:kern w:val="0"/>
        </w:rPr>
      </w:pPr>
      <w:r>
        <w:rPr>
          <w:rFonts w:hint="eastAsia"/>
          <w:color w:val="000000"/>
          <w:kern w:val="0"/>
        </w:rPr>
        <w:t>2）给水系统布置</w:t>
      </w:r>
    </w:p>
    <w:p>
      <w:pPr>
        <w:numPr>
          <w:ilvl w:val="3"/>
          <w:numId w:val="0"/>
        </w:numPr>
        <w:tabs>
          <w:tab w:val="left" w:pos="864"/>
          <w:tab w:val="left" w:pos="964"/>
        </w:tabs>
        <w:adjustRightInd w:val="0"/>
        <w:ind w:firstLine="480" w:firstLineChars="200"/>
        <w:textAlignment w:val="baseline"/>
        <w:rPr>
          <w:rFonts w:hint="eastAsia"/>
          <w:color w:val="000000"/>
          <w:kern w:val="0"/>
        </w:rPr>
      </w:pPr>
      <w:r>
        <w:rPr>
          <w:rFonts w:hint="eastAsia"/>
          <w:color w:val="000000"/>
          <w:kern w:val="0"/>
        </w:rPr>
        <w:t>工业集中区工业给水量为最大日14万m</w:t>
      </w:r>
      <w:r>
        <w:rPr>
          <w:rFonts w:hint="eastAsia"/>
          <w:color w:val="000000"/>
          <w:kern w:val="0"/>
          <w:vertAlign w:val="superscript"/>
        </w:rPr>
        <w:t>3</w:t>
      </w:r>
      <w:r>
        <w:rPr>
          <w:rFonts w:hint="eastAsia"/>
          <w:color w:val="000000"/>
          <w:kern w:val="0"/>
        </w:rPr>
        <w:t>/d。</w:t>
      </w:r>
    </w:p>
    <w:p>
      <w:pPr>
        <w:numPr>
          <w:ilvl w:val="3"/>
          <w:numId w:val="0"/>
        </w:numPr>
        <w:tabs>
          <w:tab w:val="left" w:pos="864"/>
          <w:tab w:val="left" w:pos="964"/>
        </w:tabs>
        <w:adjustRightInd w:val="0"/>
        <w:ind w:firstLine="480" w:firstLineChars="200"/>
        <w:textAlignment w:val="baseline"/>
        <w:rPr>
          <w:rFonts w:hint="eastAsia"/>
          <w:color w:val="000000"/>
          <w:kern w:val="0"/>
        </w:rPr>
      </w:pPr>
      <w:r>
        <w:rPr>
          <w:rFonts w:hint="eastAsia"/>
          <w:color w:val="000000"/>
          <w:kern w:val="0"/>
        </w:rPr>
        <w:t>东部老工业片区采用一套供水系统，供水直接从县城给水管网接入。</w:t>
      </w:r>
    </w:p>
    <w:p>
      <w:pPr>
        <w:numPr>
          <w:ilvl w:val="3"/>
          <w:numId w:val="0"/>
        </w:numPr>
        <w:tabs>
          <w:tab w:val="left" w:pos="864"/>
          <w:tab w:val="left" w:pos="964"/>
        </w:tabs>
        <w:adjustRightInd w:val="0"/>
        <w:ind w:firstLine="480" w:firstLineChars="200"/>
        <w:textAlignment w:val="baseline"/>
        <w:rPr>
          <w:rFonts w:hint="eastAsia"/>
          <w:color w:val="000000"/>
          <w:kern w:val="0"/>
        </w:rPr>
      </w:pPr>
      <w:r>
        <w:rPr>
          <w:rFonts w:hint="eastAsia"/>
          <w:color w:val="000000"/>
          <w:kern w:val="0"/>
        </w:rPr>
        <w:t>西部新规划片区生活用水和工业用水分开供给，布置两套供水网络。</w:t>
      </w:r>
    </w:p>
    <w:p>
      <w:pPr>
        <w:numPr>
          <w:ilvl w:val="3"/>
          <w:numId w:val="0"/>
        </w:numPr>
        <w:tabs>
          <w:tab w:val="left" w:pos="864"/>
          <w:tab w:val="left" w:pos="964"/>
        </w:tabs>
        <w:adjustRightInd w:val="0"/>
        <w:ind w:firstLine="480" w:firstLineChars="200"/>
        <w:textAlignment w:val="baseline"/>
        <w:rPr>
          <w:rFonts w:hint="eastAsia"/>
          <w:color w:val="000000"/>
          <w:kern w:val="0"/>
        </w:rPr>
      </w:pPr>
      <w:r>
        <w:rPr>
          <w:rFonts w:hint="eastAsia"/>
          <w:color w:val="000000"/>
          <w:kern w:val="0"/>
        </w:rPr>
        <w:t>西部新规划片区生活用水由县城自来水管网作为水源，在接入点直接设置加压泵站。以满足工业集中区内310米以下区域供水。在B4路和A3路交叉口设置加压泵站，以满足310米以上区域供水。</w:t>
      </w:r>
    </w:p>
    <w:p>
      <w:pPr>
        <w:numPr>
          <w:ilvl w:val="3"/>
          <w:numId w:val="0"/>
        </w:numPr>
        <w:tabs>
          <w:tab w:val="left" w:pos="864"/>
          <w:tab w:val="left" w:pos="964"/>
        </w:tabs>
        <w:adjustRightInd w:val="0"/>
        <w:ind w:firstLine="480" w:firstLineChars="200"/>
        <w:textAlignment w:val="baseline"/>
        <w:rPr>
          <w:rFonts w:hint="eastAsia"/>
          <w:color w:val="000000"/>
          <w:kern w:val="0"/>
        </w:rPr>
      </w:pPr>
      <w:r>
        <w:rPr>
          <w:rFonts w:hint="eastAsia"/>
          <w:color w:val="000000"/>
          <w:kern w:val="0"/>
        </w:rPr>
        <w:t>工业用水由兄弟河水库取水，在水库附近设置工业用水处理厂。工业集中区工业给水管网沿富园路、B2路、A2路、B4路和B6路敷设，干管管径分别为DN800、DN800、DN600和DN400、DN300，形成环状管网，以提高供水系统的安全性。工业集中区生活给水干管沿创业大道、B2路、B6路、B8路敷设，管径分别为DN400、DN450、DN400、DN400形成环状管网，以提高供水系统的安全性。</w:t>
      </w:r>
    </w:p>
    <w:p>
      <w:pPr>
        <w:pStyle w:val="8"/>
        <w:keepNext w:val="0"/>
        <w:keepLines w:val="0"/>
        <w:pageBreakBefore w:val="0"/>
        <w:widowControl w:val="0"/>
        <w:kinsoku/>
        <w:wordWrap/>
        <w:topLinePunct w:val="0"/>
        <w:bidi w:val="0"/>
        <w:rPr>
          <w:rFonts w:hint="eastAsia" w:ascii="Times New Roman" w:hAnsi="Times New Roman" w:eastAsia="宋体" w:cs="Times New Roman"/>
          <w:b/>
          <w:bCs/>
          <w:color w:val="000000"/>
          <w:lang w:eastAsia="zh-CN"/>
        </w:rPr>
      </w:pPr>
      <w:r>
        <w:rPr>
          <w:rFonts w:hint="eastAsia" w:ascii="Times New Roman" w:hAnsi="Times New Roman" w:eastAsia="宋体" w:cs="Times New Roman"/>
          <w:b/>
          <w:bCs/>
          <w:color w:val="000000"/>
          <w:lang w:eastAsia="zh-CN"/>
        </w:rPr>
        <w:t>（</w:t>
      </w:r>
      <w:r>
        <w:rPr>
          <w:rFonts w:hint="eastAsia" w:ascii="Times New Roman" w:hAnsi="Times New Roman" w:eastAsia="宋体" w:cs="Times New Roman"/>
          <w:b/>
          <w:bCs/>
          <w:color w:val="000000"/>
          <w:lang w:val="en-US" w:eastAsia="zh-CN"/>
        </w:rPr>
        <w:t>4</w:t>
      </w:r>
      <w:r>
        <w:rPr>
          <w:rFonts w:hint="eastAsia" w:ascii="Times New Roman" w:hAnsi="Times New Roman" w:eastAsia="宋体" w:cs="Times New Roman"/>
          <w:b/>
          <w:bCs/>
          <w:color w:val="000000"/>
          <w:lang w:eastAsia="zh-CN"/>
        </w:rPr>
        <w:t>） 排水规划</w:t>
      </w:r>
    </w:p>
    <w:p>
      <w:pPr>
        <w:numPr>
          <w:ilvl w:val="3"/>
          <w:numId w:val="0"/>
        </w:numPr>
        <w:tabs>
          <w:tab w:val="left" w:pos="864"/>
          <w:tab w:val="left" w:pos="964"/>
        </w:tabs>
        <w:adjustRightInd w:val="0"/>
        <w:ind w:firstLine="480" w:firstLineChars="200"/>
        <w:textAlignment w:val="baseline"/>
        <w:rPr>
          <w:rFonts w:hint="eastAsia"/>
          <w:color w:val="000000"/>
          <w:kern w:val="0"/>
        </w:rPr>
      </w:pPr>
      <w:r>
        <w:rPr>
          <w:rFonts w:hint="eastAsia"/>
          <w:color w:val="000000"/>
          <w:kern w:val="0"/>
        </w:rPr>
        <w:t>西部新规划片区由南向北敷设雨水干管，雨水就近排入花垣河支流渠道，规划在富园路、A3路、C4路敷设雨水主干管，管径为DN1800、DN1800、DN1500。由南往北敷设雨水干管，规划在B8路、B9路、B2路、A5路敷设雨水干管，干管管径DN1400、DN1500、DN1400、DN1400和DN1800。</w:t>
      </w:r>
    </w:p>
    <w:p>
      <w:pPr>
        <w:numPr>
          <w:ilvl w:val="3"/>
          <w:numId w:val="0"/>
        </w:numPr>
        <w:tabs>
          <w:tab w:val="left" w:pos="864"/>
          <w:tab w:val="left" w:pos="964"/>
        </w:tabs>
        <w:adjustRightInd w:val="0"/>
        <w:ind w:firstLine="480" w:firstLineChars="200"/>
        <w:textAlignment w:val="baseline"/>
        <w:rPr>
          <w:rFonts w:hint="eastAsia"/>
          <w:color w:val="000000"/>
          <w:kern w:val="0"/>
        </w:rPr>
      </w:pPr>
      <w:r>
        <w:rPr>
          <w:rFonts w:hint="eastAsia"/>
          <w:color w:val="000000"/>
          <w:kern w:val="0"/>
        </w:rPr>
        <w:t>西部新规划片区，规划沿富园路、A3路、B2路敷设污水主干管，污水管管径分别为DN1000、DN800、DN800，进入工业集中区污水处理厂，污水处理厂规模9万m3/d。在C1路与B1路交汇处设置污水提升泵站，规模130L/S，占地面积700平方米。西北部山区建设7处污水提升泵站，规模在均在30L/S以下，占地面积100平方米。</w:t>
      </w:r>
    </w:p>
    <w:p>
      <w:pPr>
        <w:numPr>
          <w:ilvl w:val="3"/>
          <w:numId w:val="0"/>
        </w:numPr>
        <w:tabs>
          <w:tab w:val="left" w:pos="864"/>
          <w:tab w:val="left" w:pos="964"/>
        </w:tabs>
        <w:adjustRightInd w:val="0"/>
        <w:ind w:firstLine="480" w:firstLineChars="200"/>
        <w:textAlignment w:val="baseline"/>
        <w:rPr>
          <w:rFonts w:hint="eastAsia"/>
          <w:color w:val="000000"/>
          <w:kern w:val="0"/>
        </w:rPr>
      </w:pPr>
      <w:r>
        <w:rPr>
          <w:rFonts w:hint="eastAsia"/>
          <w:color w:val="000000"/>
          <w:kern w:val="0"/>
        </w:rPr>
        <w:t>东部老工业片区污水收集至县城污水处理厂处理后排放。</w:t>
      </w:r>
    </w:p>
    <w:p>
      <w:pPr>
        <w:numPr>
          <w:ilvl w:val="3"/>
          <w:numId w:val="0"/>
        </w:numPr>
        <w:tabs>
          <w:tab w:val="left" w:pos="864"/>
          <w:tab w:val="left" w:pos="964"/>
        </w:tabs>
        <w:adjustRightInd w:val="0"/>
        <w:ind w:firstLine="480" w:firstLineChars="200"/>
        <w:textAlignment w:val="baseline"/>
        <w:rPr>
          <w:color w:val="000000"/>
          <w:kern w:val="0"/>
        </w:rPr>
      </w:pPr>
      <w:r>
        <w:rPr>
          <w:rFonts w:hint="eastAsia"/>
          <w:color w:val="000000"/>
          <w:kern w:val="0"/>
        </w:rPr>
        <w:t>雨水就近排放水体</w:t>
      </w:r>
      <w:r>
        <w:rPr>
          <w:color w:val="000000"/>
          <w:kern w:val="0"/>
        </w:rPr>
        <w:t>。</w:t>
      </w:r>
    </w:p>
    <w:p>
      <w:pPr>
        <w:pStyle w:val="8"/>
        <w:keepNext w:val="0"/>
        <w:keepLines w:val="0"/>
        <w:pageBreakBefore w:val="0"/>
        <w:widowControl w:val="0"/>
        <w:kinsoku/>
        <w:wordWrap/>
        <w:topLinePunct w:val="0"/>
        <w:bidi w:val="0"/>
        <w:rPr>
          <w:rFonts w:hint="eastAsia" w:ascii="Times New Roman" w:hAnsi="Times New Roman" w:eastAsia="宋体" w:cs="Times New Roman"/>
          <w:b/>
          <w:bCs/>
          <w:color w:val="000000"/>
          <w:lang w:eastAsia="zh-CN"/>
        </w:rPr>
      </w:pPr>
      <w:r>
        <w:rPr>
          <w:rFonts w:hint="eastAsia" w:ascii="Times New Roman" w:hAnsi="Times New Roman" w:eastAsia="宋体" w:cs="Times New Roman"/>
          <w:b/>
          <w:bCs/>
          <w:color w:val="000000"/>
          <w:lang w:eastAsia="zh-CN"/>
        </w:rPr>
        <w:t>（</w:t>
      </w:r>
      <w:r>
        <w:rPr>
          <w:rFonts w:hint="eastAsia" w:ascii="Times New Roman" w:hAnsi="Times New Roman" w:eastAsia="宋体" w:cs="Times New Roman"/>
          <w:b/>
          <w:bCs/>
          <w:color w:val="000000"/>
          <w:lang w:val="en-US" w:eastAsia="zh-CN"/>
        </w:rPr>
        <w:t>5</w:t>
      </w:r>
      <w:r>
        <w:rPr>
          <w:rFonts w:hint="eastAsia" w:ascii="Times New Roman" w:hAnsi="Times New Roman" w:eastAsia="宋体" w:cs="Times New Roman"/>
          <w:b/>
          <w:bCs/>
          <w:color w:val="000000"/>
          <w:lang w:eastAsia="zh-CN"/>
        </w:rPr>
        <w:t>）土地利用规划</w:t>
      </w:r>
    </w:p>
    <w:p>
      <w:pPr>
        <w:pStyle w:val="6"/>
        <w:rPr>
          <w:color w:val="auto"/>
        </w:rPr>
      </w:pPr>
      <w:r>
        <w:rPr>
          <w:rFonts w:hint="eastAsia"/>
          <w:color w:val="auto"/>
        </w:rPr>
        <w:t>本项目污水处理</w:t>
      </w:r>
      <w:r>
        <w:rPr>
          <w:rFonts w:hint="eastAsia"/>
          <w:color w:val="auto"/>
          <w:lang w:eastAsia="zh-CN"/>
        </w:rPr>
        <w:t>站</w:t>
      </w:r>
      <w:r>
        <w:rPr>
          <w:rFonts w:hint="eastAsia"/>
          <w:color w:val="auto"/>
        </w:rPr>
        <w:t>占地于2017年取得了花垣县城乡规划局的建设用地规划许可证，根据项目用地规划许可证可知，项目用地位于花垣产业开发区，属于二类工业用地。根据花垣县工业集中区土地总体规划可知，本项目规划用地属于</w:t>
      </w:r>
      <w:r>
        <w:rPr>
          <w:rFonts w:hint="eastAsia"/>
          <w:color w:val="auto"/>
          <w:lang w:eastAsia="zh-CN"/>
        </w:rPr>
        <w:t>工业用地</w:t>
      </w:r>
      <w:r>
        <w:rPr>
          <w:rFonts w:hint="eastAsia"/>
          <w:color w:val="auto"/>
        </w:rPr>
        <w:t>，</w:t>
      </w:r>
      <w:r>
        <w:rPr>
          <w:rFonts w:hint="eastAsia"/>
          <w:color w:val="auto"/>
          <w:lang w:eastAsia="zh-CN"/>
        </w:rPr>
        <w:t>属于</w:t>
      </w:r>
      <w:r>
        <w:rPr>
          <w:rFonts w:hint="eastAsia"/>
          <w:color w:val="auto"/>
        </w:rPr>
        <w:t>规划项目地建设污水处理厂，因此本项目符合土地利用规划。</w:t>
      </w:r>
    </w:p>
    <w:p>
      <w:pPr>
        <w:pStyle w:val="8"/>
        <w:keepNext w:val="0"/>
        <w:keepLines w:val="0"/>
        <w:pageBreakBefore w:val="0"/>
        <w:widowControl w:val="0"/>
        <w:kinsoku/>
        <w:wordWrap/>
        <w:topLinePunct w:val="0"/>
        <w:bidi w:val="0"/>
        <w:rPr>
          <w:rFonts w:ascii="Times New Roman" w:hAnsi="Times New Roman" w:eastAsia="宋体"/>
          <w:b/>
          <w:bCs/>
          <w:color w:val="000000"/>
        </w:rPr>
      </w:pPr>
      <w:r>
        <w:rPr>
          <w:rFonts w:ascii="Times New Roman" w:hAnsi="Times New Roman" w:eastAsia="宋体"/>
          <w:b/>
          <w:bCs/>
          <w:color w:val="000000"/>
        </w:rPr>
        <w:t>3.2.2 区域基础设施环境概况</w:t>
      </w:r>
    </w:p>
    <w:p>
      <w:pPr>
        <w:ind w:firstLine="480"/>
        <w:jc w:val="both"/>
        <w:rPr>
          <w:color w:val="000000"/>
          <w:u w:val="single"/>
        </w:rPr>
      </w:pPr>
      <w:r>
        <w:rPr>
          <w:rFonts w:hint="eastAsia"/>
          <w:color w:val="000000"/>
          <w:u w:val="single"/>
        </w:rPr>
        <w:t>（</w:t>
      </w:r>
      <w:r>
        <w:rPr>
          <w:rFonts w:hint="eastAsia"/>
          <w:color w:val="000000"/>
          <w:u w:val="single"/>
          <w:lang w:val="en-US" w:eastAsia="zh-CN"/>
        </w:rPr>
        <w:t>1</w:t>
      </w:r>
      <w:r>
        <w:rPr>
          <w:rFonts w:hint="eastAsia"/>
          <w:color w:val="000000"/>
          <w:u w:val="single"/>
        </w:rPr>
        <w:t>）</w:t>
      </w:r>
      <w:r>
        <w:rPr>
          <w:color w:val="000000"/>
          <w:u w:val="single"/>
        </w:rPr>
        <w:t>污水处理厂建设情况</w:t>
      </w:r>
    </w:p>
    <w:p>
      <w:pPr>
        <w:ind w:firstLine="480"/>
        <w:jc w:val="both"/>
        <w:rPr>
          <w:rFonts w:hint="eastAsia" w:eastAsia="宋体"/>
          <w:color w:val="000000"/>
          <w:szCs w:val="21"/>
          <w:u w:val="single"/>
          <w:lang w:eastAsia="zh-CN"/>
        </w:rPr>
      </w:pPr>
      <w:r>
        <w:rPr>
          <w:rFonts w:hint="eastAsia"/>
          <w:color w:val="000000"/>
          <w:szCs w:val="21"/>
          <w:u w:val="single"/>
        </w:rPr>
        <w:t>花垣工业集中区污水处理厂于2013年5月编制了《花垣县工业集中区污水处理厂建设项目环境影响报告书》，于2013年6月8日取得了湘西州环境保护局的环评批复，批复文号为：州环评[2013]49号。目前花垣县工业集中区污水处理厂正在建设中，</w:t>
      </w:r>
      <w:r>
        <w:rPr>
          <w:rFonts w:hint="eastAsia"/>
          <w:color w:val="000000"/>
          <w:szCs w:val="21"/>
          <w:u w:val="single"/>
          <w:lang w:eastAsia="zh-CN"/>
        </w:rPr>
        <w:t>根据调查，预计</w:t>
      </w:r>
      <w:r>
        <w:rPr>
          <w:rFonts w:hint="eastAsia"/>
          <w:color w:val="000000"/>
          <w:szCs w:val="21"/>
          <w:u w:val="single"/>
          <w:lang w:val="en-US" w:eastAsia="zh-CN"/>
        </w:rPr>
        <w:t>2022年12月正式运行。</w:t>
      </w:r>
      <w:r>
        <w:rPr>
          <w:rFonts w:hint="eastAsia"/>
          <w:color w:val="000000"/>
          <w:szCs w:val="21"/>
          <w:u w:val="single"/>
          <w:lang w:eastAsia="zh-CN"/>
        </w:rPr>
        <w:t>服务范围：近期服务范围为花垣工业集中区新区（张花高速公路西侧）；远期服务范围为集中区新区西南侧</w:t>
      </w:r>
      <w:r>
        <w:rPr>
          <w:rFonts w:hint="eastAsia"/>
          <w:color w:val="000000"/>
          <w:szCs w:val="21"/>
          <w:u w:val="single"/>
        </w:rPr>
        <w:t>。</w:t>
      </w:r>
    </w:p>
    <w:p>
      <w:pPr>
        <w:ind w:firstLine="480"/>
        <w:jc w:val="both"/>
        <w:rPr>
          <w:rFonts w:hint="eastAsia" w:eastAsia="宋体"/>
          <w:color w:val="000000"/>
          <w:szCs w:val="21"/>
          <w:u w:val="single"/>
          <w:lang w:eastAsia="zh-CN"/>
        </w:rPr>
      </w:pPr>
      <w:r>
        <w:rPr>
          <w:rFonts w:hint="eastAsia"/>
          <w:color w:val="000000"/>
          <w:szCs w:val="21"/>
          <w:u w:val="single"/>
        </w:rPr>
        <w:t>污水处理厂于2022年1月4日取得了湘西自治州生态环境局关于花垣县工业集中区污水处理厂入河排污口设置论证报告的批复，该污水处理厂排污口设置于污水处理厂北侧约100m的花垣河南岸上，排放方式为连续排放，入河方式为暗管排放，排水量近期（2022年）1.0万m</w:t>
      </w:r>
      <w:r>
        <w:rPr>
          <w:rFonts w:hint="eastAsia"/>
          <w:color w:val="000000"/>
          <w:szCs w:val="21"/>
          <w:u w:val="single"/>
          <w:vertAlign w:val="superscript"/>
        </w:rPr>
        <w:t>3</w:t>
      </w:r>
      <w:r>
        <w:rPr>
          <w:rFonts w:hint="eastAsia"/>
          <w:color w:val="000000"/>
          <w:szCs w:val="21"/>
          <w:u w:val="single"/>
        </w:rPr>
        <w:t>/d，远期（2030年）2.0万m</w:t>
      </w:r>
      <w:r>
        <w:rPr>
          <w:rFonts w:hint="eastAsia"/>
          <w:color w:val="000000"/>
          <w:szCs w:val="21"/>
          <w:u w:val="single"/>
          <w:vertAlign w:val="superscript"/>
        </w:rPr>
        <w:t>3</w:t>
      </w:r>
      <w:r>
        <w:rPr>
          <w:rFonts w:hint="eastAsia"/>
          <w:color w:val="000000"/>
          <w:szCs w:val="21"/>
          <w:u w:val="single"/>
        </w:rPr>
        <w:t>/d。</w:t>
      </w:r>
    </w:p>
    <w:p>
      <w:pPr>
        <w:pStyle w:val="6"/>
        <w:rPr>
          <w:rFonts w:hint="eastAsia"/>
          <w:lang w:val="en-US" w:eastAsia="zh-CN"/>
        </w:rPr>
      </w:pPr>
      <w:r>
        <w:rPr>
          <w:rFonts w:hint="eastAsia"/>
          <w:lang w:val="en-US" w:eastAsia="zh-CN"/>
        </w:rPr>
        <w:t>（2）进出水水质</w:t>
      </w:r>
    </w:p>
    <w:p>
      <w:pPr>
        <w:rPr>
          <w:rFonts w:hint="eastAsia"/>
          <w:lang w:val="en-US" w:eastAsia="zh-CN"/>
        </w:rPr>
      </w:pPr>
      <w:r>
        <w:rPr>
          <w:rFonts w:hint="eastAsia" w:ascii="宋体" w:hAnsi="宋体" w:eastAsia="宋体" w:cs="宋体"/>
          <w:lang w:val="en-US" w:eastAsia="zh-CN"/>
        </w:rPr>
        <w:t>①</w:t>
      </w:r>
      <w:r>
        <w:rPr>
          <w:rFonts w:hint="eastAsia"/>
          <w:lang w:val="en-US" w:eastAsia="zh-CN"/>
        </w:rPr>
        <w:t xml:space="preserve"> 进水水质</w:t>
      </w:r>
    </w:p>
    <w:p>
      <w:pPr>
        <w:rPr>
          <w:rFonts w:hint="eastAsia"/>
          <w:color w:val="auto"/>
          <w:lang w:val="en-US" w:eastAsia="zh-CN"/>
        </w:rPr>
      </w:pPr>
      <w:r>
        <w:rPr>
          <w:rFonts w:hint="eastAsia"/>
          <w:lang w:val="en-US" w:eastAsia="zh-CN"/>
        </w:rPr>
        <w:t>重金属污水处理站：根据花垣工业集中区污水处理厂入河排污口论证报告可知，该污水处理厂进水考虑本项目重金属污水处理站废水，花垣县工业集中区重金属废水处理站进水水质要求第一类污染物排放执行《城镇污水处理厂污染物排放标准》（GB18918-2002），基本控制项目指标可适当放宽，执行《城镇污水处理厂污染物排放标准》（GB18918-2002）二级标准</w:t>
      </w:r>
      <w:r>
        <w:rPr>
          <w:rFonts w:hint="eastAsia"/>
          <w:color w:val="auto"/>
          <w:lang w:val="en-US" w:eastAsia="zh-CN"/>
        </w:rPr>
        <w:t>，总钒指标执行《钒工业污染物排放标准》（GB26452-2011）表2标准限值。</w:t>
      </w:r>
    </w:p>
    <w:p>
      <w:pPr>
        <w:pStyle w:val="6"/>
        <w:rPr>
          <w:rFonts w:hint="eastAsia"/>
          <w:lang w:val="en-US" w:eastAsia="zh-CN"/>
        </w:rPr>
      </w:pPr>
      <w:r>
        <w:rPr>
          <w:rFonts w:hint="eastAsia"/>
          <w:color w:val="auto"/>
          <w:lang w:val="en-US" w:eastAsia="zh-CN"/>
        </w:rPr>
        <w:t>其他废水：进水水质根据区域废水排放现状，结合企业</w:t>
      </w:r>
      <w:r>
        <w:rPr>
          <w:rFonts w:hint="eastAsia"/>
          <w:lang w:val="en-US" w:eastAsia="zh-CN"/>
        </w:rPr>
        <w:t>废水预处理水平以及《污水排入城镇下水道水质标准》（GB/T 31962-2015）、《污水综合排放标准》（GB8978-1996）三级标准的要求。</w:t>
      </w:r>
    </w:p>
    <w:p>
      <w:pPr>
        <w:tabs>
          <w:tab w:val="left" w:pos="909"/>
        </w:tabs>
        <w:spacing w:before="59"/>
        <w:ind w:left="0" w:right="12" w:firstLine="0"/>
        <w:jc w:val="center"/>
        <w:rPr>
          <w:rFonts w:hint="eastAsia" w:ascii="宋体" w:hAnsi="宋体" w:eastAsia="宋体" w:cs="宋体"/>
          <w:sz w:val="21"/>
          <w:szCs w:val="21"/>
          <w:lang w:eastAsia="zh-CN"/>
        </w:rPr>
      </w:pPr>
      <w:r>
        <w:rPr>
          <w:rFonts w:ascii="宋体" w:hAnsi="宋体" w:eastAsia="宋体" w:cs="宋体"/>
          <w:b/>
          <w:bCs/>
          <w:sz w:val="21"/>
          <w:szCs w:val="21"/>
        </w:rPr>
        <w:t>表</w:t>
      </w:r>
      <w:r>
        <w:rPr>
          <w:rFonts w:hint="eastAsia" w:ascii="宋体" w:hAnsi="宋体" w:eastAsia="宋体" w:cs="宋体"/>
          <w:b/>
          <w:bCs/>
          <w:sz w:val="21"/>
          <w:szCs w:val="21"/>
          <w:lang w:val="en-US" w:eastAsia="zh-CN"/>
        </w:rPr>
        <w:t xml:space="preserve"> </w:t>
      </w:r>
      <w:r>
        <w:rPr>
          <w:rFonts w:ascii="宋体" w:hAnsi="宋体" w:eastAsia="宋体" w:cs="宋体"/>
          <w:b/>
          <w:bCs/>
          <w:spacing w:val="-53"/>
          <w:sz w:val="21"/>
          <w:szCs w:val="21"/>
        </w:rPr>
        <w:t xml:space="preserve"> </w:t>
      </w:r>
      <w:r>
        <w:rPr>
          <w:rFonts w:hint="eastAsia" w:eastAsia="宋体" w:cs="Times New Roman"/>
          <w:b/>
          <w:bCs/>
          <w:sz w:val="21"/>
          <w:szCs w:val="21"/>
          <w:lang w:val="en-US" w:eastAsia="zh-CN"/>
        </w:rPr>
        <w:t>3</w:t>
      </w:r>
      <w:r>
        <w:rPr>
          <w:rFonts w:ascii="Times New Roman" w:hAnsi="Times New Roman" w:eastAsia="Times New Roman" w:cs="Times New Roman"/>
          <w:b/>
          <w:bCs/>
          <w:sz w:val="21"/>
          <w:szCs w:val="21"/>
        </w:rPr>
        <w:t>.</w:t>
      </w:r>
      <w:r>
        <w:rPr>
          <w:rFonts w:hint="eastAsia" w:eastAsia="宋体" w:cs="Times New Roman"/>
          <w:b/>
          <w:bCs/>
          <w:sz w:val="21"/>
          <w:szCs w:val="21"/>
          <w:lang w:val="en-US" w:eastAsia="zh-CN"/>
        </w:rPr>
        <w:t>2</w:t>
      </w:r>
      <w:r>
        <w:rPr>
          <w:rFonts w:ascii="Times New Roman" w:hAnsi="Times New Roman" w:eastAsia="Times New Roman" w:cs="Times New Roman"/>
          <w:b/>
          <w:bCs/>
          <w:sz w:val="21"/>
          <w:szCs w:val="21"/>
        </w:rPr>
        <w:t>-</w:t>
      </w:r>
      <w:r>
        <w:rPr>
          <w:rFonts w:hint="eastAsia" w:eastAsia="宋体" w:cs="Times New Roman"/>
          <w:b/>
          <w:bCs/>
          <w:sz w:val="21"/>
          <w:szCs w:val="21"/>
          <w:lang w:val="en-US" w:eastAsia="zh-CN"/>
        </w:rPr>
        <w:t>1</w:t>
      </w:r>
      <w:r>
        <w:rPr>
          <w:rFonts w:ascii="Times New Roman" w:hAnsi="Times New Roman" w:eastAsia="Times New Roman" w:cs="Times New Roman"/>
          <w:b/>
          <w:bCs/>
          <w:sz w:val="21"/>
          <w:szCs w:val="21"/>
        </w:rPr>
        <w:tab/>
      </w:r>
      <w:r>
        <w:rPr>
          <w:rFonts w:hint="eastAsia" w:eastAsia="宋体" w:cs="Times New Roman"/>
          <w:b/>
          <w:bCs/>
          <w:sz w:val="21"/>
          <w:szCs w:val="21"/>
          <w:lang w:eastAsia="zh-CN"/>
        </w:rPr>
        <w:t>花垣工业集中区污水处理厂</w:t>
      </w:r>
      <w:r>
        <w:rPr>
          <w:rFonts w:ascii="宋体" w:hAnsi="宋体" w:eastAsia="宋体" w:cs="宋体"/>
          <w:b/>
          <w:bCs/>
          <w:sz w:val="21"/>
          <w:szCs w:val="21"/>
        </w:rPr>
        <w:t>进水水质</w:t>
      </w:r>
      <w:r>
        <w:rPr>
          <w:rFonts w:hint="eastAsia" w:ascii="宋体" w:hAnsi="宋体" w:eastAsia="宋体" w:cs="宋体"/>
          <w:b/>
          <w:bCs/>
          <w:sz w:val="21"/>
          <w:szCs w:val="21"/>
          <w:lang w:eastAsia="zh-CN"/>
        </w:rPr>
        <w:t>控制标准</w:t>
      </w:r>
    </w:p>
    <w:tbl>
      <w:tblPr>
        <w:tblStyle w:val="37"/>
        <w:tblW w:w="8039"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Layout w:type="fixed"/>
        <w:tblCellMar>
          <w:top w:w="0" w:type="dxa"/>
          <w:left w:w="0" w:type="dxa"/>
          <w:bottom w:w="0" w:type="dxa"/>
          <w:right w:w="0" w:type="dxa"/>
        </w:tblCellMar>
      </w:tblPr>
      <w:tblGrid>
        <w:gridCol w:w="3470"/>
        <w:gridCol w:w="4569"/>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95" w:hRule="exact"/>
          <w:jc w:val="center"/>
        </w:trPr>
        <w:tc>
          <w:tcPr>
            <w:tcW w:w="3470" w:type="dxa"/>
            <w:tcBorders>
              <w:tl2br w:val="nil"/>
              <w:tr2bl w:val="nil"/>
            </w:tcBorders>
            <w:noWrap w:val="0"/>
            <w:vAlign w:val="top"/>
          </w:tcPr>
          <w:p>
            <w:pPr>
              <w:pStyle w:val="104"/>
              <w:spacing w:line="240" w:lineRule="exact"/>
              <w:ind w:right="1"/>
              <w:jc w:val="center"/>
              <w:rPr>
                <w:rFonts w:ascii="宋体" w:hAnsi="宋体" w:eastAsia="宋体" w:cs="宋体"/>
                <w:sz w:val="21"/>
                <w:szCs w:val="21"/>
              </w:rPr>
            </w:pPr>
            <w:r>
              <w:rPr>
                <w:rFonts w:ascii="宋体" w:hAnsi="宋体" w:eastAsia="宋体" w:cs="宋体"/>
                <w:b/>
                <w:bCs/>
                <w:sz w:val="21"/>
                <w:szCs w:val="21"/>
              </w:rPr>
              <w:t>污染因子</w:t>
            </w:r>
          </w:p>
        </w:tc>
        <w:tc>
          <w:tcPr>
            <w:tcW w:w="4569" w:type="dxa"/>
            <w:tcBorders>
              <w:tl2br w:val="nil"/>
              <w:tr2bl w:val="nil"/>
            </w:tcBorders>
            <w:noWrap w:val="0"/>
            <w:vAlign w:val="top"/>
          </w:tcPr>
          <w:p>
            <w:pPr>
              <w:pStyle w:val="104"/>
              <w:spacing w:line="256" w:lineRule="exact"/>
              <w:ind w:left="8" w:right="0"/>
              <w:jc w:val="center"/>
              <w:rPr>
                <w:rFonts w:ascii="宋体" w:hAnsi="宋体" w:eastAsia="宋体" w:cs="宋体"/>
                <w:sz w:val="21"/>
                <w:szCs w:val="21"/>
              </w:rPr>
            </w:pPr>
            <w:r>
              <w:rPr>
                <w:rFonts w:ascii="宋体" w:hAnsi="宋体" w:eastAsia="宋体" w:cs="宋体"/>
                <w:b/>
                <w:bCs/>
                <w:sz w:val="21"/>
                <w:szCs w:val="21"/>
              </w:rPr>
              <w:t>浓度（</w:t>
            </w:r>
            <w:r>
              <w:rPr>
                <w:rFonts w:ascii="Times New Roman" w:hAnsi="Times New Roman" w:eastAsia="Times New Roman" w:cs="Times New Roman"/>
                <w:b/>
                <w:bCs/>
                <w:sz w:val="21"/>
                <w:szCs w:val="21"/>
              </w:rPr>
              <w:t>mg/L</w:t>
            </w:r>
            <w:r>
              <w:rPr>
                <w:rFonts w:ascii="宋体" w:hAnsi="宋体" w:eastAsia="宋体" w:cs="宋体"/>
                <w:b/>
                <w:bCs/>
                <w:sz w:val="21"/>
                <w:szCs w:val="21"/>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57" w:hRule="exact"/>
          <w:jc w:val="center"/>
        </w:trPr>
        <w:tc>
          <w:tcPr>
            <w:tcW w:w="3470" w:type="dxa"/>
            <w:tcBorders>
              <w:tl2br w:val="nil"/>
              <w:tr2bl w:val="nil"/>
            </w:tcBorders>
            <w:noWrap w:val="0"/>
            <w:vAlign w:val="top"/>
          </w:tcPr>
          <w:p>
            <w:pPr>
              <w:pStyle w:val="104"/>
              <w:spacing w:line="240" w:lineRule="auto"/>
              <w:ind w:right="3"/>
              <w:jc w:val="center"/>
              <w:rPr>
                <w:rFonts w:ascii="Times New Roman" w:hAnsi="Times New Roman" w:eastAsia="Times New Roman" w:cs="Times New Roman"/>
                <w:sz w:val="21"/>
                <w:szCs w:val="21"/>
              </w:rPr>
            </w:pPr>
            <w:r>
              <w:rPr>
                <w:rFonts w:ascii="Times New Roman"/>
                <w:sz w:val="21"/>
              </w:rPr>
              <w:t>COD</w:t>
            </w:r>
          </w:p>
        </w:tc>
        <w:tc>
          <w:tcPr>
            <w:tcW w:w="4569" w:type="dxa"/>
            <w:tcBorders>
              <w:tl2br w:val="nil"/>
              <w:tr2bl w:val="nil"/>
            </w:tcBorders>
            <w:noWrap w:val="0"/>
            <w:vAlign w:val="top"/>
          </w:tcPr>
          <w:p>
            <w:pPr>
              <w:pStyle w:val="104"/>
              <w:spacing w:line="240" w:lineRule="auto"/>
              <w:ind w:left="4" w:right="0"/>
              <w:jc w:val="center"/>
              <w:rPr>
                <w:rFonts w:ascii="Times New Roman" w:hAnsi="Times New Roman" w:eastAsia="Times New Roman" w:cs="Times New Roman"/>
                <w:sz w:val="21"/>
                <w:szCs w:val="21"/>
              </w:rPr>
            </w:pPr>
            <w:r>
              <w:rPr>
                <w:rFonts w:ascii="Times New Roman"/>
                <w:sz w:val="21"/>
              </w:rPr>
              <w:t>500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56" w:hRule="exact"/>
          <w:jc w:val="center"/>
        </w:trPr>
        <w:tc>
          <w:tcPr>
            <w:tcW w:w="3470" w:type="dxa"/>
            <w:tcBorders>
              <w:tl2br w:val="nil"/>
              <w:tr2bl w:val="nil"/>
            </w:tcBorders>
            <w:noWrap w:val="0"/>
            <w:vAlign w:val="top"/>
          </w:tcPr>
          <w:p>
            <w:pPr>
              <w:pStyle w:val="104"/>
              <w:spacing w:line="242" w:lineRule="exact"/>
              <w:ind w:right="4"/>
              <w:jc w:val="center"/>
              <w:rPr>
                <w:rFonts w:ascii="Times New Roman" w:hAnsi="Times New Roman" w:eastAsia="Times New Roman" w:cs="Times New Roman"/>
                <w:sz w:val="13"/>
                <w:szCs w:val="13"/>
              </w:rPr>
            </w:pPr>
            <w:r>
              <w:rPr>
                <w:rFonts w:ascii="Times New Roman"/>
                <w:position w:val="2"/>
                <w:sz w:val="21"/>
              </w:rPr>
              <w:t>BOD</w:t>
            </w:r>
            <w:r>
              <w:rPr>
                <w:rFonts w:ascii="Times New Roman"/>
                <w:sz w:val="13"/>
              </w:rPr>
              <w:t>5</w:t>
            </w:r>
          </w:p>
        </w:tc>
        <w:tc>
          <w:tcPr>
            <w:tcW w:w="4569" w:type="dxa"/>
            <w:tcBorders>
              <w:tl2br w:val="nil"/>
              <w:tr2bl w:val="nil"/>
            </w:tcBorders>
            <w:noWrap w:val="0"/>
            <w:vAlign w:val="top"/>
          </w:tcPr>
          <w:p>
            <w:pPr>
              <w:pStyle w:val="104"/>
              <w:spacing w:line="241" w:lineRule="exact"/>
              <w:ind w:left="4" w:right="0"/>
              <w:jc w:val="center"/>
              <w:rPr>
                <w:rFonts w:ascii="Times New Roman" w:hAnsi="Times New Roman" w:eastAsia="Times New Roman" w:cs="Times New Roman"/>
                <w:sz w:val="21"/>
                <w:szCs w:val="21"/>
              </w:rPr>
            </w:pPr>
            <w:r>
              <w:rPr>
                <w:rFonts w:ascii="Times New Roman"/>
                <w:sz w:val="21"/>
              </w:rPr>
              <w:t>170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57" w:hRule="exact"/>
          <w:jc w:val="center"/>
        </w:trPr>
        <w:tc>
          <w:tcPr>
            <w:tcW w:w="3470" w:type="dxa"/>
            <w:tcBorders>
              <w:tl2br w:val="nil"/>
              <w:tr2bl w:val="nil"/>
            </w:tcBorders>
            <w:noWrap w:val="0"/>
            <w:vAlign w:val="top"/>
          </w:tcPr>
          <w:p>
            <w:pPr>
              <w:pStyle w:val="104"/>
              <w:spacing w:before="1" w:line="241" w:lineRule="exact"/>
              <w:ind w:right="7"/>
              <w:jc w:val="center"/>
              <w:rPr>
                <w:rFonts w:ascii="Times New Roman" w:hAnsi="Times New Roman" w:eastAsia="Times New Roman" w:cs="Times New Roman"/>
                <w:sz w:val="21"/>
                <w:szCs w:val="21"/>
              </w:rPr>
            </w:pPr>
            <w:r>
              <w:rPr>
                <w:rFonts w:ascii="Times New Roman"/>
                <w:sz w:val="21"/>
              </w:rPr>
              <w:t>SS</w:t>
            </w:r>
          </w:p>
        </w:tc>
        <w:tc>
          <w:tcPr>
            <w:tcW w:w="4569" w:type="dxa"/>
            <w:tcBorders>
              <w:tl2br w:val="nil"/>
              <w:tr2bl w:val="nil"/>
            </w:tcBorders>
            <w:noWrap w:val="0"/>
            <w:vAlign w:val="top"/>
          </w:tcPr>
          <w:p>
            <w:pPr>
              <w:pStyle w:val="104"/>
              <w:spacing w:before="1" w:line="241" w:lineRule="exact"/>
              <w:ind w:left="4" w:right="0"/>
              <w:jc w:val="center"/>
              <w:rPr>
                <w:rFonts w:ascii="Times New Roman" w:hAnsi="Times New Roman" w:eastAsia="Times New Roman" w:cs="Times New Roman"/>
                <w:sz w:val="21"/>
                <w:szCs w:val="21"/>
              </w:rPr>
            </w:pPr>
            <w:r>
              <w:rPr>
                <w:rFonts w:ascii="Times New Roman"/>
                <w:sz w:val="21"/>
              </w:rPr>
              <w:t>250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56" w:hRule="exact"/>
          <w:jc w:val="center"/>
        </w:trPr>
        <w:tc>
          <w:tcPr>
            <w:tcW w:w="3470" w:type="dxa"/>
            <w:tcBorders>
              <w:tl2br w:val="nil"/>
              <w:tr2bl w:val="nil"/>
            </w:tcBorders>
            <w:noWrap w:val="0"/>
            <w:vAlign w:val="top"/>
          </w:tcPr>
          <w:p>
            <w:pPr>
              <w:pStyle w:val="104"/>
              <w:spacing w:line="240" w:lineRule="exact"/>
              <w:ind w:right="3"/>
              <w:jc w:val="center"/>
              <w:rPr>
                <w:rFonts w:ascii="Times New Roman" w:hAnsi="Times New Roman" w:eastAsia="Times New Roman" w:cs="Times New Roman"/>
                <w:sz w:val="21"/>
                <w:szCs w:val="21"/>
              </w:rPr>
            </w:pPr>
            <w:r>
              <w:rPr>
                <w:rFonts w:ascii="Times New Roman"/>
                <w:sz w:val="21"/>
              </w:rPr>
              <w:t>NH</w:t>
            </w:r>
            <w:r>
              <w:rPr>
                <w:rFonts w:ascii="Times New Roman"/>
                <w:sz w:val="21"/>
                <w:vertAlign w:val="subscript"/>
              </w:rPr>
              <w:t>3</w:t>
            </w:r>
            <w:r>
              <w:rPr>
                <w:rFonts w:ascii="Times New Roman"/>
                <w:sz w:val="21"/>
              </w:rPr>
              <w:t>-N</w:t>
            </w:r>
          </w:p>
        </w:tc>
        <w:tc>
          <w:tcPr>
            <w:tcW w:w="4569" w:type="dxa"/>
            <w:tcBorders>
              <w:tl2br w:val="nil"/>
              <w:tr2bl w:val="nil"/>
            </w:tcBorders>
            <w:noWrap w:val="0"/>
            <w:vAlign w:val="top"/>
          </w:tcPr>
          <w:p>
            <w:pPr>
              <w:pStyle w:val="104"/>
              <w:spacing w:line="240" w:lineRule="exact"/>
              <w:ind w:left="9" w:right="0"/>
              <w:jc w:val="center"/>
              <w:rPr>
                <w:rFonts w:ascii="Times New Roman" w:hAnsi="Times New Roman" w:eastAsia="Times New Roman" w:cs="Times New Roman"/>
                <w:sz w:val="21"/>
                <w:szCs w:val="21"/>
              </w:rPr>
            </w:pPr>
            <w:r>
              <w:rPr>
                <w:rFonts w:ascii="Times New Roman"/>
                <w:sz w:val="21"/>
              </w:rPr>
              <w:t>40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57" w:hRule="exact"/>
          <w:jc w:val="center"/>
        </w:trPr>
        <w:tc>
          <w:tcPr>
            <w:tcW w:w="3470" w:type="dxa"/>
            <w:tcBorders>
              <w:tl2br w:val="nil"/>
              <w:tr2bl w:val="nil"/>
            </w:tcBorders>
            <w:noWrap w:val="0"/>
            <w:vAlign w:val="top"/>
          </w:tcPr>
          <w:p>
            <w:pPr>
              <w:pStyle w:val="104"/>
              <w:spacing w:line="241" w:lineRule="exact"/>
              <w:ind w:right="8"/>
              <w:jc w:val="center"/>
              <w:rPr>
                <w:rFonts w:ascii="Times New Roman" w:hAnsi="Times New Roman" w:eastAsia="Times New Roman" w:cs="Times New Roman"/>
                <w:sz w:val="21"/>
                <w:szCs w:val="21"/>
              </w:rPr>
            </w:pPr>
            <w:r>
              <w:rPr>
                <w:rFonts w:ascii="Times New Roman"/>
                <w:sz w:val="21"/>
              </w:rPr>
              <w:t>TN</w:t>
            </w:r>
          </w:p>
        </w:tc>
        <w:tc>
          <w:tcPr>
            <w:tcW w:w="4569" w:type="dxa"/>
            <w:tcBorders>
              <w:tl2br w:val="nil"/>
              <w:tr2bl w:val="nil"/>
            </w:tcBorders>
            <w:noWrap w:val="0"/>
            <w:vAlign w:val="top"/>
          </w:tcPr>
          <w:p>
            <w:pPr>
              <w:pStyle w:val="104"/>
              <w:spacing w:line="241" w:lineRule="exact"/>
              <w:ind w:left="9" w:right="0"/>
              <w:jc w:val="center"/>
              <w:rPr>
                <w:rFonts w:ascii="Times New Roman" w:hAnsi="Times New Roman" w:eastAsia="Times New Roman" w:cs="Times New Roman"/>
                <w:sz w:val="21"/>
                <w:szCs w:val="21"/>
              </w:rPr>
            </w:pPr>
            <w:r>
              <w:rPr>
                <w:rFonts w:ascii="Times New Roman"/>
                <w:sz w:val="21"/>
              </w:rPr>
              <w:t>50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61" w:hRule="exact"/>
          <w:jc w:val="center"/>
        </w:trPr>
        <w:tc>
          <w:tcPr>
            <w:tcW w:w="3470" w:type="dxa"/>
            <w:tcBorders>
              <w:tl2br w:val="nil"/>
              <w:tr2bl w:val="nil"/>
            </w:tcBorders>
            <w:noWrap w:val="0"/>
            <w:vAlign w:val="top"/>
          </w:tcPr>
          <w:p>
            <w:pPr>
              <w:pStyle w:val="104"/>
              <w:spacing w:line="240" w:lineRule="exact"/>
              <w:ind w:right="5"/>
              <w:jc w:val="center"/>
              <w:rPr>
                <w:rFonts w:ascii="Times New Roman" w:hAnsi="Times New Roman" w:eastAsia="Times New Roman" w:cs="Times New Roman"/>
                <w:sz w:val="21"/>
                <w:szCs w:val="21"/>
              </w:rPr>
            </w:pPr>
            <w:r>
              <w:rPr>
                <w:rFonts w:ascii="Times New Roman"/>
                <w:sz w:val="21"/>
              </w:rPr>
              <w:t>TP</w:t>
            </w:r>
          </w:p>
        </w:tc>
        <w:tc>
          <w:tcPr>
            <w:tcW w:w="4569" w:type="dxa"/>
            <w:tcBorders>
              <w:tl2br w:val="nil"/>
              <w:tr2bl w:val="nil"/>
            </w:tcBorders>
            <w:noWrap w:val="0"/>
            <w:vAlign w:val="top"/>
          </w:tcPr>
          <w:p>
            <w:pPr>
              <w:pStyle w:val="104"/>
              <w:spacing w:line="240" w:lineRule="exact"/>
              <w:ind w:left="4" w:right="0"/>
              <w:jc w:val="center"/>
              <w:rPr>
                <w:rFonts w:ascii="Times New Roman" w:hAnsi="Times New Roman" w:eastAsia="Times New Roman" w:cs="Times New Roman"/>
                <w:sz w:val="21"/>
                <w:szCs w:val="21"/>
              </w:rPr>
            </w:pPr>
            <w:r>
              <w:rPr>
                <w:rFonts w:ascii="Times New Roman"/>
                <w:w w:val="99"/>
                <w:sz w:val="21"/>
              </w:rPr>
              <w:t>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88" w:hRule="exact"/>
          <w:jc w:val="center"/>
        </w:trPr>
        <w:tc>
          <w:tcPr>
            <w:tcW w:w="3470" w:type="dxa"/>
            <w:tcBorders>
              <w:tl2br w:val="nil"/>
              <w:tr2bl w:val="nil"/>
            </w:tcBorders>
            <w:noWrap w:val="0"/>
            <w:vAlign w:val="top"/>
          </w:tcPr>
          <w:p>
            <w:pPr>
              <w:pStyle w:val="104"/>
              <w:spacing w:line="242" w:lineRule="exact"/>
              <w:ind w:right="8"/>
              <w:jc w:val="center"/>
              <w:rPr>
                <w:rFonts w:ascii="宋体" w:hAnsi="宋体" w:eastAsia="宋体" w:cs="宋体"/>
                <w:sz w:val="21"/>
                <w:szCs w:val="21"/>
              </w:rPr>
            </w:pPr>
            <w:r>
              <w:rPr>
                <w:rFonts w:ascii="宋体" w:hAnsi="宋体" w:eastAsia="宋体" w:cs="宋体"/>
                <w:sz w:val="21"/>
                <w:szCs w:val="21"/>
              </w:rPr>
              <w:t>全盐量</w:t>
            </w:r>
          </w:p>
        </w:tc>
        <w:tc>
          <w:tcPr>
            <w:tcW w:w="4569" w:type="dxa"/>
            <w:tcBorders>
              <w:tl2br w:val="nil"/>
              <w:tr2bl w:val="nil"/>
            </w:tcBorders>
            <w:noWrap w:val="0"/>
            <w:vAlign w:val="top"/>
          </w:tcPr>
          <w:p>
            <w:pPr>
              <w:pStyle w:val="104"/>
              <w:spacing w:before="16" w:line="240" w:lineRule="auto"/>
              <w:ind w:left="9" w:right="0"/>
              <w:jc w:val="center"/>
              <w:rPr>
                <w:rFonts w:ascii="Times New Roman" w:hAnsi="Times New Roman" w:eastAsia="Times New Roman" w:cs="Times New Roman"/>
                <w:sz w:val="21"/>
                <w:szCs w:val="21"/>
              </w:rPr>
            </w:pPr>
            <w:r>
              <w:rPr>
                <w:rFonts w:ascii="Times New Roman"/>
                <w:sz w:val="21"/>
              </w:rPr>
              <w:t>1000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87" w:hRule="exact"/>
          <w:jc w:val="center"/>
        </w:trPr>
        <w:tc>
          <w:tcPr>
            <w:tcW w:w="3470" w:type="dxa"/>
            <w:tcBorders>
              <w:tl2br w:val="nil"/>
              <w:tr2bl w:val="nil"/>
            </w:tcBorders>
            <w:noWrap w:val="0"/>
            <w:vAlign w:val="top"/>
          </w:tcPr>
          <w:p>
            <w:pPr>
              <w:pStyle w:val="104"/>
              <w:spacing w:line="240" w:lineRule="exact"/>
              <w:ind w:right="8"/>
              <w:jc w:val="center"/>
              <w:rPr>
                <w:rFonts w:ascii="宋体" w:hAnsi="宋体" w:eastAsia="宋体" w:cs="宋体"/>
                <w:sz w:val="21"/>
                <w:szCs w:val="21"/>
              </w:rPr>
            </w:pPr>
            <w:r>
              <w:rPr>
                <w:rFonts w:ascii="宋体" w:hAnsi="宋体" w:eastAsia="宋体" w:cs="宋体"/>
                <w:sz w:val="21"/>
                <w:szCs w:val="21"/>
              </w:rPr>
              <w:t>总锰</w:t>
            </w:r>
          </w:p>
        </w:tc>
        <w:tc>
          <w:tcPr>
            <w:tcW w:w="4569" w:type="dxa"/>
            <w:tcBorders>
              <w:tl2br w:val="nil"/>
              <w:tr2bl w:val="nil"/>
            </w:tcBorders>
            <w:noWrap w:val="0"/>
            <w:vAlign w:val="top"/>
          </w:tcPr>
          <w:p>
            <w:pPr>
              <w:pStyle w:val="104"/>
              <w:spacing w:before="14" w:line="240" w:lineRule="auto"/>
              <w:ind w:left="9" w:right="0"/>
              <w:jc w:val="center"/>
              <w:rPr>
                <w:rFonts w:ascii="Times New Roman" w:hAnsi="Times New Roman" w:eastAsia="Times New Roman" w:cs="Times New Roman"/>
                <w:sz w:val="21"/>
                <w:szCs w:val="21"/>
              </w:rPr>
            </w:pPr>
            <w:r>
              <w:rPr>
                <w:rFonts w:ascii="Times New Roman"/>
                <w:sz w:val="21"/>
              </w:rPr>
              <w:t>2.0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87" w:hRule="exact"/>
          <w:jc w:val="center"/>
        </w:trPr>
        <w:tc>
          <w:tcPr>
            <w:tcW w:w="3470" w:type="dxa"/>
            <w:tcBorders>
              <w:tl2br w:val="nil"/>
              <w:tr2bl w:val="nil"/>
            </w:tcBorders>
            <w:noWrap w:val="0"/>
            <w:vAlign w:val="top"/>
          </w:tcPr>
          <w:p>
            <w:pPr>
              <w:pStyle w:val="104"/>
              <w:spacing w:line="241" w:lineRule="exact"/>
              <w:ind w:right="8"/>
              <w:jc w:val="center"/>
              <w:rPr>
                <w:rFonts w:ascii="宋体" w:hAnsi="宋体" w:eastAsia="宋体" w:cs="宋体"/>
                <w:sz w:val="21"/>
                <w:szCs w:val="21"/>
              </w:rPr>
            </w:pPr>
            <w:r>
              <w:rPr>
                <w:rFonts w:ascii="宋体" w:hAnsi="宋体" w:eastAsia="宋体" w:cs="宋体"/>
                <w:sz w:val="21"/>
                <w:szCs w:val="21"/>
              </w:rPr>
              <w:t>总铬</w:t>
            </w:r>
          </w:p>
        </w:tc>
        <w:tc>
          <w:tcPr>
            <w:tcW w:w="4569" w:type="dxa"/>
            <w:tcBorders>
              <w:tl2br w:val="nil"/>
              <w:tr2bl w:val="nil"/>
            </w:tcBorders>
            <w:noWrap w:val="0"/>
            <w:vAlign w:val="top"/>
          </w:tcPr>
          <w:p>
            <w:pPr>
              <w:pStyle w:val="104"/>
              <w:spacing w:before="15" w:line="240" w:lineRule="auto"/>
              <w:ind w:left="9" w:right="0"/>
              <w:jc w:val="center"/>
              <w:rPr>
                <w:rFonts w:ascii="Times New Roman" w:hAnsi="Times New Roman" w:eastAsia="Times New Roman" w:cs="Times New Roman"/>
                <w:sz w:val="21"/>
                <w:szCs w:val="21"/>
              </w:rPr>
            </w:pPr>
            <w:r>
              <w:rPr>
                <w:rFonts w:ascii="Times New Roman"/>
                <w:sz w:val="21"/>
              </w:rPr>
              <w:t>0.1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88" w:hRule="exact"/>
          <w:jc w:val="center"/>
        </w:trPr>
        <w:tc>
          <w:tcPr>
            <w:tcW w:w="3470" w:type="dxa"/>
            <w:tcBorders>
              <w:tl2br w:val="nil"/>
              <w:tr2bl w:val="nil"/>
            </w:tcBorders>
            <w:noWrap w:val="0"/>
            <w:vAlign w:val="top"/>
          </w:tcPr>
          <w:p>
            <w:pPr>
              <w:pStyle w:val="104"/>
              <w:spacing w:line="242" w:lineRule="exact"/>
              <w:ind w:right="8"/>
              <w:jc w:val="center"/>
              <w:rPr>
                <w:rFonts w:ascii="宋体" w:hAnsi="宋体" w:eastAsia="宋体" w:cs="宋体"/>
                <w:sz w:val="21"/>
                <w:szCs w:val="21"/>
              </w:rPr>
            </w:pPr>
            <w:r>
              <w:rPr>
                <w:rFonts w:ascii="宋体" w:hAnsi="宋体" w:eastAsia="宋体" w:cs="宋体"/>
                <w:sz w:val="21"/>
                <w:szCs w:val="21"/>
              </w:rPr>
              <w:t>六价铬</w:t>
            </w:r>
          </w:p>
        </w:tc>
        <w:tc>
          <w:tcPr>
            <w:tcW w:w="4569" w:type="dxa"/>
            <w:tcBorders>
              <w:tl2br w:val="nil"/>
              <w:tr2bl w:val="nil"/>
            </w:tcBorders>
            <w:noWrap w:val="0"/>
            <w:vAlign w:val="top"/>
          </w:tcPr>
          <w:p>
            <w:pPr>
              <w:pStyle w:val="104"/>
              <w:spacing w:before="16" w:line="240" w:lineRule="auto"/>
              <w:ind w:left="9" w:right="0"/>
              <w:jc w:val="center"/>
              <w:rPr>
                <w:rFonts w:ascii="Times New Roman" w:hAnsi="Times New Roman" w:eastAsia="Times New Roman" w:cs="Times New Roman"/>
                <w:sz w:val="21"/>
                <w:szCs w:val="21"/>
              </w:rPr>
            </w:pPr>
            <w:r>
              <w:rPr>
                <w:rFonts w:ascii="Times New Roman"/>
                <w:sz w:val="21"/>
              </w:rPr>
              <w:t>0.05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87" w:hRule="exact"/>
          <w:jc w:val="center"/>
        </w:trPr>
        <w:tc>
          <w:tcPr>
            <w:tcW w:w="3470" w:type="dxa"/>
            <w:tcBorders>
              <w:tl2br w:val="nil"/>
              <w:tr2bl w:val="nil"/>
            </w:tcBorders>
            <w:noWrap w:val="0"/>
            <w:vAlign w:val="top"/>
          </w:tcPr>
          <w:p>
            <w:pPr>
              <w:pStyle w:val="104"/>
              <w:spacing w:line="239" w:lineRule="exact"/>
              <w:ind w:right="8"/>
              <w:jc w:val="center"/>
              <w:rPr>
                <w:rFonts w:ascii="宋体" w:hAnsi="宋体" w:eastAsia="宋体" w:cs="宋体"/>
                <w:sz w:val="21"/>
                <w:szCs w:val="21"/>
              </w:rPr>
            </w:pPr>
            <w:r>
              <w:rPr>
                <w:rFonts w:ascii="宋体" w:hAnsi="宋体" w:eastAsia="宋体" w:cs="宋体"/>
                <w:sz w:val="21"/>
                <w:szCs w:val="21"/>
              </w:rPr>
              <w:t>总铅</w:t>
            </w:r>
          </w:p>
        </w:tc>
        <w:tc>
          <w:tcPr>
            <w:tcW w:w="4569" w:type="dxa"/>
            <w:tcBorders>
              <w:tl2br w:val="nil"/>
              <w:tr2bl w:val="nil"/>
            </w:tcBorders>
            <w:noWrap w:val="0"/>
            <w:vAlign w:val="top"/>
          </w:tcPr>
          <w:p>
            <w:pPr>
              <w:pStyle w:val="104"/>
              <w:spacing w:before="13" w:line="240" w:lineRule="auto"/>
              <w:ind w:left="9" w:right="0"/>
              <w:jc w:val="center"/>
              <w:rPr>
                <w:rFonts w:ascii="Times New Roman" w:hAnsi="Times New Roman" w:eastAsia="Times New Roman" w:cs="Times New Roman"/>
                <w:sz w:val="21"/>
                <w:szCs w:val="21"/>
              </w:rPr>
            </w:pPr>
            <w:r>
              <w:rPr>
                <w:rFonts w:ascii="Times New Roman"/>
                <w:sz w:val="21"/>
              </w:rPr>
              <w:t>0.1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87" w:hRule="exact"/>
          <w:jc w:val="center"/>
        </w:trPr>
        <w:tc>
          <w:tcPr>
            <w:tcW w:w="3470" w:type="dxa"/>
            <w:tcBorders>
              <w:tl2br w:val="nil"/>
              <w:tr2bl w:val="nil"/>
            </w:tcBorders>
            <w:noWrap w:val="0"/>
            <w:vAlign w:val="top"/>
          </w:tcPr>
          <w:p>
            <w:pPr>
              <w:pStyle w:val="104"/>
              <w:spacing w:line="240" w:lineRule="exact"/>
              <w:ind w:right="8"/>
              <w:jc w:val="center"/>
              <w:rPr>
                <w:rFonts w:ascii="宋体" w:hAnsi="宋体" w:eastAsia="宋体" w:cs="宋体"/>
                <w:sz w:val="21"/>
                <w:szCs w:val="21"/>
              </w:rPr>
            </w:pPr>
            <w:r>
              <w:rPr>
                <w:rFonts w:ascii="宋体" w:hAnsi="宋体" w:eastAsia="宋体" w:cs="宋体"/>
                <w:sz w:val="21"/>
                <w:szCs w:val="21"/>
              </w:rPr>
              <w:t>总钒</w:t>
            </w:r>
          </w:p>
        </w:tc>
        <w:tc>
          <w:tcPr>
            <w:tcW w:w="4569" w:type="dxa"/>
            <w:tcBorders>
              <w:tl2br w:val="nil"/>
              <w:tr2bl w:val="nil"/>
            </w:tcBorders>
            <w:noWrap w:val="0"/>
            <w:vAlign w:val="top"/>
          </w:tcPr>
          <w:p>
            <w:pPr>
              <w:pStyle w:val="104"/>
              <w:spacing w:before="14" w:line="240" w:lineRule="auto"/>
              <w:ind w:left="9" w:right="0"/>
              <w:jc w:val="center"/>
              <w:rPr>
                <w:rFonts w:hint="default" w:ascii="Times New Roman" w:hAnsi="Times New Roman" w:eastAsia="宋体" w:cs="Times New Roman"/>
                <w:sz w:val="21"/>
                <w:szCs w:val="21"/>
                <w:lang w:val="en-US" w:eastAsia="zh-CN"/>
              </w:rPr>
            </w:pPr>
            <w:r>
              <w:rPr>
                <w:rFonts w:hint="eastAsia" w:ascii="Times New Roman" w:eastAsia="宋体"/>
                <w:color w:val="auto"/>
                <w:sz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0" w:type="dxa"/>
            <w:bottom w:w="0" w:type="dxa"/>
            <w:right w:w="0" w:type="dxa"/>
          </w:tblCellMar>
        </w:tblPrEx>
        <w:trPr>
          <w:trHeight w:val="295" w:hRule="exact"/>
          <w:jc w:val="center"/>
        </w:trPr>
        <w:tc>
          <w:tcPr>
            <w:tcW w:w="3470" w:type="dxa"/>
            <w:tcBorders>
              <w:tl2br w:val="nil"/>
              <w:tr2bl w:val="nil"/>
            </w:tcBorders>
            <w:noWrap w:val="0"/>
            <w:vAlign w:val="top"/>
          </w:tcPr>
          <w:p>
            <w:pPr>
              <w:pStyle w:val="104"/>
              <w:spacing w:line="241" w:lineRule="exact"/>
              <w:ind w:right="5"/>
              <w:jc w:val="center"/>
              <w:rPr>
                <w:rFonts w:ascii="宋体" w:hAnsi="宋体" w:eastAsia="宋体" w:cs="宋体"/>
                <w:sz w:val="21"/>
                <w:szCs w:val="21"/>
              </w:rPr>
            </w:pPr>
            <w:r>
              <w:rPr>
                <w:rFonts w:ascii="宋体" w:hAnsi="宋体" w:eastAsia="宋体" w:cs="宋体"/>
                <w:sz w:val="21"/>
                <w:szCs w:val="21"/>
              </w:rPr>
              <w:t>锌</w:t>
            </w:r>
          </w:p>
        </w:tc>
        <w:tc>
          <w:tcPr>
            <w:tcW w:w="4569" w:type="dxa"/>
            <w:tcBorders>
              <w:tl2br w:val="nil"/>
              <w:tr2bl w:val="nil"/>
            </w:tcBorders>
            <w:noWrap w:val="0"/>
            <w:vAlign w:val="top"/>
          </w:tcPr>
          <w:p>
            <w:pPr>
              <w:pStyle w:val="104"/>
              <w:spacing w:before="15" w:line="240" w:lineRule="auto"/>
              <w:ind w:left="9" w:right="0"/>
              <w:jc w:val="center"/>
              <w:rPr>
                <w:rFonts w:ascii="Times New Roman" w:hAnsi="Times New Roman" w:eastAsia="Times New Roman" w:cs="Times New Roman"/>
                <w:sz w:val="21"/>
                <w:szCs w:val="21"/>
              </w:rPr>
            </w:pPr>
            <w:r>
              <w:rPr>
                <w:rFonts w:ascii="Times New Roman"/>
                <w:sz w:val="21"/>
              </w:rPr>
              <w:t>1.0</w:t>
            </w:r>
          </w:p>
        </w:tc>
      </w:tr>
    </w:tbl>
    <w:p>
      <w:pPr>
        <w:widowControl w:val="0"/>
        <w:suppressAutoHyphens/>
        <w:wordWrap w:val="0"/>
        <w:topLinePunct/>
        <w:ind w:firstLine="48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②出水水质 </w:t>
      </w:r>
    </w:p>
    <w:p>
      <w:pPr>
        <w:widowControl w:val="0"/>
        <w:suppressAutoHyphens/>
        <w:wordWrap w:val="0"/>
        <w:topLinePunct/>
        <w:ind w:firstLine="480"/>
        <w:rPr>
          <w:rFonts w:hint="eastAsia" w:ascii="Times New Roman" w:hAnsi="Times New Roman" w:eastAsia="宋体" w:cs="Times New Roman"/>
        </w:rPr>
      </w:pPr>
      <w:r>
        <w:rPr>
          <w:rFonts w:hint="eastAsia" w:ascii="Times New Roman" w:hAnsi="Times New Roman" w:eastAsia="宋体" w:cs="Times New Roman"/>
          <w:lang w:eastAsia="zh-CN"/>
        </w:rPr>
        <w:t>根据花垣</w:t>
      </w:r>
      <w:r>
        <w:rPr>
          <w:rFonts w:hint="eastAsia" w:eastAsia="宋体" w:cs="Times New Roman"/>
          <w:lang w:eastAsia="zh-CN"/>
        </w:rPr>
        <w:t>县工业</w:t>
      </w:r>
      <w:r>
        <w:rPr>
          <w:rFonts w:hint="eastAsia" w:ascii="Times New Roman" w:hAnsi="Times New Roman" w:eastAsia="宋体" w:cs="Times New Roman"/>
          <w:lang w:eastAsia="zh-CN"/>
        </w:rPr>
        <w:t>集中区污水处理厂环境影响评价报告</w:t>
      </w:r>
      <w:r>
        <w:rPr>
          <w:rFonts w:hint="eastAsia" w:eastAsia="宋体" w:cs="Times New Roman"/>
          <w:lang w:eastAsia="zh-CN"/>
        </w:rPr>
        <w:t>可知，其环评批复的尾水排放标准为《城市污水处理厂污染物排放标准》（GB18918-2002）一级标准的</w:t>
      </w:r>
      <w:r>
        <w:rPr>
          <w:rFonts w:hint="eastAsia" w:eastAsia="宋体" w:cs="Times New Roman"/>
          <w:lang w:val="en-US" w:eastAsia="zh-CN"/>
        </w:rPr>
        <w:t>B</w:t>
      </w:r>
      <w:r>
        <w:rPr>
          <w:rFonts w:hint="eastAsia" w:eastAsia="宋体" w:cs="Times New Roman"/>
          <w:lang w:eastAsia="zh-CN"/>
        </w:rPr>
        <w:t>标准，由于污水处理厂环评编制时间较早，根据</w:t>
      </w:r>
      <w:r>
        <w:rPr>
          <w:rFonts w:hint="eastAsia" w:eastAsia="宋体" w:cs="Times New Roman"/>
          <w:lang w:val="en-US" w:eastAsia="zh-CN"/>
        </w:rPr>
        <w:t>最新的污水处理厂</w:t>
      </w:r>
      <w:r>
        <w:rPr>
          <w:rFonts w:hint="eastAsia" w:ascii="Times New Roman" w:hAnsi="Times New Roman" w:eastAsia="宋体" w:cs="Times New Roman"/>
          <w:lang w:val="en-US" w:eastAsia="zh-CN"/>
        </w:rPr>
        <w:t>入河排污口报告</w:t>
      </w:r>
      <w:r>
        <w:rPr>
          <w:rFonts w:hint="eastAsia" w:ascii="Times New Roman" w:hAnsi="Times New Roman" w:eastAsia="宋体" w:cs="Times New Roman"/>
          <w:lang w:eastAsia="zh-CN"/>
        </w:rPr>
        <w:t>可知，花垣县工业集中区</w:t>
      </w:r>
      <w:r>
        <w:rPr>
          <w:rFonts w:hint="eastAsia" w:ascii="Times New Roman" w:hAnsi="Times New Roman" w:eastAsia="宋体" w:cs="Times New Roman"/>
        </w:rPr>
        <w:t>污水处理厂出水标准执行国家《城市污水处理厂污染物排放标准》（GB18918-2002）一级标准的A标准。</w:t>
      </w:r>
      <w:r>
        <w:rPr>
          <w:rFonts w:hint="eastAsia" w:eastAsia="宋体" w:cs="Times New Roman"/>
          <w:lang w:eastAsia="zh-CN"/>
        </w:rPr>
        <w:t>本次环评按照最新的排放标准要求进行分析，</w:t>
      </w:r>
      <w:r>
        <w:rPr>
          <w:rFonts w:hint="eastAsia" w:ascii="Times New Roman" w:hAnsi="Times New Roman" w:eastAsia="宋体" w:cs="Times New Roman"/>
        </w:rPr>
        <w:t>详见下表：</w:t>
      </w:r>
    </w:p>
    <w:p>
      <w:pPr>
        <w:tabs>
          <w:tab w:val="left" w:pos="909"/>
        </w:tabs>
        <w:spacing w:before="59"/>
        <w:ind w:left="0" w:right="12" w:firstLine="0"/>
        <w:jc w:val="center"/>
        <w:rPr>
          <w:rFonts w:hint="default"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 xml:space="preserve">表 </w:t>
      </w:r>
      <w:r>
        <w:rPr>
          <w:rFonts w:hint="eastAsia" w:eastAsia="宋体" w:cs="Times New Roman"/>
          <w:b/>
          <w:bCs/>
          <w:sz w:val="21"/>
          <w:szCs w:val="21"/>
          <w:u w:val="single"/>
          <w:lang w:val="en-US" w:eastAsia="zh-CN"/>
        </w:rPr>
        <w:t>3</w:t>
      </w:r>
      <w:r>
        <w:rPr>
          <w:rFonts w:hint="default" w:ascii="Times New Roman" w:hAnsi="Times New Roman" w:eastAsia="宋体" w:cs="Times New Roman"/>
          <w:b/>
          <w:bCs/>
          <w:sz w:val="21"/>
          <w:szCs w:val="21"/>
          <w:u w:val="single"/>
        </w:rPr>
        <w:t>.</w:t>
      </w:r>
      <w:r>
        <w:rPr>
          <w:rFonts w:hint="eastAsia" w:eastAsia="宋体" w:cs="Times New Roman"/>
          <w:b/>
          <w:bCs/>
          <w:sz w:val="21"/>
          <w:szCs w:val="21"/>
          <w:u w:val="single"/>
          <w:lang w:val="en-US" w:eastAsia="zh-CN"/>
        </w:rPr>
        <w:t>2</w:t>
      </w:r>
      <w:r>
        <w:rPr>
          <w:rFonts w:hint="default" w:ascii="Times New Roman" w:hAnsi="Times New Roman" w:eastAsia="宋体" w:cs="Times New Roman"/>
          <w:b/>
          <w:bCs/>
          <w:sz w:val="21"/>
          <w:szCs w:val="21"/>
          <w:u w:val="single"/>
        </w:rPr>
        <w:t>-</w:t>
      </w:r>
      <w:r>
        <w:rPr>
          <w:rFonts w:hint="eastAsia" w:eastAsia="宋体" w:cs="Times New Roman"/>
          <w:b/>
          <w:bCs/>
          <w:sz w:val="21"/>
          <w:szCs w:val="21"/>
          <w:u w:val="single"/>
          <w:lang w:val="en-US" w:eastAsia="zh-CN"/>
        </w:rPr>
        <w:t>2</w:t>
      </w:r>
      <w:r>
        <w:rPr>
          <w:rFonts w:hint="default" w:ascii="Times New Roman" w:hAnsi="Times New Roman" w:eastAsia="宋体" w:cs="Times New Roman"/>
          <w:b/>
          <w:bCs/>
          <w:sz w:val="21"/>
          <w:szCs w:val="21"/>
          <w:u w:val="single"/>
        </w:rPr>
        <w:tab/>
      </w:r>
      <w:r>
        <w:rPr>
          <w:rFonts w:hint="default" w:ascii="Times New Roman" w:hAnsi="Times New Roman" w:eastAsia="宋体" w:cs="Times New Roman"/>
          <w:b/>
          <w:bCs/>
          <w:sz w:val="21"/>
          <w:szCs w:val="21"/>
          <w:u w:val="single"/>
        </w:rPr>
        <w:t>设计进、出水质及处理程度表（单位：mg/L）</w:t>
      </w:r>
    </w:p>
    <w:tbl>
      <w:tblPr>
        <w:tblStyle w:val="37"/>
        <w:tblW w:w="8593"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Layout w:type="fixed"/>
        <w:tblCellMar>
          <w:top w:w="0" w:type="dxa"/>
          <w:left w:w="0" w:type="dxa"/>
          <w:bottom w:w="0" w:type="dxa"/>
          <w:right w:w="0" w:type="dxa"/>
        </w:tblCellMar>
      </w:tblPr>
      <w:tblGrid>
        <w:gridCol w:w="1005"/>
        <w:gridCol w:w="821"/>
        <w:gridCol w:w="756"/>
        <w:gridCol w:w="646"/>
        <w:gridCol w:w="912"/>
        <w:gridCol w:w="646"/>
        <w:gridCol w:w="502"/>
        <w:gridCol w:w="661"/>
        <w:gridCol w:w="661"/>
        <w:gridCol w:w="661"/>
        <w:gridCol w:w="661"/>
        <w:gridCol w:w="66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0" w:type="dxa"/>
            <w:bottom w:w="0" w:type="dxa"/>
            <w:right w:w="0" w:type="dxa"/>
          </w:tblCellMar>
        </w:tblPrEx>
        <w:trPr>
          <w:trHeight w:val="303" w:hRule="exact"/>
          <w:jc w:val="center"/>
        </w:trPr>
        <w:tc>
          <w:tcPr>
            <w:tcW w:w="1005"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line="241" w:lineRule="exact"/>
              <w:ind w:right="0"/>
              <w:jc w:val="center"/>
              <w:textAlignment w:val="auto"/>
              <w:rPr>
                <w:rFonts w:ascii="宋体" w:hAnsi="宋体" w:eastAsia="宋体" w:cs="宋体"/>
                <w:sz w:val="21"/>
                <w:szCs w:val="21"/>
                <w:u w:val="single"/>
              </w:rPr>
            </w:pPr>
            <w:r>
              <w:rPr>
                <w:rFonts w:ascii="宋体" w:hAnsi="宋体" w:eastAsia="宋体" w:cs="宋体"/>
                <w:b/>
                <w:bCs/>
                <w:sz w:val="21"/>
                <w:szCs w:val="21"/>
                <w:u w:val="single"/>
              </w:rPr>
              <w:t>水质指标</w:t>
            </w:r>
          </w:p>
        </w:tc>
        <w:tc>
          <w:tcPr>
            <w:tcW w:w="82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2" w:line="240" w:lineRule="auto"/>
              <w:ind w:right="0"/>
              <w:jc w:val="center"/>
              <w:textAlignment w:val="auto"/>
              <w:rPr>
                <w:rFonts w:ascii="Times New Roman" w:hAnsi="Times New Roman" w:eastAsia="Times New Roman" w:cs="Times New Roman"/>
                <w:sz w:val="13"/>
                <w:szCs w:val="13"/>
                <w:u w:val="single"/>
              </w:rPr>
            </w:pPr>
            <w:r>
              <w:rPr>
                <w:rFonts w:ascii="Times New Roman"/>
                <w:b/>
                <w:position w:val="2"/>
                <w:sz w:val="21"/>
                <w:u w:val="single"/>
              </w:rPr>
              <w:t>BOD</w:t>
            </w:r>
            <w:r>
              <w:rPr>
                <w:rFonts w:ascii="Times New Roman"/>
                <w:b/>
                <w:sz w:val="13"/>
                <w:u w:val="single"/>
              </w:rPr>
              <w:t>5</w:t>
            </w:r>
          </w:p>
        </w:tc>
        <w:tc>
          <w:tcPr>
            <w:tcW w:w="75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b/>
                <w:sz w:val="21"/>
                <w:u w:val="single"/>
              </w:rPr>
              <w:t>COD</w:t>
            </w:r>
          </w:p>
        </w:tc>
        <w:tc>
          <w:tcPr>
            <w:tcW w:w="64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b/>
                <w:sz w:val="21"/>
                <w:u w:val="single"/>
              </w:rPr>
              <w:t>SS</w:t>
            </w:r>
          </w:p>
        </w:tc>
        <w:tc>
          <w:tcPr>
            <w:tcW w:w="912"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2" w:line="240" w:lineRule="auto"/>
              <w:ind w:right="0"/>
              <w:jc w:val="center"/>
              <w:textAlignment w:val="auto"/>
              <w:rPr>
                <w:rFonts w:ascii="Times New Roman" w:hAnsi="Times New Roman" w:eastAsia="Times New Roman" w:cs="Times New Roman"/>
                <w:sz w:val="21"/>
                <w:szCs w:val="21"/>
                <w:u w:val="single"/>
              </w:rPr>
            </w:pPr>
            <w:r>
              <w:rPr>
                <w:rFonts w:ascii="Times New Roman"/>
                <w:b/>
                <w:position w:val="2"/>
                <w:sz w:val="21"/>
                <w:u w:val="single"/>
              </w:rPr>
              <w:t>NH</w:t>
            </w:r>
            <w:r>
              <w:rPr>
                <w:rFonts w:ascii="Times New Roman"/>
                <w:b/>
                <w:sz w:val="13"/>
                <w:u w:val="single"/>
              </w:rPr>
              <w:t>3</w:t>
            </w:r>
            <w:r>
              <w:rPr>
                <w:rFonts w:ascii="Times New Roman"/>
                <w:b/>
                <w:position w:val="2"/>
                <w:sz w:val="21"/>
                <w:u w:val="single"/>
              </w:rPr>
              <w:t>-N</w:t>
            </w:r>
          </w:p>
        </w:tc>
        <w:tc>
          <w:tcPr>
            <w:tcW w:w="64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1"/>
              <w:jc w:val="center"/>
              <w:textAlignment w:val="auto"/>
              <w:rPr>
                <w:rFonts w:ascii="Times New Roman" w:hAnsi="Times New Roman" w:eastAsia="Times New Roman" w:cs="Times New Roman"/>
                <w:sz w:val="21"/>
                <w:szCs w:val="21"/>
                <w:u w:val="single"/>
              </w:rPr>
            </w:pPr>
            <w:r>
              <w:rPr>
                <w:rFonts w:ascii="Times New Roman"/>
                <w:b/>
                <w:sz w:val="21"/>
                <w:u w:val="single"/>
              </w:rPr>
              <w:t>TN</w:t>
            </w:r>
          </w:p>
        </w:tc>
        <w:tc>
          <w:tcPr>
            <w:tcW w:w="502"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b/>
                <w:sz w:val="21"/>
                <w:u w:val="single"/>
              </w:rPr>
              <w:t>TP</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line="241" w:lineRule="exact"/>
              <w:ind w:right="0"/>
              <w:jc w:val="center"/>
              <w:textAlignment w:val="auto"/>
              <w:rPr>
                <w:rFonts w:ascii="宋体" w:hAnsi="宋体" w:eastAsia="宋体" w:cs="宋体"/>
                <w:sz w:val="21"/>
                <w:szCs w:val="21"/>
                <w:u w:val="single"/>
              </w:rPr>
            </w:pPr>
            <w:r>
              <w:rPr>
                <w:rFonts w:ascii="宋体" w:hAnsi="宋体" w:eastAsia="宋体" w:cs="宋体"/>
                <w:b/>
                <w:bCs/>
                <w:sz w:val="21"/>
                <w:szCs w:val="21"/>
                <w:u w:val="single"/>
              </w:rPr>
              <w:t>总锰</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line="241" w:lineRule="exact"/>
              <w:ind w:right="0"/>
              <w:jc w:val="center"/>
              <w:textAlignment w:val="auto"/>
              <w:rPr>
                <w:rFonts w:ascii="宋体" w:hAnsi="宋体" w:eastAsia="宋体" w:cs="宋体"/>
                <w:b/>
                <w:bCs/>
                <w:sz w:val="21"/>
                <w:szCs w:val="21"/>
                <w:u w:val="single"/>
              </w:rPr>
            </w:pPr>
            <w:r>
              <w:rPr>
                <w:rFonts w:ascii="宋体" w:hAnsi="宋体" w:eastAsia="宋体" w:cs="宋体"/>
                <w:b/>
                <w:bCs/>
                <w:w w:val="95"/>
                <w:sz w:val="21"/>
                <w:szCs w:val="21"/>
                <w:u w:val="single"/>
              </w:rPr>
              <w:t>Cr</w:t>
            </w:r>
            <w:r>
              <w:rPr>
                <w:rFonts w:ascii="宋体" w:hAnsi="宋体" w:eastAsia="宋体" w:cs="宋体"/>
                <w:b/>
                <w:bCs/>
                <w:w w:val="95"/>
                <w:sz w:val="21"/>
                <w:szCs w:val="21"/>
                <w:u w:val="single"/>
                <w:vertAlign w:val="superscript"/>
              </w:rPr>
              <w:t>6+</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line="241" w:lineRule="exact"/>
              <w:ind w:right="0"/>
              <w:jc w:val="center"/>
              <w:textAlignment w:val="auto"/>
              <w:rPr>
                <w:rFonts w:ascii="宋体" w:hAnsi="宋体" w:eastAsia="宋体" w:cs="宋体"/>
                <w:b/>
                <w:bCs/>
                <w:sz w:val="21"/>
                <w:szCs w:val="21"/>
                <w:u w:val="single"/>
              </w:rPr>
            </w:pPr>
            <w:r>
              <w:rPr>
                <w:rFonts w:hint="eastAsia" w:ascii="宋体" w:hAnsi="宋体" w:eastAsia="宋体" w:cs="宋体"/>
                <w:b/>
                <w:bCs/>
                <w:w w:val="95"/>
                <w:sz w:val="21"/>
                <w:szCs w:val="21"/>
                <w:u w:val="single"/>
              </w:rPr>
              <w:t>Zn</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line="241" w:lineRule="exact"/>
              <w:ind w:right="0"/>
              <w:jc w:val="center"/>
              <w:textAlignment w:val="auto"/>
              <w:rPr>
                <w:rFonts w:ascii="宋体" w:hAnsi="宋体" w:eastAsia="宋体" w:cs="宋体"/>
                <w:b/>
                <w:bCs/>
                <w:sz w:val="21"/>
                <w:szCs w:val="21"/>
                <w:u w:val="single"/>
              </w:rPr>
            </w:pPr>
            <w:r>
              <w:rPr>
                <w:rFonts w:ascii="宋体" w:hAnsi="宋体" w:eastAsia="宋体" w:cs="宋体"/>
                <w:b/>
                <w:bCs/>
                <w:w w:val="95"/>
                <w:sz w:val="21"/>
                <w:szCs w:val="21"/>
                <w:u w:val="single"/>
              </w:rPr>
              <w:t>Pb</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line="241" w:lineRule="exact"/>
              <w:ind w:right="0"/>
              <w:jc w:val="center"/>
              <w:textAlignment w:val="auto"/>
              <w:rPr>
                <w:rFonts w:hint="default" w:ascii="宋体" w:hAnsi="宋体" w:eastAsia="宋体" w:cs="宋体"/>
                <w:b/>
                <w:bCs/>
                <w:w w:val="95"/>
                <w:sz w:val="21"/>
                <w:szCs w:val="21"/>
                <w:u w:val="single"/>
                <w:lang w:val="en-US" w:eastAsia="zh-CN"/>
              </w:rPr>
            </w:pPr>
            <w:r>
              <w:rPr>
                <w:rFonts w:ascii="宋体" w:hAnsi="宋体" w:eastAsia="宋体" w:cs="宋体"/>
                <w:b/>
                <w:bCs/>
                <w:sz w:val="21"/>
                <w:szCs w:val="21"/>
                <w:u w:val="single"/>
              </w:rPr>
              <w:t>总钒</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0" w:type="dxa"/>
            <w:bottom w:w="0" w:type="dxa"/>
            <w:right w:w="0" w:type="dxa"/>
          </w:tblCellMar>
        </w:tblPrEx>
        <w:trPr>
          <w:trHeight w:val="374" w:hRule="exact"/>
          <w:jc w:val="center"/>
        </w:trPr>
        <w:tc>
          <w:tcPr>
            <w:tcW w:w="1005" w:type="dxa"/>
            <w:tcBorders>
              <w:tl2br w:val="nil"/>
              <w:tr2bl w:val="nil"/>
            </w:tcBorders>
            <w:noWrap w:val="0"/>
            <w:vAlign w:val="center"/>
          </w:tcPr>
          <w:p>
            <w:pPr>
              <w:pStyle w:val="104"/>
              <w:keepNext w:val="0"/>
              <w:keepLines w:val="0"/>
              <w:pageBreakBefore w:val="0"/>
              <w:widowControl/>
              <w:tabs>
                <w:tab w:val="left" w:pos="832"/>
              </w:tabs>
              <w:kinsoku/>
              <w:wordWrap w:val="0"/>
              <w:overflowPunct/>
              <w:topLinePunct w:val="0"/>
              <w:autoSpaceDE w:val="0"/>
              <w:autoSpaceDN w:val="0"/>
              <w:bidi w:val="0"/>
              <w:adjustRightInd/>
              <w:snapToGrid/>
              <w:spacing w:line="241" w:lineRule="exact"/>
              <w:ind w:right="0"/>
              <w:jc w:val="center"/>
              <w:textAlignment w:val="auto"/>
              <w:rPr>
                <w:rFonts w:ascii="宋体" w:hAnsi="宋体" w:eastAsia="宋体" w:cs="宋体"/>
                <w:sz w:val="21"/>
                <w:szCs w:val="21"/>
                <w:u w:val="single"/>
              </w:rPr>
            </w:pPr>
            <w:r>
              <w:rPr>
                <w:rFonts w:ascii="宋体" w:hAnsi="宋体" w:eastAsia="宋体" w:cs="宋体"/>
                <w:w w:val="95"/>
                <w:sz w:val="21"/>
                <w:szCs w:val="21"/>
                <w:u w:val="single"/>
              </w:rPr>
              <w:t>进</w:t>
            </w:r>
            <w:r>
              <w:rPr>
                <w:rFonts w:ascii="宋体" w:hAnsi="宋体" w:eastAsia="宋体" w:cs="宋体"/>
                <w:sz w:val="21"/>
                <w:szCs w:val="21"/>
                <w:u w:val="single"/>
              </w:rPr>
              <w:t>水</w:t>
            </w:r>
          </w:p>
        </w:tc>
        <w:tc>
          <w:tcPr>
            <w:tcW w:w="82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sz w:val="21"/>
                <w:u w:val="single"/>
              </w:rPr>
              <w:t>170</w:t>
            </w:r>
          </w:p>
        </w:tc>
        <w:tc>
          <w:tcPr>
            <w:tcW w:w="75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sz w:val="21"/>
                <w:u w:val="single"/>
              </w:rPr>
              <w:t>500</w:t>
            </w:r>
          </w:p>
        </w:tc>
        <w:tc>
          <w:tcPr>
            <w:tcW w:w="64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sz w:val="21"/>
                <w:u w:val="single"/>
              </w:rPr>
              <w:t>250</w:t>
            </w:r>
          </w:p>
        </w:tc>
        <w:tc>
          <w:tcPr>
            <w:tcW w:w="912"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sz w:val="21"/>
                <w:u w:val="single"/>
              </w:rPr>
              <w:t>40</w:t>
            </w:r>
          </w:p>
        </w:tc>
        <w:tc>
          <w:tcPr>
            <w:tcW w:w="64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sz w:val="21"/>
                <w:u w:val="single"/>
              </w:rPr>
              <w:t>50</w:t>
            </w:r>
          </w:p>
        </w:tc>
        <w:tc>
          <w:tcPr>
            <w:tcW w:w="502"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w w:val="99"/>
                <w:sz w:val="21"/>
                <w:u w:val="single"/>
              </w:rPr>
              <w:t>3</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w w:val="99"/>
                <w:sz w:val="21"/>
                <w:u w:val="single"/>
              </w:rPr>
              <w:t>2</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hint="default" w:ascii="Times New Roman" w:eastAsia="宋体"/>
                <w:w w:val="99"/>
                <w:sz w:val="21"/>
                <w:u w:val="single"/>
                <w:lang w:val="en-US" w:eastAsia="zh-CN"/>
              </w:rPr>
            </w:pPr>
            <w:r>
              <w:rPr>
                <w:rFonts w:hint="eastAsia" w:ascii="Times New Roman"/>
                <w:w w:val="99"/>
                <w:sz w:val="21"/>
                <w:u w:val="single"/>
                <w:lang w:val="en-US" w:eastAsia="zh-CN"/>
              </w:rPr>
              <w:t>0.05</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w w:val="99"/>
                <w:sz w:val="21"/>
                <w:u w:val="single"/>
              </w:rPr>
            </w:pPr>
            <w:r>
              <w:rPr>
                <w:rFonts w:ascii="Times New Roman"/>
                <w:sz w:val="21"/>
                <w:u w:val="single"/>
              </w:rPr>
              <w:t>1.0</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hint="default" w:ascii="Times New Roman" w:eastAsia="宋体"/>
                <w:w w:val="99"/>
                <w:sz w:val="21"/>
                <w:u w:val="single"/>
                <w:lang w:val="en-US" w:eastAsia="zh-CN"/>
              </w:rPr>
            </w:pPr>
            <w:r>
              <w:rPr>
                <w:rFonts w:hint="eastAsia" w:ascii="Times New Roman"/>
                <w:w w:val="99"/>
                <w:sz w:val="21"/>
                <w:u w:val="single"/>
                <w:lang w:val="en-US" w:eastAsia="zh-CN"/>
              </w:rPr>
              <w:t>0.1</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hint="default" w:ascii="Times New Roman" w:eastAsia="宋体"/>
                <w:w w:val="99"/>
                <w:sz w:val="21"/>
                <w:u w:val="single"/>
                <w:lang w:val="en-US" w:eastAsia="zh-CN"/>
              </w:rPr>
            </w:pPr>
            <w:r>
              <w:rPr>
                <w:rFonts w:hint="eastAsia" w:ascii="Times New Roman"/>
                <w:w w:val="99"/>
                <w:sz w:val="21"/>
                <w:u w:val="single"/>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0" w:type="dxa"/>
            <w:bottom w:w="0" w:type="dxa"/>
            <w:right w:w="0" w:type="dxa"/>
          </w:tblCellMar>
        </w:tblPrEx>
        <w:trPr>
          <w:trHeight w:val="311" w:hRule="exact"/>
          <w:jc w:val="center"/>
        </w:trPr>
        <w:tc>
          <w:tcPr>
            <w:tcW w:w="1005" w:type="dxa"/>
            <w:tcBorders>
              <w:tl2br w:val="nil"/>
              <w:tr2bl w:val="nil"/>
            </w:tcBorders>
            <w:noWrap w:val="0"/>
            <w:vAlign w:val="center"/>
          </w:tcPr>
          <w:p>
            <w:pPr>
              <w:pStyle w:val="104"/>
              <w:keepNext w:val="0"/>
              <w:keepLines w:val="0"/>
              <w:pageBreakBefore w:val="0"/>
              <w:widowControl/>
              <w:tabs>
                <w:tab w:val="left" w:pos="832"/>
              </w:tabs>
              <w:kinsoku/>
              <w:wordWrap w:val="0"/>
              <w:overflowPunct/>
              <w:topLinePunct w:val="0"/>
              <w:autoSpaceDE w:val="0"/>
              <w:autoSpaceDN w:val="0"/>
              <w:bidi w:val="0"/>
              <w:adjustRightInd/>
              <w:snapToGrid/>
              <w:spacing w:line="241" w:lineRule="exact"/>
              <w:ind w:right="0"/>
              <w:jc w:val="center"/>
              <w:textAlignment w:val="auto"/>
              <w:rPr>
                <w:rFonts w:ascii="宋体" w:hAnsi="宋体" w:eastAsia="宋体" w:cs="宋体"/>
                <w:sz w:val="21"/>
                <w:szCs w:val="21"/>
                <w:u w:val="single"/>
              </w:rPr>
            </w:pPr>
            <w:r>
              <w:rPr>
                <w:rFonts w:ascii="宋体" w:hAnsi="宋体" w:eastAsia="宋体" w:cs="宋体"/>
                <w:w w:val="95"/>
                <w:sz w:val="21"/>
                <w:szCs w:val="21"/>
                <w:u w:val="single"/>
              </w:rPr>
              <w:t>出</w:t>
            </w:r>
            <w:r>
              <w:rPr>
                <w:rFonts w:ascii="宋体" w:hAnsi="宋体" w:eastAsia="宋体" w:cs="宋体"/>
                <w:sz w:val="21"/>
                <w:szCs w:val="21"/>
                <w:u w:val="single"/>
              </w:rPr>
              <w:t>水</w:t>
            </w:r>
          </w:p>
        </w:tc>
        <w:tc>
          <w:tcPr>
            <w:tcW w:w="82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≤10</w:t>
            </w:r>
          </w:p>
        </w:tc>
        <w:tc>
          <w:tcPr>
            <w:tcW w:w="75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≤50</w:t>
            </w:r>
          </w:p>
        </w:tc>
        <w:tc>
          <w:tcPr>
            <w:tcW w:w="64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≤10</w:t>
            </w:r>
          </w:p>
        </w:tc>
        <w:tc>
          <w:tcPr>
            <w:tcW w:w="912"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≤5</w:t>
            </w:r>
          </w:p>
        </w:tc>
        <w:tc>
          <w:tcPr>
            <w:tcW w:w="64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≤15</w:t>
            </w:r>
          </w:p>
        </w:tc>
        <w:tc>
          <w:tcPr>
            <w:tcW w:w="502"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≤0.5</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≤1.0</w:t>
            </w:r>
          </w:p>
        </w:tc>
        <w:tc>
          <w:tcPr>
            <w:tcW w:w="661" w:type="dxa"/>
            <w:tcBorders>
              <w:tl2br w:val="nil"/>
              <w:tr2bl w:val="nil"/>
            </w:tcBorders>
            <w:noWrap w:val="0"/>
            <w:vAlign w:val="center"/>
          </w:tcPr>
          <w:p>
            <w:pPr>
              <w:pStyle w:val="104"/>
              <w:keepNext w:val="0"/>
              <w:keepLines w:val="0"/>
              <w:pageBreakBefore w:val="0"/>
              <w:widowControl/>
              <w:tabs>
                <w:tab w:val="left" w:pos="832"/>
              </w:tabs>
              <w:kinsoku/>
              <w:wordWrap w:val="0"/>
              <w:overflowPunct/>
              <w:topLinePunct w:val="0"/>
              <w:autoSpaceDE w:val="0"/>
              <w:autoSpaceDN w:val="0"/>
              <w:bidi w:val="0"/>
              <w:adjustRightInd/>
              <w:snapToGrid/>
              <w:spacing w:line="241" w:lineRule="exact"/>
              <w:ind w:right="0" w:rightChars="0" w:firstLine="0" w:firstLineChars="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w:t>
            </w:r>
            <w:r>
              <w:rPr>
                <w:rFonts w:ascii="宋体" w:hAnsi="宋体" w:eastAsia="宋体" w:cs="宋体"/>
                <w:w w:val="95"/>
                <w:sz w:val="21"/>
                <w:szCs w:val="21"/>
                <w:u w:val="single"/>
              </w:rPr>
              <w:t>0.</w:t>
            </w:r>
            <w:r>
              <w:rPr>
                <w:rFonts w:hint="eastAsia" w:ascii="宋体" w:hAnsi="宋体" w:eastAsia="宋体" w:cs="宋体"/>
                <w:w w:val="95"/>
                <w:sz w:val="21"/>
                <w:szCs w:val="21"/>
                <w:u w:val="single"/>
              </w:rPr>
              <w:t>0</w:t>
            </w:r>
            <w:r>
              <w:rPr>
                <w:rFonts w:ascii="宋体" w:hAnsi="宋体" w:eastAsia="宋体" w:cs="宋体"/>
                <w:w w:val="95"/>
                <w:sz w:val="21"/>
                <w:szCs w:val="21"/>
                <w:u w:val="single"/>
              </w:rPr>
              <w:t>5</w:t>
            </w:r>
          </w:p>
        </w:tc>
        <w:tc>
          <w:tcPr>
            <w:tcW w:w="661" w:type="dxa"/>
            <w:tcBorders>
              <w:tl2br w:val="nil"/>
              <w:tr2bl w:val="nil"/>
            </w:tcBorders>
            <w:noWrap w:val="0"/>
            <w:vAlign w:val="center"/>
          </w:tcPr>
          <w:p>
            <w:pPr>
              <w:pStyle w:val="104"/>
              <w:keepNext w:val="0"/>
              <w:keepLines w:val="0"/>
              <w:pageBreakBefore w:val="0"/>
              <w:widowControl/>
              <w:tabs>
                <w:tab w:val="left" w:pos="832"/>
              </w:tabs>
              <w:kinsoku/>
              <w:wordWrap w:val="0"/>
              <w:overflowPunct/>
              <w:topLinePunct w:val="0"/>
              <w:autoSpaceDE w:val="0"/>
              <w:autoSpaceDN w:val="0"/>
              <w:bidi w:val="0"/>
              <w:adjustRightInd/>
              <w:snapToGrid/>
              <w:spacing w:line="241" w:lineRule="exact"/>
              <w:ind w:right="0" w:rightChars="0" w:firstLine="0" w:firstLineChars="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w:t>
            </w:r>
            <w:r>
              <w:rPr>
                <w:rFonts w:hint="eastAsia" w:ascii="宋体" w:hAnsi="宋体" w:eastAsia="宋体" w:cs="宋体"/>
                <w:w w:val="95"/>
                <w:sz w:val="21"/>
                <w:szCs w:val="21"/>
                <w:u w:val="single"/>
              </w:rPr>
              <w:t>1.0</w:t>
            </w:r>
          </w:p>
        </w:tc>
        <w:tc>
          <w:tcPr>
            <w:tcW w:w="661" w:type="dxa"/>
            <w:tcBorders>
              <w:tl2br w:val="nil"/>
              <w:tr2bl w:val="nil"/>
            </w:tcBorders>
            <w:noWrap w:val="0"/>
            <w:vAlign w:val="center"/>
          </w:tcPr>
          <w:p>
            <w:pPr>
              <w:pStyle w:val="104"/>
              <w:keepNext w:val="0"/>
              <w:keepLines w:val="0"/>
              <w:pageBreakBefore w:val="0"/>
              <w:widowControl/>
              <w:tabs>
                <w:tab w:val="left" w:pos="832"/>
              </w:tabs>
              <w:kinsoku/>
              <w:wordWrap w:val="0"/>
              <w:overflowPunct/>
              <w:topLinePunct w:val="0"/>
              <w:autoSpaceDE w:val="0"/>
              <w:autoSpaceDN w:val="0"/>
              <w:bidi w:val="0"/>
              <w:adjustRightInd/>
              <w:snapToGrid/>
              <w:spacing w:line="241" w:lineRule="exact"/>
              <w:ind w:right="0" w:rightChars="0" w:firstLine="0" w:firstLineChars="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w:t>
            </w:r>
            <w:r>
              <w:rPr>
                <w:rFonts w:hint="eastAsia" w:ascii="宋体" w:hAnsi="宋体" w:eastAsia="宋体" w:cs="宋体"/>
                <w:w w:val="95"/>
                <w:sz w:val="21"/>
                <w:szCs w:val="21"/>
                <w:u w:val="single"/>
              </w:rPr>
              <w:t>0.1</w:t>
            </w:r>
          </w:p>
        </w:tc>
        <w:tc>
          <w:tcPr>
            <w:tcW w:w="661" w:type="dxa"/>
            <w:tcBorders>
              <w:tl2br w:val="nil"/>
              <w:tr2bl w:val="nil"/>
            </w:tcBorders>
            <w:noWrap w:val="0"/>
            <w:vAlign w:val="center"/>
          </w:tcPr>
          <w:p>
            <w:pPr>
              <w:pStyle w:val="104"/>
              <w:keepNext w:val="0"/>
              <w:keepLines w:val="0"/>
              <w:pageBreakBefore w:val="0"/>
              <w:widowControl/>
              <w:tabs>
                <w:tab w:val="left" w:pos="832"/>
              </w:tabs>
              <w:kinsoku/>
              <w:wordWrap w:val="0"/>
              <w:overflowPunct/>
              <w:topLinePunct w:val="0"/>
              <w:autoSpaceDE w:val="0"/>
              <w:autoSpaceDN w:val="0"/>
              <w:bidi w:val="0"/>
              <w:adjustRightInd/>
              <w:snapToGrid/>
              <w:spacing w:line="241" w:lineRule="exact"/>
              <w:ind w:right="0" w:rightChars="0" w:firstLine="0" w:firstLineChars="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w:t>
            </w:r>
            <w:r>
              <w:rPr>
                <w:rFonts w:hint="eastAsia" w:ascii="Times New Roman"/>
                <w:w w:val="99"/>
                <w:sz w:val="21"/>
                <w:u w:val="single"/>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CellMar>
            <w:top w:w="0" w:type="dxa"/>
            <w:left w:w="0" w:type="dxa"/>
            <w:bottom w:w="0" w:type="dxa"/>
            <w:right w:w="0" w:type="dxa"/>
          </w:tblCellMar>
        </w:tblPrEx>
        <w:trPr>
          <w:trHeight w:val="539" w:hRule="exact"/>
          <w:jc w:val="center"/>
        </w:trPr>
        <w:tc>
          <w:tcPr>
            <w:tcW w:w="1005"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8" w:line="240" w:lineRule="auto"/>
              <w:ind w:right="0"/>
              <w:jc w:val="center"/>
              <w:textAlignment w:val="auto"/>
              <w:rPr>
                <w:rFonts w:ascii="宋体" w:hAnsi="宋体" w:eastAsia="宋体" w:cs="宋体"/>
                <w:sz w:val="21"/>
                <w:szCs w:val="21"/>
                <w:u w:val="single"/>
              </w:rPr>
            </w:pPr>
            <w:r>
              <w:rPr>
                <w:rFonts w:ascii="宋体" w:hAnsi="宋体" w:eastAsia="宋体" w:cs="宋体"/>
                <w:sz w:val="21"/>
                <w:szCs w:val="21"/>
                <w:u w:val="single"/>
              </w:rPr>
              <w:t>去除率（</w:t>
            </w:r>
            <w:r>
              <w:rPr>
                <w:rFonts w:ascii="Times New Roman" w:hAnsi="Times New Roman" w:eastAsia="Times New Roman" w:cs="Times New Roman"/>
                <w:sz w:val="21"/>
                <w:szCs w:val="21"/>
                <w:u w:val="single"/>
              </w:rPr>
              <w:t>%</w:t>
            </w:r>
            <w:r>
              <w:rPr>
                <w:rFonts w:ascii="宋体" w:hAnsi="宋体" w:eastAsia="宋体" w:cs="宋体"/>
                <w:sz w:val="21"/>
                <w:szCs w:val="21"/>
                <w:u w:val="single"/>
              </w:rPr>
              <w:t>）</w:t>
            </w:r>
          </w:p>
        </w:tc>
        <w:tc>
          <w:tcPr>
            <w:tcW w:w="82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59" w:line="240" w:lineRule="auto"/>
              <w:ind w:right="0"/>
              <w:jc w:val="center"/>
              <w:textAlignment w:val="auto"/>
              <w:rPr>
                <w:rFonts w:ascii="Times New Roman" w:hAnsi="Times New Roman" w:eastAsia="Times New Roman" w:cs="Times New Roman"/>
                <w:sz w:val="21"/>
                <w:szCs w:val="21"/>
                <w:u w:val="single"/>
              </w:rPr>
            </w:pPr>
            <w:r>
              <w:rPr>
                <w:rFonts w:ascii="Times New Roman"/>
                <w:sz w:val="21"/>
                <w:u w:val="single"/>
              </w:rPr>
              <w:t>94.0</w:t>
            </w:r>
          </w:p>
        </w:tc>
        <w:tc>
          <w:tcPr>
            <w:tcW w:w="75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59" w:line="240" w:lineRule="auto"/>
              <w:ind w:right="0"/>
              <w:jc w:val="center"/>
              <w:textAlignment w:val="auto"/>
              <w:rPr>
                <w:rFonts w:ascii="Times New Roman" w:hAnsi="Times New Roman" w:eastAsia="Times New Roman" w:cs="Times New Roman"/>
                <w:sz w:val="21"/>
                <w:szCs w:val="21"/>
                <w:u w:val="single"/>
              </w:rPr>
            </w:pPr>
            <w:r>
              <w:rPr>
                <w:rFonts w:ascii="Times New Roman"/>
                <w:sz w:val="21"/>
                <w:u w:val="single"/>
              </w:rPr>
              <w:t>90.0</w:t>
            </w:r>
          </w:p>
        </w:tc>
        <w:tc>
          <w:tcPr>
            <w:tcW w:w="64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59" w:line="240" w:lineRule="auto"/>
              <w:ind w:right="0"/>
              <w:jc w:val="center"/>
              <w:textAlignment w:val="auto"/>
              <w:rPr>
                <w:rFonts w:ascii="Times New Roman" w:hAnsi="Times New Roman" w:eastAsia="Times New Roman" w:cs="Times New Roman"/>
                <w:sz w:val="21"/>
                <w:szCs w:val="21"/>
                <w:u w:val="single"/>
              </w:rPr>
            </w:pPr>
            <w:r>
              <w:rPr>
                <w:rFonts w:ascii="Times New Roman"/>
                <w:sz w:val="21"/>
                <w:u w:val="single"/>
              </w:rPr>
              <w:t>96.0</w:t>
            </w:r>
          </w:p>
        </w:tc>
        <w:tc>
          <w:tcPr>
            <w:tcW w:w="912"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59" w:line="240" w:lineRule="auto"/>
              <w:ind w:right="0"/>
              <w:jc w:val="center"/>
              <w:textAlignment w:val="auto"/>
              <w:rPr>
                <w:rFonts w:ascii="Times New Roman" w:hAnsi="Times New Roman" w:eastAsia="Times New Roman" w:cs="Times New Roman"/>
                <w:sz w:val="21"/>
                <w:szCs w:val="21"/>
                <w:u w:val="single"/>
              </w:rPr>
            </w:pPr>
            <w:r>
              <w:rPr>
                <w:rFonts w:ascii="Times New Roman"/>
                <w:sz w:val="21"/>
                <w:u w:val="single"/>
              </w:rPr>
              <w:t>88.0</w:t>
            </w:r>
          </w:p>
        </w:tc>
        <w:tc>
          <w:tcPr>
            <w:tcW w:w="64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59" w:line="240" w:lineRule="auto"/>
              <w:ind w:right="0"/>
              <w:jc w:val="center"/>
              <w:textAlignment w:val="auto"/>
              <w:rPr>
                <w:rFonts w:ascii="Times New Roman" w:hAnsi="Times New Roman" w:eastAsia="Times New Roman" w:cs="Times New Roman"/>
                <w:sz w:val="21"/>
                <w:szCs w:val="21"/>
                <w:u w:val="single"/>
              </w:rPr>
            </w:pPr>
            <w:r>
              <w:rPr>
                <w:rFonts w:ascii="Times New Roman"/>
                <w:sz w:val="21"/>
                <w:u w:val="single"/>
              </w:rPr>
              <w:t>70.0</w:t>
            </w:r>
          </w:p>
        </w:tc>
        <w:tc>
          <w:tcPr>
            <w:tcW w:w="502"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59" w:line="240" w:lineRule="auto"/>
              <w:ind w:right="0"/>
              <w:jc w:val="center"/>
              <w:textAlignment w:val="auto"/>
              <w:rPr>
                <w:rFonts w:ascii="Times New Roman" w:hAnsi="Times New Roman" w:eastAsia="Times New Roman" w:cs="Times New Roman"/>
                <w:sz w:val="21"/>
                <w:szCs w:val="21"/>
                <w:u w:val="single"/>
              </w:rPr>
            </w:pPr>
            <w:r>
              <w:rPr>
                <w:rFonts w:ascii="Times New Roman"/>
                <w:sz w:val="21"/>
                <w:u w:val="single"/>
              </w:rPr>
              <w:t>83.0</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line="241" w:lineRule="exact"/>
              <w:ind w:right="0"/>
              <w:jc w:val="center"/>
              <w:textAlignment w:val="auto"/>
              <w:rPr>
                <w:rFonts w:ascii="Times New Roman" w:hAnsi="Times New Roman" w:eastAsia="Times New Roman" w:cs="Times New Roman"/>
                <w:sz w:val="21"/>
                <w:szCs w:val="21"/>
                <w:u w:val="single"/>
              </w:rPr>
            </w:pPr>
            <w:r>
              <w:rPr>
                <w:rFonts w:ascii="Times New Roman"/>
                <w:sz w:val="21"/>
                <w:u w:val="single"/>
              </w:rPr>
              <w:t>50.0</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line="241" w:lineRule="exact"/>
              <w:ind w:right="0"/>
              <w:jc w:val="center"/>
              <w:textAlignment w:val="auto"/>
              <w:rPr>
                <w:rFonts w:hint="eastAsia" w:ascii="Times New Roman" w:eastAsia="宋体"/>
                <w:sz w:val="21"/>
                <w:u w:val="single"/>
                <w:lang w:val="en-US" w:eastAsia="zh-CN"/>
              </w:rPr>
            </w:pPr>
            <w:r>
              <w:rPr>
                <w:rFonts w:hint="eastAsia" w:ascii="Times New Roman"/>
                <w:sz w:val="21"/>
                <w:u w:val="single"/>
                <w:lang w:val="en-US" w:eastAsia="zh-CN"/>
              </w:rPr>
              <w:t>/</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line="241" w:lineRule="exact"/>
              <w:ind w:right="0"/>
              <w:jc w:val="center"/>
              <w:textAlignment w:val="auto"/>
              <w:rPr>
                <w:rFonts w:hint="eastAsia" w:ascii="Times New Roman" w:eastAsia="宋体"/>
                <w:sz w:val="21"/>
                <w:u w:val="single"/>
                <w:lang w:val="en-US" w:eastAsia="zh-CN"/>
              </w:rPr>
            </w:pPr>
            <w:r>
              <w:rPr>
                <w:rFonts w:hint="eastAsia" w:ascii="Times New Roman"/>
                <w:sz w:val="21"/>
                <w:u w:val="single"/>
                <w:lang w:val="en-US" w:eastAsia="zh-CN"/>
              </w:rPr>
              <w:t>/</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line="241" w:lineRule="exact"/>
              <w:ind w:right="0"/>
              <w:jc w:val="center"/>
              <w:textAlignment w:val="auto"/>
              <w:rPr>
                <w:rFonts w:hint="eastAsia" w:ascii="Times New Roman" w:eastAsia="宋体"/>
                <w:sz w:val="21"/>
                <w:u w:val="single"/>
                <w:lang w:val="en-US" w:eastAsia="zh-CN"/>
              </w:rPr>
            </w:pPr>
            <w:r>
              <w:rPr>
                <w:rFonts w:hint="eastAsia" w:ascii="Times New Roman"/>
                <w:sz w:val="21"/>
                <w:u w:val="single"/>
                <w:lang w:val="en-US" w:eastAsia="zh-CN"/>
              </w:rPr>
              <w:t>/</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line="241" w:lineRule="exact"/>
              <w:ind w:right="0"/>
              <w:jc w:val="center"/>
              <w:textAlignment w:val="auto"/>
              <w:rPr>
                <w:rFonts w:hint="eastAsia" w:ascii="Times New Roman" w:eastAsia="宋体"/>
                <w:sz w:val="21"/>
                <w:u w:val="single"/>
                <w:lang w:val="en-US" w:eastAsia="zh-CN"/>
              </w:rPr>
            </w:pPr>
            <w:r>
              <w:rPr>
                <w:rFonts w:hint="eastAsia" w:ascii="Times New Roman"/>
                <w:sz w:val="21"/>
                <w:u w:val="single"/>
                <w:lang w:val="en-US" w:eastAsia="zh-CN"/>
              </w:rPr>
              <w:t>/</w:t>
            </w:r>
          </w:p>
        </w:tc>
      </w:tr>
    </w:tbl>
    <w:p>
      <w:pPr>
        <w:pStyle w:val="86"/>
        <w:spacing w:before="156" w:after="156"/>
        <w:rPr>
          <w:rFonts w:hint="eastAsia" w:ascii="Times New Roman" w:hAnsi="Times New Roman"/>
          <w:b/>
          <w:color w:val="000000"/>
          <w:lang w:val="en-US" w:eastAsia="zh-CN"/>
        </w:rPr>
      </w:pPr>
      <w:bookmarkStart w:id="261" w:name="_Toc17318"/>
      <w:bookmarkStart w:id="262" w:name="_Toc29308664"/>
      <w:r>
        <w:rPr>
          <w:rFonts w:hint="eastAsia" w:ascii="Times New Roman" w:hAnsi="Times New Roman"/>
          <w:b/>
          <w:color w:val="000000"/>
          <w:lang w:val="en-US" w:eastAsia="zh-CN"/>
        </w:rPr>
        <w:t>3.3 区域排水现状</w:t>
      </w:r>
      <w:bookmarkEnd w:id="261"/>
      <w:r>
        <w:rPr>
          <w:rFonts w:hint="eastAsia" w:ascii="Times New Roman" w:hAnsi="Times New Roman"/>
          <w:b/>
          <w:color w:val="000000"/>
          <w:lang w:val="en-US" w:eastAsia="zh-CN"/>
        </w:rPr>
        <w:t xml:space="preserve"> </w:t>
      </w:r>
    </w:p>
    <w:p>
      <w:pPr>
        <w:spacing w:before="34" w:line="338" w:lineRule="auto"/>
        <w:ind w:right="0"/>
        <w:jc w:val="left"/>
        <w:rPr>
          <w:rFonts w:hint="eastAsia" w:ascii="宋体" w:hAnsi="宋体" w:eastAsia="宋体" w:cs="宋体"/>
          <w:sz w:val="24"/>
          <w:szCs w:val="24"/>
        </w:rPr>
      </w:pPr>
      <w:r>
        <w:rPr>
          <w:rFonts w:hint="eastAsia" w:ascii="宋体" w:hAnsi="宋体" w:eastAsia="宋体" w:cs="宋体"/>
          <w:sz w:val="24"/>
          <w:szCs w:val="24"/>
        </w:rPr>
        <w:t>目前，产业开发区排水系统采用雨、污分流制排水体制。所有已建成的道路均已覆盖雨水管网，充分利用地形，随地形由高到低自流排放，经雨水管沟分别就近排入水体，然后再流入临近河道。</w:t>
      </w:r>
    </w:p>
    <w:p>
      <w:pPr>
        <w:spacing w:before="34" w:line="338" w:lineRule="auto"/>
        <w:ind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区内建成区排水管网已基本建成，卡地片区新建设有配套排水管网，由南向北敷设雨水干管，雨水就近排入花垣河支流卡地小溪、无名小溪，规划在富园路、A3路、C4路敷设雨水主干管，管径为DN1800、DN1800、DN1500。在B8路、B9路、B2路、A5路敷设雨水干管，干管管径DN1400、DN1500、DN1400、DN1400和DN1800。沿富园路、A3路、B2路敷设污水主干管，污水管管径分别为DN1000、DN800、DN800。目前污水管网已建设完成。望城片区沿G209及建设路铺设雨水管、污水管，雨水管管径为DN500，污水管管径为DN400。</w:t>
      </w:r>
    </w:p>
    <w:p>
      <w:pPr>
        <w:spacing w:before="34" w:line="338" w:lineRule="auto"/>
        <w:ind w:right="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开发区在C1路与B1路交汇处设置污水提升泵站，规模130L/S，占地面积700m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。西北部山区建设7处污水提升泵站，规模在均在30 L/S以下，占地面积100 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pPr>
        <w:spacing w:before="34" w:line="338" w:lineRule="auto"/>
        <w:ind w:right="0"/>
        <w:jc w:val="left"/>
        <w:rPr>
          <w:rFonts w:hint="eastAsia" w:eastAsia="宋体" w:cs="Times New Roman"/>
          <w:sz w:val="24"/>
          <w:szCs w:val="24"/>
          <w:u w:val="single"/>
          <w:lang w:eastAsia="zh-CN"/>
        </w:rPr>
      </w:pPr>
      <w:r>
        <w:rPr>
          <w:rFonts w:hint="eastAsia" w:eastAsia="宋体" w:cs="Times New Roman"/>
          <w:sz w:val="24"/>
          <w:szCs w:val="24"/>
          <w:u w:val="single"/>
          <w:lang w:eastAsia="zh-CN"/>
        </w:rPr>
        <w:t>目前，卡地片区工业废水全部进园区临时污水处理厂进行处理，花垣产业开发区临时污水处理站由花垣县城乡农业综合投资开发有限公司建设，总投资198万元，处理规模280m</w:t>
      </w:r>
      <w:r>
        <w:rPr>
          <w:rFonts w:hint="eastAsia" w:eastAsia="宋体" w:cs="Times New Roman"/>
          <w:sz w:val="24"/>
          <w:szCs w:val="24"/>
          <w:u w:val="single"/>
          <w:vertAlign w:val="superscript"/>
          <w:lang w:eastAsia="zh-CN"/>
        </w:rPr>
        <w:t>3</w:t>
      </w:r>
      <w:r>
        <w:rPr>
          <w:rFonts w:hint="eastAsia" w:eastAsia="宋体" w:cs="Times New Roman"/>
          <w:sz w:val="24"/>
          <w:szCs w:val="24"/>
          <w:u w:val="single"/>
          <w:lang w:eastAsia="zh-CN"/>
        </w:rPr>
        <w:t>/d，于2017年12月25日一体化污水处理设施完成在线监控装置并联网运行，2018年5月25日完成污水处理设施调试运行工作，其服务期限为2017年12月至花垣工业集中区污水处理厂正式运行，采用“A</w:t>
      </w:r>
      <w:r>
        <w:rPr>
          <w:rFonts w:hint="eastAsia" w:eastAsia="宋体" w:cs="Times New Roman"/>
          <w:sz w:val="24"/>
          <w:szCs w:val="24"/>
          <w:u w:val="single"/>
          <w:vertAlign w:val="superscript"/>
          <w:lang w:eastAsia="zh-CN"/>
        </w:rPr>
        <w:t>2</w:t>
      </w:r>
      <w:r>
        <w:rPr>
          <w:rFonts w:hint="eastAsia" w:eastAsia="宋体" w:cs="Times New Roman"/>
          <w:sz w:val="24"/>
          <w:szCs w:val="24"/>
          <w:u w:val="single"/>
          <w:lang w:eastAsia="zh-CN"/>
        </w:rPr>
        <w:t>O+水解酸化”工艺，工业污水先进入格栅间去除较大悬浮物后自流进入调节沉淀池，经水质水量调节后在进入综合生化处理池，综合生化处理池包括水解酸化池、A/O工艺池、二沉池、机械絮凝-滤布滤池；出水达到《城市污水处理厂污染物排放标准》（GB18918-2002）一级标准的A标准后排入花垣河。</w:t>
      </w:r>
    </w:p>
    <w:p>
      <w:pPr>
        <w:pStyle w:val="6"/>
        <w:jc w:val="center"/>
        <w:rPr>
          <w:rFonts w:hint="default"/>
          <w:b/>
          <w:bCs/>
          <w:sz w:val="21"/>
          <w:szCs w:val="21"/>
          <w:lang w:val="en-US" w:eastAsia="zh-CN"/>
        </w:rPr>
      </w:pPr>
      <w:r>
        <w:rPr>
          <w:rFonts w:hint="eastAsia" w:eastAsia="宋体" w:cs="Times New Roman"/>
          <w:b/>
          <w:bCs/>
          <w:sz w:val="21"/>
          <w:szCs w:val="21"/>
          <w:lang w:val="en-US" w:eastAsia="zh-CN"/>
        </w:rPr>
        <w:t>表 3.3-1花垣产业开发区企业排水现状情况一览表</w:t>
      </w:r>
    </w:p>
    <w:tbl>
      <w:tblPr>
        <w:tblStyle w:val="37"/>
        <w:tblW w:w="525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78"/>
        <w:gridCol w:w="1732"/>
        <w:gridCol w:w="654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tblHeader/>
          <w:jc w:val="center"/>
        </w:trPr>
        <w:tc>
          <w:tcPr>
            <w:tcW w:w="3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bCs/>
                <w:sz w:val="18"/>
                <w:szCs w:val="18"/>
                <w:u w:val="none"/>
                <w:vertAlign w:val="baseline"/>
                <w:lang w:val="en-US" w:eastAsia="zh-CN"/>
              </w:rPr>
            </w:pPr>
            <w:r>
              <w:rPr>
                <w:rFonts w:hint="default" w:ascii="Times New Roman" w:hAnsi="Times New Roman" w:eastAsia="宋体" w:cs="Times New Roman"/>
                <w:b/>
                <w:bCs/>
                <w:sz w:val="18"/>
                <w:szCs w:val="18"/>
                <w:u w:val="none"/>
                <w:vertAlign w:val="baseline"/>
                <w:lang w:val="en-US" w:eastAsia="zh-CN"/>
              </w:rPr>
              <w:t>序号</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bCs/>
                <w:sz w:val="18"/>
                <w:szCs w:val="18"/>
                <w:u w:val="none"/>
                <w:vertAlign w:val="baseline"/>
                <w:lang w:val="en-US" w:eastAsia="zh-CN"/>
              </w:rPr>
            </w:pPr>
            <w:r>
              <w:rPr>
                <w:rFonts w:hint="default" w:ascii="Times New Roman" w:hAnsi="Times New Roman" w:eastAsia="宋体" w:cs="Times New Roman"/>
                <w:b/>
                <w:bCs/>
                <w:sz w:val="18"/>
                <w:szCs w:val="18"/>
                <w:u w:val="none"/>
                <w:vertAlign w:val="baseline"/>
                <w:lang w:val="en-US" w:eastAsia="zh-CN"/>
              </w:rPr>
              <w:t>企业名称</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b/>
                <w:bCs/>
                <w:sz w:val="18"/>
                <w:szCs w:val="18"/>
                <w:u w:val="none"/>
                <w:vertAlign w:val="baseline"/>
                <w:lang w:val="en-US" w:eastAsia="zh-CN"/>
              </w:rPr>
            </w:pPr>
            <w:r>
              <w:rPr>
                <w:rFonts w:hint="default" w:ascii="Times New Roman" w:hAnsi="Times New Roman" w:eastAsia="宋体" w:cs="Times New Roman"/>
                <w:b/>
                <w:bCs/>
                <w:sz w:val="18"/>
                <w:szCs w:val="18"/>
                <w:u w:val="none"/>
                <w:vertAlign w:val="baseline"/>
                <w:lang w:val="en-US" w:eastAsia="zh-CN"/>
              </w:rPr>
              <w:t>主要产排污情况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1</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湖南东方矿业有限责任公司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①、含铬废水：企业钝化废水及极板洗水，两股含铬废水流入调节池（1200m</w:t>
            </w:r>
            <w:r>
              <w:rPr>
                <w:rFonts w:hint="default" w:ascii="Times New Roman" w:hAnsi="Times New Roman" w:eastAsia="宋体" w:cs="Times New Roman"/>
                <w:sz w:val="18"/>
                <w:szCs w:val="18"/>
                <w:u w:val="none"/>
                <w:vertAlign w:val="superscript"/>
                <w:lang w:val="en-US" w:eastAsia="zh-CN"/>
              </w:rPr>
              <w:t>3</w:t>
            </w:r>
            <w:r>
              <w:rPr>
                <w:rFonts w:hint="default" w:ascii="Times New Roman" w:hAnsi="Times New Roman" w:eastAsia="宋体" w:cs="Times New Roman"/>
                <w:sz w:val="18"/>
                <w:szCs w:val="18"/>
                <w:u w:val="none"/>
                <w:vertAlign w:val="baseline"/>
                <w:lang w:val="en-US" w:eastAsia="zh-CN"/>
              </w:rPr>
              <w:t>）进行调节，同时投加还原剂，将废水中六价铬离子还原成沉淀性能良好、毒性低的三价铬离子，满足出水中六价铬离子和总铬的水质要求。系统设置氢氧化钙干粉加药系统，去除三价铬，再经压滤去除铬渣，处理后回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②、含锰废水：含锰废水主要来自于压滤机滤布清洗、浸出车间清洗及渣场渗滤液。企业把压滤机滤布清洗水、浸出车间清洗水引入含锰废水收集处理池，经沉淀后回用，用于冲洗滤布及滤机，浓度过高时排入污水处理系统处理；在渣库坝下设置1200m</w:t>
            </w:r>
            <w:r>
              <w:rPr>
                <w:rFonts w:hint="default" w:ascii="Times New Roman" w:hAnsi="Times New Roman" w:eastAsia="宋体" w:cs="Times New Roman"/>
                <w:sz w:val="18"/>
                <w:szCs w:val="18"/>
                <w:u w:val="none"/>
                <w:vertAlign w:val="superscript"/>
                <w:lang w:val="en-US" w:eastAsia="zh-CN"/>
              </w:rPr>
              <w:t>3</w:t>
            </w:r>
            <w:r>
              <w:rPr>
                <w:rFonts w:hint="default" w:ascii="Times New Roman" w:hAnsi="Times New Roman" w:eastAsia="宋体" w:cs="Times New Roman"/>
                <w:sz w:val="18"/>
                <w:szCs w:val="18"/>
                <w:u w:val="none"/>
                <w:vertAlign w:val="baseline"/>
                <w:lang w:val="en-US" w:eastAsia="zh-CN"/>
              </w:rPr>
              <w:t>的渗滤液收集池用于收集渣库渗滤液，采用专用管道将渗滤液引入含锰废水处理系统。处理后全部回用。</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③、生活污水：生活污水流入园区内市政管网，汇入工业园内的污水处理站。处理达标后流入花垣河。</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建有综合废水处理系统，由中国环保科技控股有限公司负责设计运行，采用</w:t>
            </w:r>
            <w:r>
              <w:rPr>
                <w:rFonts w:hint="default" w:ascii="Times New Roman" w:hAnsi="Times New Roman" w:cs="Times New Roman"/>
                <w:sz w:val="18"/>
                <w:szCs w:val="18"/>
                <w:u w:val="none"/>
                <w:vertAlign w:val="baseline"/>
                <w:lang w:val="en-US" w:eastAsia="zh-CN"/>
              </w:rPr>
              <w:t>“</w:t>
            </w:r>
            <w:r>
              <w:rPr>
                <w:rFonts w:hint="default" w:ascii="Times New Roman" w:hAnsi="Times New Roman" w:eastAsia="宋体" w:cs="Times New Roman"/>
                <w:sz w:val="18"/>
                <w:szCs w:val="18"/>
                <w:u w:val="none"/>
                <w:vertAlign w:val="baseline"/>
                <w:lang w:val="en-US" w:eastAsia="zh-CN"/>
              </w:rPr>
              <w:t>磁加载分离沉淀+膜脱氨氮</w:t>
            </w:r>
            <w:r>
              <w:rPr>
                <w:rFonts w:hint="default" w:ascii="Times New Roman" w:hAnsi="Times New Roman" w:cs="Times New Roman"/>
                <w:sz w:val="18"/>
                <w:szCs w:val="18"/>
                <w:u w:val="none"/>
                <w:vertAlign w:val="baseline"/>
                <w:lang w:val="en-US" w:eastAsia="zh-CN"/>
              </w:rPr>
              <w:t>”</w:t>
            </w:r>
            <w:r>
              <w:rPr>
                <w:rFonts w:hint="default" w:ascii="Times New Roman" w:hAnsi="Times New Roman" w:eastAsia="宋体" w:cs="Times New Roman"/>
                <w:sz w:val="18"/>
                <w:szCs w:val="18"/>
                <w:u w:val="none"/>
                <w:vertAlign w:val="baseline"/>
                <w:lang w:val="en-US" w:eastAsia="zh-CN"/>
              </w:rPr>
              <w:t>处理工艺处理含氨、含锰、含铬废水。设计处理能力：含锰废水800m</w:t>
            </w:r>
            <w:r>
              <w:rPr>
                <w:rFonts w:hint="default" w:ascii="Times New Roman" w:hAnsi="Times New Roman" w:eastAsia="宋体" w:cs="Times New Roman"/>
                <w:sz w:val="18"/>
                <w:szCs w:val="18"/>
                <w:u w:val="none"/>
                <w:vertAlign w:val="superscript"/>
                <w:lang w:val="en-US" w:eastAsia="zh-CN"/>
              </w:rPr>
              <w:t>3</w:t>
            </w:r>
            <w:r>
              <w:rPr>
                <w:rFonts w:hint="default" w:ascii="Times New Roman" w:hAnsi="Times New Roman" w:eastAsia="宋体" w:cs="Times New Roman"/>
                <w:sz w:val="18"/>
                <w:szCs w:val="18"/>
                <w:u w:val="none"/>
                <w:vertAlign w:val="baseline"/>
                <w:lang w:val="en-US" w:eastAsia="zh-CN"/>
              </w:rPr>
              <w:t>/d，含铬废水200m</w:t>
            </w:r>
            <w:r>
              <w:rPr>
                <w:rFonts w:hint="default" w:ascii="Times New Roman" w:hAnsi="Times New Roman" w:eastAsia="宋体" w:cs="Times New Roman"/>
                <w:sz w:val="18"/>
                <w:szCs w:val="18"/>
                <w:u w:val="none"/>
                <w:vertAlign w:val="superscript"/>
                <w:lang w:val="en-US" w:eastAsia="zh-CN"/>
              </w:rPr>
              <w:t>3</w:t>
            </w:r>
            <w:r>
              <w:rPr>
                <w:rFonts w:hint="default" w:ascii="Times New Roman" w:hAnsi="Times New Roman" w:eastAsia="宋体" w:cs="Times New Roman"/>
                <w:sz w:val="18"/>
                <w:szCs w:val="18"/>
                <w:u w:val="none"/>
                <w:vertAlign w:val="baseline"/>
                <w:lang w:val="en-US" w:eastAsia="zh-CN"/>
              </w:rPr>
              <w:t>/d，生活污水180m</w:t>
            </w:r>
            <w:r>
              <w:rPr>
                <w:rFonts w:hint="default" w:ascii="Times New Roman" w:hAnsi="Times New Roman" w:eastAsia="宋体" w:cs="Times New Roman"/>
                <w:sz w:val="18"/>
                <w:szCs w:val="18"/>
                <w:u w:val="none"/>
                <w:vertAlign w:val="superscript"/>
                <w:lang w:val="en-US" w:eastAsia="zh-CN"/>
              </w:rPr>
              <w:t>3</w:t>
            </w:r>
            <w:r>
              <w:rPr>
                <w:rFonts w:hint="default" w:ascii="Times New Roman" w:hAnsi="Times New Roman" w:eastAsia="宋体" w:cs="Times New Roman"/>
                <w:sz w:val="18"/>
                <w:szCs w:val="18"/>
                <w:u w:val="none"/>
                <w:vertAlign w:val="baseline"/>
                <w:lang w:val="en-US" w:eastAsia="zh-CN"/>
              </w:rPr>
              <w:t>/d。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2</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湖南省香味园食品股份有限责任公司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果蔬加工废水、腌制、发酵水、盐渍菜清洗废水、物理压榨脱水、消毒冷却系统冷凝水、旁滤水；生产废水、生活废水经厂区污水处理系统处理达《污水综合排放标准》（GB8978-1996）一级标准后排入</w:t>
            </w:r>
            <w:r>
              <w:rPr>
                <w:rFonts w:hint="default" w:ascii="Times New Roman" w:hAnsi="Times New Roman" w:cs="Times New Roman"/>
                <w:sz w:val="18"/>
                <w:szCs w:val="18"/>
                <w:u w:val="none"/>
                <w:vertAlign w:val="baseline"/>
                <w:lang w:val="en-US" w:eastAsia="zh-CN"/>
              </w:rPr>
              <w:t>开发区</w:t>
            </w:r>
            <w:r>
              <w:rPr>
                <w:rFonts w:hint="default" w:ascii="Times New Roman" w:hAnsi="Times New Roman" w:eastAsia="宋体" w:cs="Times New Roman"/>
                <w:sz w:val="18"/>
                <w:szCs w:val="18"/>
                <w:u w:val="none"/>
                <w:vertAlign w:val="baseline"/>
                <w:lang w:val="en-US" w:eastAsia="zh-CN"/>
              </w:rPr>
              <w:t>污水管网，再排入花垣河。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3</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湖南通力石英材料有限责任公司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废水：酸浸、洗矿、水淬、浮选、砂清洗工段酸性废水；生产废水采用均质+絮凝+沉淀处理后排入工业废水集中处理厂；生活污水采用均质+絮凝+沉淀</w:t>
            </w:r>
            <w:r>
              <w:rPr>
                <w:rFonts w:hint="default" w:ascii="Times New Roman" w:hAnsi="Times New Roman" w:cs="Times New Roman"/>
                <w:sz w:val="18"/>
                <w:szCs w:val="18"/>
                <w:u w:val="none"/>
                <w:vertAlign w:val="baseline"/>
                <w:lang w:val="en-US" w:eastAsia="zh-CN"/>
              </w:rPr>
              <w:t>，</w:t>
            </w:r>
            <w:r>
              <w:rPr>
                <w:rFonts w:hint="default" w:ascii="Times New Roman" w:hAnsi="Times New Roman" w:eastAsia="宋体" w:cs="Times New Roman"/>
                <w:sz w:val="18"/>
                <w:szCs w:val="18"/>
                <w:u w:val="none"/>
                <w:vertAlign w:val="baseline"/>
                <w:lang w:val="en-US" w:eastAsia="zh-CN"/>
              </w:rPr>
              <w:t>化粪池预处理后排入工业废水集中处理厂。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4</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花垣县康园新型墙材有限公司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蒸压釜冷凝水、锅炉排污水及场地和设备冲洗水。厂内收集沉淀后供原料粉磨及废浆工序和车间降尘使用，不外排。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5</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湖南三丰钒业有限公司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主要为制液车间洗渣水，合成车间沉钒母液、滤饼和滤布洗涤废水、实验室废水及少量的生活污水；生产废水、实验室废水经废水处理站处理后全部回用生产车间不外排，生产废水为零排放；生活污水经化粪池预处理后，排入园区排污管网，经工业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6</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湖南兆科动力新能源有限责任公</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排水雨、污分流。电池及搅拌罐清洗废水收集（2.5立方）回用。生活污水依托园区三级化粪池（2个、每个9立方）收集后排入园区污水管网；冷却水、冷凝水循环利用不外排；设备反冲洗水为清下水，直接排入雨水管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7</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花垣县金辉建材有限责任公司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项目产生废水的主要环节为生活用水、水稳配料用水、商品砼配料用水、喷淋用水、场地冲洗用水、搅拌机清洗用水、运输罐车清洗用水。</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项目水稳配料用水、商品砼配料用水全部进入产品；喷淋用水基本全部蒸发损耗。项目废水主要为场地冲洗废水、搅拌机清洗废水、运输罐车清洗废水和生活污水。搅拌机清洗废水、运输罐车清洗废水、场地冲洗废水全部经收集沉淀池处理后回用于水稳碎石、商品砼生产；生活废水经厂区化粪池预处理后排入园区管网，经工业集中区污水处理厂深度处理后，排入花垣河。此外，暴雨天气下有初期雨水产生，初期雨水由初期雨水收集池收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8</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湖南煜华日用品有限公司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生活污水→园区管网→园区污水处理厂→花垣河。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9</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湘西倍益康农副产品开发有限公司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生活污水、保洁废水、生产废水经化粪池处理后通过园区污水管道排放至园区污水处理厂集中处理；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10</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花垣县民源食品有限责任公司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生活污水经化粪池处理后排入集中区污水处理站处理达标后排入花垣河；生产废水经一体化污水处理站处理后排入集中区污水处理厂处理达标后排入花垣河。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11</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花垣县龙祥粉业有限公司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生产废水经一体化污水处理设备处理、生活废水经隔油池、化粪池处理达《污水综合排放标准》</w:t>
            </w:r>
            <w:r>
              <w:rPr>
                <w:rFonts w:hint="default" w:ascii="Times New Roman" w:hAnsi="Times New Roman" w:cs="Times New Roman"/>
                <w:sz w:val="18"/>
                <w:szCs w:val="18"/>
                <w:u w:val="none"/>
                <w:vertAlign w:val="baseline"/>
                <w:lang w:val="en-US" w:eastAsia="zh-CN"/>
              </w:rPr>
              <w:t>（</w:t>
            </w:r>
            <w:r>
              <w:rPr>
                <w:rFonts w:hint="default" w:ascii="Times New Roman" w:hAnsi="Times New Roman" w:eastAsia="宋体" w:cs="Times New Roman"/>
                <w:sz w:val="18"/>
                <w:szCs w:val="18"/>
                <w:u w:val="none"/>
                <w:vertAlign w:val="baseline"/>
                <w:lang w:val="en-US" w:eastAsia="zh-CN"/>
              </w:rPr>
              <w:t>GB8978-1996</w:t>
            </w:r>
            <w:r>
              <w:rPr>
                <w:rFonts w:hint="default" w:ascii="Times New Roman" w:hAnsi="Times New Roman" w:cs="Times New Roman"/>
                <w:sz w:val="18"/>
                <w:szCs w:val="18"/>
                <w:u w:val="none"/>
                <w:vertAlign w:val="baseline"/>
                <w:lang w:val="en-US" w:eastAsia="zh-CN"/>
              </w:rPr>
              <w:t>）</w:t>
            </w:r>
            <w:r>
              <w:rPr>
                <w:rFonts w:hint="default" w:ascii="Times New Roman" w:hAnsi="Times New Roman" w:eastAsia="宋体" w:cs="Times New Roman"/>
                <w:sz w:val="18"/>
                <w:szCs w:val="18"/>
                <w:u w:val="none"/>
                <w:vertAlign w:val="baseline"/>
                <w:lang w:val="en-US" w:eastAsia="zh-CN"/>
              </w:rPr>
              <w:t>三级标准，排入工业集中区污水收集管网，经园区污水处理厂深度处理达标后排入花垣河。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12</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花垣县亿亿服饰有限公司（原鑫瑞）</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生活污水经化粪池处理后排入集中区污水厂处理达标后排入花垣河。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13</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花垣县畅兴工艺有限公司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生产废水采取污水池沉淀净化措施后排入集中区污水处理厂处理达标后排入花垣河；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14</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湘西金仕达鞋业有限公司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生活污水经化粪池处理后排入集中区污水处理厂处理达标后排入花垣河。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15</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湘西众诚箱包有限公司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生活污水经化粪池处理后排入集中区污水处理厂处理达标后排入花垣河。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16</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花垣县金皓农业科技开发有限公司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生活污水经化粪池处理后排入集中区污水处理厂处理达标后排入花垣河。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17</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花垣县绿源机动车检测有限公司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地面雨水排入初期雨水收集池，沉淀后外排或者回用于绿化；生活污水经化粪池处理后排入集中区污水处理厂处理达标后排入花垣河。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18</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花垣旋风物流有限公司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生活污水经化粪池处理后排入集中区污水处理厂处理达标后排入花垣河。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19</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花垣盘古电子商务有限公司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生活污水经化粪池处理后排入集中区污水处理厂处理达标后排入花垣河。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20</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花垣县德草贸易有限责任公司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生活污水经化粪池处理后排入集中区污水处理厂处理达标后排入花垣河。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21</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泰安驾校</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kern w:val="2"/>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生活污水经化粪池处理后排入集中区污水处理厂处理达标后排入花垣河。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22</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花垣县城乡农业综合开发投资有限公司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kern w:val="2"/>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生活污水经化粪池处理后排入集中区污水处理厂处理达标后排入花垣河。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23</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花垣县鑫鹏家政服务有限公司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生活污水经化粪池处理后排入集中区污水处理厂处理达标后排入花垣河。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24</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花垣春慧电子商务有限公司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生活污水经化粪池处理后排入集中区污水处理厂处理达标后排入花垣河。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25</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湖南新时创实业有限公司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生活污水经化粪池处理后排入集中区污水处理厂处理达标后排入花垣河。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26</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湖南边城智能科技有限公司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生活污水经化粪池处理后排入集中区污水处理厂处理达标后排入花垣河。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27</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湖南东方矿业进出口贸易有限公司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生活污水经化粪池处理后排入集中区污水处理厂处理达标后排入花垣河。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28</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花垣城北兴鹏国际大酒店有限公司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生活污水经化粪池处理后排入集中区污水处理厂处理达标后排入花垣河。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29</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花垣县兴鹏商贸物流城开发有限公司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生活污水经化粪池处理后排入集中区污水处理厂处理达标后排入花垣河。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78" w:type="pct"/>
            <w:tcBorders>
              <w:tl2br w:val="nil"/>
              <w:tr2bl w:val="nil"/>
            </w:tcBorders>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cs="Times New Roman"/>
                <w:sz w:val="18"/>
                <w:szCs w:val="18"/>
                <w:u w:val="none"/>
                <w:lang w:val="en-US" w:eastAsia="zh-CN"/>
              </w:rPr>
              <w:t>30</w:t>
            </w:r>
          </w:p>
        </w:tc>
        <w:tc>
          <w:tcPr>
            <w:tcW w:w="9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花垣县边城鑫鑫人力资源有限公司</w:t>
            </w:r>
          </w:p>
        </w:tc>
        <w:tc>
          <w:tcPr>
            <w:tcW w:w="3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default" w:ascii="Times New Roman" w:hAnsi="Times New Roman" w:eastAsia="宋体" w:cs="Times New Roman"/>
                <w:sz w:val="18"/>
                <w:szCs w:val="18"/>
                <w:u w:val="none"/>
                <w:vertAlign w:val="baseline"/>
                <w:lang w:val="en-US" w:eastAsia="zh-CN"/>
              </w:rPr>
            </w:pPr>
            <w:r>
              <w:rPr>
                <w:rFonts w:hint="default" w:ascii="Times New Roman" w:hAnsi="Times New Roman" w:eastAsia="宋体" w:cs="Times New Roman"/>
                <w:sz w:val="18"/>
                <w:szCs w:val="18"/>
                <w:u w:val="none"/>
                <w:vertAlign w:val="baseline"/>
                <w:lang w:val="en-US" w:eastAsia="zh-CN"/>
              </w:rPr>
              <w:t>生活污水经化粪池处理后排入集中区污水处理厂处理达标后排入花垣河。</w:t>
            </w:r>
          </w:p>
        </w:tc>
      </w:tr>
    </w:tbl>
    <w:p>
      <w:pPr>
        <w:pStyle w:val="86"/>
        <w:spacing w:before="156" w:after="156"/>
        <w:rPr>
          <w:rFonts w:hint="eastAsia"/>
          <w:color w:val="000000"/>
        </w:rPr>
      </w:pPr>
      <w:bookmarkStart w:id="263" w:name="_Toc14185"/>
      <w:r>
        <w:rPr>
          <w:rFonts w:hint="eastAsia"/>
          <w:color w:val="000000"/>
          <w:lang w:val="en-US" w:eastAsia="zh-CN"/>
        </w:rPr>
        <w:t xml:space="preserve">3.4 </w:t>
      </w:r>
      <w:r>
        <w:rPr>
          <w:rFonts w:hint="eastAsia"/>
          <w:color w:val="000000"/>
        </w:rPr>
        <w:t>区域污染源调查</w:t>
      </w:r>
      <w:bookmarkEnd w:id="262"/>
      <w:bookmarkEnd w:id="263"/>
    </w:p>
    <w:p>
      <w:pPr>
        <w:ind w:firstLine="480"/>
        <w:rPr>
          <w:rFonts w:hint="eastAsia"/>
          <w:lang w:eastAsia="zh-CN"/>
        </w:rPr>
      </w:pPr>
      <w:r>
        <w:rPr>
          <w:rFonts w:hint="eastAsia"/>
        </w:rPr>
        <w:t>项目选址位于</w:t>
      </w:r>
      <w:r>
        <w:rPr>
          <w:rFonts w:hint="eastAsia"/>
          <w:lang w:eastAsia="zh-CN"/>
        </w:rPr>
        <w:t>花垣工业集中区卡地片区</w:t>
      </w:r>
      <w:r>
        <w:rPr>
          <w:rFonts w:hint="eastAsia"/>
        </w:rPr>
        <w:t>，</w:t>
      </w:r>
      <w:r>
        <w:rPr>
          <w:rFonts w:hint="eastAsia"/>
          <w:lang w:eastAsia="zh-CN"/>
        </w:rPr>
        <w:t>根据调查，区域污染源情况如下：</w:t>
      </w:r>
    </w:p>
    <w:p>
      <w:pPr>
        <w:ind w:firstLine="480"/>
        <w:rPr>
          <w:rFonts w:hint="eastAsia"/>
        </w:rPr>
      </w:pPr>
      <w:r>
        <w:rPr>
          <w:rFonts w:hint="eastAsia"/>
        </w:rPr>
        <w:t>（1）水污染物排放情况</w:t>
      </w:r>
    </w:p>
    <w:p>
      <w:pPr>
        <w:ind w:firstLine="480"/>
        <w:rPr>
          <w:rFonts w:hint="eastAsia"/>
        </w:rPr>
      </w:pPr>
      <w:r>
        <w:rPr>
          <w:rFonts w:hint="eastAsia"/>
        </w:rPr>
        <w:t>目前，卡地片区内湖南三丰钒业有限公司、湖南东方矿业有限责任公司均自建废水处理系统，生产废水与初期雨水经处理后回用，不外排；其他企业废水经预处理设施处理</w:t>
      </w:r>
      <w:r>
        <w:rPr>
          <w:rFonts w:hint="eastAsia"/>
          <w:lang w:eastAsia="zh-CN"/>
        </w:rPr>
        <w:t>达标</w:t>
      </w:r>
      <w:r>
        <w:rPr>
          <w:rFonts w:hint="eastAsia"/>
        </w:rPr>
        <w:t>后，进园区临时污水处理设施进一步处理满足《城镇污水处理厂污染物排放标准》（GB18918-2002）中一级A标准后外排至花垣河，待园区污水处理厂建设完成后，各企业废水进园区污水处理厂处理。</w:t>
      </w:r>
    </w:p>
    <w:p>
      <w:pPr>
        <w:ind w:firstLine="480"/>
        <w:rPr>
          <w:rFonts w:hint="eastAsia" w:eastAsia="宋体"/>
          <w:lang w:eastAsia="zh-CN"/>
        </w:rPr>
      </w:pPr>
      <w:r>
        <w:rPr>
          <w:rFonts w:hint="eastAsia"/>
          <w:lang w:eastAsia="zh-CN"/>
        </w:rPr>
        <w:t>（</w:t>
      </w:r>
      <w:r>
        <w:rPr>
          <w:rFonts w:hint="eastAsia"/>
          <w:lang w:val="en-US" w:eastAsia="zh-CN"/>
        </w:rPr>
        <w:t>2</w:t>
      </w:r>
      <w:r>
        <w:rPr>
          <w:rFonts w:hint="eastAsia"/>
          <w:lang w:eastAsia="zh-CN"/>
        </w:rPr>
        <w:t>）大气污染物排放情况</w:t>
      </w:r>
    </w:p>
    <w:p>
      <w:pPr>
        <w:ind w:firstLine="480"/>
        <w:rPr>
          <w:rFonts w:hint="eastAsia"/>
        </w:rPr>
      </w:pPr>
      <w:r>
        <w:rPr>
          <w:rFonts w:hint="eastAsia"/>
        </w:rPr>
        <w:t>目前开发区尚未敷设城市天然气管网，未开展园区集中供热。卡地片区生产能源以煤、液化气及秸秆为主</w:t>
      </w:r>
      <w:r>
        <w:rPr>
          <w:rFonts w:hint="eastAsia"/>
          <w:lang w:eastAsia="zh-CN"/>
        </w:rPr>
        <w:t>。</w:t>
      </w:r>
      <w:r>
        <w:rPr>
          <w:rFonts w:hint="eastAsia"/>
        </w:rPr>
        <w:t>部分企业生产过程产生烟（粉）尘、挥发性有机污染物和硫酸雾，因此开发区内大气污染物主要为二氧化硫、氮氧化物、烟（粉）尘。</w:t>
      </w:r>
    </w:p>
    <w:p>
      <w:pPr>
        <w:ind w:firstLine="480"/>
        <w:rPr>
          <w:rFonts w:hint="eastAsia" w:eastAsia="宋体"/>
          <w:color w:val="000000"/>
          <w:kern w:val="0"/>
          <w:lang w:eastAsia="zh-CN"/>
        </w:rPr>
        <w:sectPr>
          <w:headerReference r:id="rId18" w:type="first"/>
          <w:footerReference r:id="rId21" w:type="first"/>
          <w:headerReference r:id="rId16" w:type="default"/>
          <w:footerReference r:id="rId19" w:type="default"/>
          <w:headerReference r:id="rId17" w:type="even"/>
          <w:footerReference r:id="rId20"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olor w:val="000000"/>
          <w:kern w:val="0"/>
          <w:lang w:eastAsia="zh-CN"/>
        </w:rPr>
        <w:t>项目区域污染源情况见下表：</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bCs/>
          <w:sz w:val="21"/>
          <w:szCs w:val="21"/>
          <w:u w:val="none"/>
          <w:lang w:val="en-US" w:eastAsia="zh-CN"/>
        </w:rPr>
      </w:pPr>
      <w:r>
        <w:rPr>
          <w:rFonts w:hint="default" w:ascii="Times New Roman" w:hAnsi="Times New Roman" w:cs="Times New Roman"/>
          <w:b/>
          <w:bCs/>
          <w:sz w:val="21"/>
          <w:szCs w:val="21"/>
          <w:u w:val="none"/>
          <w:lang w:val="en-US" w:eastAsia="zh-CN"/>
        </w:rPr>
        <w:t>表</w:t>
      </w:r>
      <w:r>
        <w:rPr>
          <w:rFonts w:hint="eastAsia" w:cs="Times New Roman"/>
          <w:b/>
          <w:bCs/>
          <w:sz w:val="21"/>
          <w:szCs w:val="21"/>
          <w:u w:val="none"/>
          <w:lang w:val="en-US" w:eastAsia="zh-CN"/>
        </w:rPr>
        <w:t>3.4</w:t>
      </w:r>
      <w:r>
        <w:rPr>
          <w:rFonts w:hint="default" w:ascii="Times New Roman" w:hAnsi="Times New Roman" w:cs="Times New Roman"/>
          <w:b/>
          <w:bCs/>
          <w:sz w:val="21"/>
          <w:szCs w:val="21"/>
          <w:u w:val="none"/>
          <w:lang w:val="en-US" w:eastAsia="zh-CN"/>
        </w:rPr>
        <w:t>-</w:t>
      </w:r>
      <w:r>
        <w:rPr>
          <w:rFonts w:hint="eastAsia" w:cs="Times New Roman"/>
          <w:b/>
          <w:bCs/>
          <w:sz w:val="21"/>
          <w:szCs w:val="21"/>
          <w:u w:val="none"/>
          <w:lang w:val="en-US" w:eastAsia="zh-CN"/>
        </w:rPr>
        <w:t>1</w:t>
      </w:r>
      <w:r>
        <w:rPr>
          <w:rFonts w:hint="default" w:ascii="Times New Roman" w:hAnsi="Times New Roman" w:cs="Times New Roman"/>
          <w:b/>
          <w:bCs/>
          <w:sz w:val="21"/>
          <w:szCs w:val="21"/>
          <w:u w:val="none"/>
          <w:lang w:val="en-US" w:eastAsia="zh-CN"/>
        </w:rPr>
        <w:t xml:space="preserve">  </w:t>
      </w:r>
      <w:r>
        <w:rPr>
          <w:rFonts w:hint="eastAsia" w:ascii="Times New Roman" w:hAnsi="Times New Roman" w:cs="Times New Roman"/>
          <w:b/>
          <w:bCs/>
          <w:sz w:val="21"/>
          <w:szCs w:val="21"/>
          <w:u w:val="none"/>
          <w:lang w:val="en-US" w:eastAsia="zh-CN"/>
        </w:rPr>
        <w:t>花垣工业集中区</w:t>
      </w:r>
      <w:r>
        <w:rPr>
          <w:rFonts w:hint="default" w:ascii="Times New Roman" w:hAnsi="Times New Roman" w:cs="Times New Roman"/>
          <w:b/>
          <w:bCs/>
          <w:sz w:val="21"/>
          <w:szCs w:val="21"/>
          <w:u w:val="none"/>
          <w:lang w:val="en-US" w:eastAsia="zh-CN"/>
        </w:rPr>
        <w:t>排水及污染物排放情况   单位：t/a</w:t>
      </w:r>
    </w:p>
    <w:tbl>
      <w:tblPr>
        <w:tblStyle w:val="37"/>
        <w:tblW w:w="536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38"/>
        <w:gridCol w:w="2673"/>
        <w:gridCol w:w="737"/>
        <w:gridCol w:w="737"/>
        <w:gridCol w:w="737"/>
        <w:gridCol w:w="737"/>
        <w:gridCol w:w="737"/>
        <w:gridCol w:w="737"/>
        <w:gridCol w:w="737"/>
        <w:gridCol w:w="737"/>
        <w:gridCol w:w="737"/>
        <w:gridCol w:w="737"/>
        <w:gridCol w:w="737"/>
        <w:gridCol w:w="737"/>
        <w:gridCol w:w="603"/>
        <w:gridCol w:w="666"/>
        <w:gridCol w:w="842"/>
        <w:gridCol w:w="8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179" w:type="pct"/>
            <w:vMerge w:val="restar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bCs w:val="0"/>
                <w:sz w:val="18"/>
                <w:szCs w:val="18"/>
                <w:u w:val="none"/>
              </w:rPr>
            </w:pPr>
            <w:r>
              <w:rPr>
                <w:rFonts w:hint="default" w:ascii="Times New Roman" w:hAnsi="Times New Roman" w:cs="Times New Roman"/>
                <w:b/>
                <w:bCs w:val="0"/>
                <w:sz w:val="18"/>
                <w:szCs w:val="18"/>
                <w:u w:val="none"/>
              </w:rPr>
              <w:t>序号</w:t>
            </w:r>
          </w:p>
        </w:tc>
        <w:tc>
          <w:tcPr>
            <w:tcW w:w="89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bCs w:val="0"/>
                <w:i w:val="0"/>
                <w:color w:val="auto"/>
                <w:kern w:val="2"/>
                <w:sz w:val="18"/>
                <w:szCs w:val="18"/>
                <w:u w:val="none"/>
                <w:lang w:val="en-US" w:eastAsia="zh-CN"/>
              </w:rPr>
            </w:pPr>
            <w:r>
              <w:rPr>
                <w:rFonts w:hint="default" w:ascii="Times New Roman" w:hAnsi="Times New Roman" w:cs="Times New Roman"/>
                <w:b/>
                <w:bCs w:val="0"/>
                <w:i w:val="0"/>
                <w:color w:val="auto"/>
                <w:sz w:val="18"/>
                <w:szCs w:val="18"/>
                <w:u w:val="none"/>
                <w:lang w:val="en-US" w:eastAsia="zh-CN"/>
              </w:rPr>
              <w:t>公司名称</w:t>
            </w:r>
          </w:p>
        </w:tc>
        <w:tc>
          <w:tcPr>
            <w:tcW w:w="2208" w:type="pct"/>
            <w:gridSpan w:val="9"/>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color w:val="000000"/>
                <w:kern w:val="0"/>
                <w:sz w:val="18"/>
                <w:szCs w:val="18"/>
                <w:u w:val="none"/>
                <w:lang w:val="en-US" w:eastAsia="zh-CN" w:bidi="ar"/>
              </w:rPr>
            </w:pPr>
            <w:r>
              <w:rPr>
                <w:rFonts w:hint="default" w:ascii="Times New Roman" w:hAnsi="Times New Roman" w:cs="Times New Roman"/>
                <w:b/>
                <w:bCs w:val="0"/>
                <w:color w:val="000000"/>
                <w:kern w:val="0"/>
                <w:sz w:val="18"/>
                <w:szCs w:val="18"/>
                <w:u w:val="none"/>
                <w:lang w:val="en-US" w:eastAsia="zh-CN" w:bidi="ar"/>
              </w:rPr>
              <w:t>废气污染物排放量</w:t>
            </w:r>
          </w:p>
        </w:tc>
        <w:tc>
          <w:tcPr>
            <w:tcW w:w="1159" w:type="pct"/>
            <w:gridSpan w:val="5"/>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color w:val="000000"/>
                <w:kern w:val="0"/>
                <w:sz w:val="18"/>
                <w:szCs w:val="18"/>
                <w:u w:val="none"/>
                <w:lang w:val="en-US" w:eastAsia="zh-CN" w:bidi="ar"/>
              </w:rPr>
            </w:pPr>
            <w:r>
              <w:rPr>
                <w:rFonts w:hint="default" w:ascii="Times New Roman" w:hAnsi="Times New Roman" w:cs="Times New Roman"/>
                <w:b/>
                <w:bCs w:val="0"/>
                <w:color w:val="000000"/>
                <w:kern w:val="0"/>
                <w:sz w:val="18"/>
                <w:szCs w:val="18"/>
                <w:u w:val="none"/>
                <w:lang w:val="en-US" w:eastAsia="zh-CN" w:bidi="ar"/>
              </w:rPr>
              <w:t>废水污染物排放量</w:t>
            </w:r>
          </w:p>
        </w:tc>
        <w:tc>
          <w:tcPr>
            <w:tcW w:w="561" w:type="pct"/>
            <w:gridSpan w:val="2"/>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sz w:val="18"/>
                <w:szCs w:val="18"/>
                <w:u w:val="none"/>
                <w:lang w:val="en-US" w:eastAsia="zh-CN"/>
              </w:rPr>
            </w:pPr>
            <w:r>
              <w:rPr>
                <w:rFonts w:hint="default" w:ascii="Times New Roman" w:hAnsi="Times New Roman" w:eastAsia="宋体" w:cs="Times New Roman"/>
                <w:b/>
                <w:bCs w:val="0"/>
                <w:sz w:val="18"/>
                <w:szCs w:val="18"/>
                <w:u w:val="none"/>
                <w:lang w:val="en-US" w:eastAsia="zh-CN"/>
              </w:rPr>
              <w:t>固体废物产生量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tblHeader/>
          <w:jc w:val="center"/>
        </w:trPr>
        <w:tc>
          <w:tcPr>
            <w:tcW w:w="179" w:type="pct"/>
            <w:vMerge w:val="continue"/>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bCs w:val="0"/>
                <w:sz w:val="18"/>
                <w:szCs w:val="18"/>
                <w:u w:val="none"/>
              </w:rPr>
            </w:pPr>
          </w:p>
        </w:tc>
        <w:tc>
          <w:tcPr>
            <w:tcW w:w="89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cs="Times New Roman"/>
                <w:b/>
                <w:bCs w:val="0"/>
                <w:i w:val="0"/>
                <w:color w:val="auto"/>
                <w:sz w:val="18"/>
                <w:szCs w:val="18"/>
                <w:u w:val="none"/>
                <w:lang w:val="en-US" w:eastAsia="zh-CN"/>
              </w:rPr>
            </w:pPr>
          </w:p>
        </w:tc>
        <w:tc>
          <w:tcPr>
            <w:tcW w:w="245"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color w:val="000000"/>
                <w:kern w:val="0"/>
                <w:sz w:val="18"/>
                <w:szCs w:val="18"/>
                <w:u w:val="none"/>
                <w:lang w:val="en-US" w:eastAsia="zh-CN" w:bidi="ar"/>
              </w:rPr>
            </w:pPr>
            <w:r>
              <w:rPr>
                <w:rFonts w:hint="default" w:ascii="Times New Roman" w:hAnsi="Times New Roman" w:cs="Times New Roman"/>
                <w:b/>
                <w:bCs w:val="0"/>
                <w:sz w:val="18"/>
                <w:szCs w:val="18"/>
                <w:u w:val="none"/>
                <w:lang w:val="en-US" w:eastAsia="zh-CN"/>
              </w:rPr>
              <w:t>SO</w:t>
            </w:r>
            <w:r>
              <w:rPr>
                <w:rFonts w:hint="default" w:ascii="Times New Roman" w:hAnsi="Times New Roman" w:cs="Times New Roman"/>
                <w:b/>
                <w:bCs w:val="0"/>
                <w:sz w:val="18"/>
                <w:szCs w:val="18"/>
                <w:u w:val="none"/>
                <w:vertAlign w:val="subscript"/>
                <w:lang w:val="en-US" w:eastAsia="zh-CN"/>
              </w:rPr>
              <w:t>2</w:t>
            </w:r>
          </w:p>
        </w:tc>
        <w:tc>
          <w:tcPr>
            <w:tcW w:w="245"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color w:val="000000"/>
                <w:kern w:val="0"/>
                <w:sz w:val="18"/>
                <w:szCs w:val="18"/>
                <w:u w:val="none"/>
                <w:lang w:val="en-US" w:eastAsia="zh-CN" w:bidi="ar"/>
              </w:rPr>
            </w:pPr>
            <w:r>
              <w:rPr>
                <w:rFonts w:hint="default" w:ascii="Times New Roman" w:hAnsi="Times New Roman" w:cs="Times New Roman"/>
                <w:b/>
                <w:bCs w:val="0"/>
                <w:sz w:val="18"/>
                <w:szCs w:val="18"/>
                <w:u w:val="none"/>
                <w:lang w:val="en-US" w:eastAsia="zh-CN"/>
              </w:rPr>
              <w:t>NOx</w:t>
            </w:r>
          </w:p>
        </w:tc>
        <w:tc>
          <w:tcPr>
            <w:tcW w:w="245"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color w:val="000000"/>
                <w:kern w:val="0"/>
                <w:sz w:val="18"/>
                <w:szCs w:val="18"/>
                <w:u w:val="none"/>
                <w:lang w:val="en-US" w:eastAsia="zh-CN" w:bidi="ar"/>
              </w:rPr>
            </w:pPr>
            <w:r>
              <w:rPr>
                <w:rFonts w:hint="default" w:ascii="Times New Roman" w:hAnsi="Times New Roman" w:cs="Times New Roman"/>
                <w:b/>
                <w:bCs w:val="0"/>
                <w:sz w:val="18"/>
                <w:szCs w:val="18"/>
                <w:u w:val="none"/>
                <w:lang w:val="en-US" w:eastAsia="zh-CN"/>
              </w:rPr>
              <w:t>颗粒物</w:t>
            </w:r>
          </w:p>
        </w:tc>
        <w:tc>
          <w:tcPr>
            <w:tcW w:w="245"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color w:val="000000"/>
                <w:kern w:val="0"/>
                <w:sz w:val="18"/>
                <w:szCs w:val="18"/>
                <w:u w:val="none"/>
                <w:lang w:val="en-US" w:eastAsia="zh-CN" w:bidi="ar"/>
              </w:rPr>
            </w:pPr>
            <w:r>
              <w:rPr>
                <w:rFonts w:hint="default" w:ascii="Times New Roman" w:hAnsi="Times New Roman" w:cs="Times New Roman"/>
                <w:b/>
                <w:bCs w:val="0"/>
                <w:sz w:val="18"/>
                <w:szCs w:val="18"/>
                <w:u w:val="none"/>
                <w:lang w:val="en-US" w:eastAsia="zh-CN"/>
              </w:rPr>
              <w:t>硫酸雾</w:t>
            </w:r>
          </w:p>
        </w:tc>
        <w:tc>
          <w:tcPr>
            <w:tcW w:w="245"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color w:val="000000"/>
                <w:kern w:val="0"/>
                <w:sz w:val="18"/>
                <w:szCs w:val="18"/>
                <w:u w:val="none"/>
                <w:lang w:val="en-US" w:eastAsia="zh-CN" w:bidi="ar"/>
              </w:rPr>
            </w:pPr>
            <w:r>
              <w:rPr>
                <w:rFonts w:hint="default" w:ascii="Times New Roman" w:hAnsi="Times New Roman" w:cs="Times New Roman"/>
                <w:b/>
                <w:bCs w:val="0"/>
                <w:sz w:val="18"/>
                <w:szCs w:val="18"/>
                <w:u w:val="none"/>
                <w:lang w:val="en-US" w:eastAsia="zh-CN"/>
              </w:rPr>
              <w:t>NH</w:t>
            </w:r>
            <w:r>
              <w:rPr>
                <w:rFonts w:hint="default" w:ascii="Times New Roman" w:hAnsi="Times New Roman" w:cs="Times New Roman"/>
                <w:b/>
                <w:bCs w:val="0"/>
                <w:sz w:val="18"/>
                <w:szCs w:val="18"/>
                <w:u w:val="none"/>
                <w:vertAlign w:val="subscript"/>
                <w:lang w:val="en-US" w:eastAsia="zh-CN"/>
              </w:rPr>
              <w:t>3</w:t>
            </w:r>
          </w:p>
        </w:tc>
        <w:tc>
          <w:tcPr>
            <w:tcW w:w="245"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color w:val="000000"/>
                <w:kern w:val="0"/>
                <w:sz w:val="18"/>
                <w:szCs w:val="18"/>
                <w:u w:val="none"/>
                <w:lang w:val="en-US" w:eastAsia="zh-CN" w:bidi="ar"/>
              </w:rPr>
            </w:pPr>
            <w:r>
              <w:rPr>
                <w:rFonts w:hint="default" w:ascii="Times New Roman" w:hAnsi="Times New Roman" w:cs="Times New Roman"/>
                <w:b/>
                <w:bCs w:val="0"/>
                <w:sz w:val="18"/>
                <w:szCs w:val="18"/>
                <w:u w:val="none"/>
                <w:lang w:val="en-US" w:eastAsia="zh-CN"/>
              </w:rPr>
              <w:t>HCl</w:t>
            </w:r>
          </w:p>
        </w:tc>
        <w:tc>
          <w:tcPr>
            <w:tcW w:w="245"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color w:val="000000"/>
                <w:kern w:val="0"/>
                <w:sz w:val="18"/>
                <w:szCs w:val="18"/>
                <w:u w:val="none"/>
                <w:lang w:val="en-US" w:eastAsia="zh-CN" w:bidi="ar"/>
              </w:rPr>
            </w:pPr>
            <w:r>
              <w:rPr>
                <w:rFonts w:hint="default" w:ascii="Times New Roman" w:hAnsi="Times New Roman" w:cs="Times New Roman"/>
                <w:b/>
                <w:bCs w:val="0"/>
                <w:sz w:val="18"/>
                <w:szCs w:val="18"/>
                <w:u w:val="none"/>
                <w:lang w:val="en-US" w:eastAsia="zh-CN"/>
              </w:rPr>
              <w:t>VOCs</w:t>
            </w:r>
          </w:p>
        </w:tc>
        <w:tc>
          <w:tcPr>
            <w:tcW w:w="245"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color w:val="000000"/>
                <w:kern w:val="0"/>
                <w:sz w:val="18"/>
                <w:szCs w:val="18"/>
                <w:u w:val="none"/>
                <w:lang w:val="en-US" w:eastAsia="zh-CN" w:bidi="ar"/>
              </w:rPr>
            </w:pPr>
            <w:r>
              <w:rPr>
                <w:rFonts w:hint="default" w:ascii="Times New Roman" w:hAnsi="Times New Roman" w:cs="Times New Roman"/>
                <w:b/>
                <w:bCs w:val="0"/>
                <w:sz w:val="18"/>
                <w:szCs w:val="18"/>
                <w:u w:val="none"/>
                <w:lang w:val="en-US" w:eastAsia="zh-CN"/>
              </w:rPr>
              <w:t>Pb</w:t>
            </w:r>
          </w:p>
        </w:tc>
        <w:tc>
          <w:tcPr>
            <w:tcW w:w="245"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color w:val="000000"/>
                <w:kern w:val="0"/>
                <w:sz w:val="18"/>
                <w:szCs w:val="18"/>
                <w:u w:val="none"/>
                <w:lang w:val="en-US" w:eastAsia="zh-CN" w:bidi="ar"/>
              </w:rPr>
            </w:pPr>
            <w:r>
              <w:rPr>
                <w:rFonts w:hint="default" w:ascii="Times New Roman" w:hAnsi="Times New Roman" w:cs="Times New Roman"/>
                <w:b/>
                <w:bCs w:val="0"/>
                <w:sz w:val="18"/>
                <w:szCs w:val="18"/>
                <w:u w:val="none"/>
                <w:lang w:val="en-US" w:eastAsia="zh-CN"/>
              </w:rPr>
              <w:t>C</w:t>
            </w:r>
            <w:r>
              <w:rPr>
                <w:rFonts w:hint="eastAsia" w:cs="Times New Roman"/>
                <w:b/>
                <w:bCs w:val="0"/>
                <w:sz w:val="18"/>
                <w:szCs w:val="18"/>
                <w:u w:val="none"/>
                <w:lang w:val="en-US" w:eastAsia="zh-CN"/>
              </w:rPr>
              <w:t>d</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color w:val="000000"/>
                <w:kern w:val="0"/>
                <w:sz w:val="18"/>
                <w:szCs w:val="18"/>
                <w:u w:val="none"/>
                <w:lang w:val="en-US" w:eastAsia="zh-CN" w:bidi="ar"/>
              </w:rPr>
            </w:pPr>
            <w:r>
              <w:rPr>
                <w:rFonts w:hint="default" w:ascii="Times New Roman" w:hAnsi="Times New Roman" w:eastAsia="宋体" w:cs="Times New Roman"/>
                <w:b/>
                <w:bCs w:val="0"/>
                <w:sz w:val="18"/>
                <w:szCs w:val="18"/>
                <w:u w:val="none"/>
                <w:lang w:val="en-US" w:eastAsia="zh-CN"/>
              </w:rPr>
              <w:t>排放量</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color w:val="000000"/>
                <w:kern w:val="0"/>
                <w:sz w:val="18"/>
                <w:szCs w:val="18"/>
                <w:u w:val="none"/>
                <w:lang w:val="en-US" w:eastAsia="zh-CN" w:bidi="ar"/>
              </w:rPr>
            </w:pPr>
            <w:r>
              <w:rPr>
                <w:rFonts w:hint="default" w:ascii="Times New Roman" w:hAnsi="Times New Roman" w:eastAsia="宋体" w:cs="Times New Roman"/>
                <w:b/>
                <w:bCs w:val="0"/>
                <w:sz w:val="18"/>
                <w:szCs w:val="18"/>
                <w:u w:val="none"/>
                <w:lang w:val="en-US" w:eastAsia="zh-CN"/>
              </w:rPr>
              <w:t>COD</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color w:val="000000"/>
                <w:kern w:val="0"/>
                <w:sz w:val="18"/>
                <w:szCs w:val="18"/>
                <w:u w:val="none"/>
                <w:lang w:val="en-US" w:eastAsia="zh-CN" w:bidi="ar"/>
              </w:rPr>
            </w:pPr>
            <w:r>
              <w:rPr>
                <w:rFonts w:hint="default" w:ascii="Times New Roman" w:hAnsi="Times New Roman" w:eastAsia="宋体" w:cs="Times New Roman"/>
                <w:b/>
                <w:bCs w:val="0"/>
                <w:sz w:val="18"/>
                <w:szCs w:val="18"/>
                <w:u w:val="none"/>
                <w:lang w:val="en-US" w:eastAsia="zh-CN"/>
              </w:rPr>
              <w:t>NH</w:t>
            </w:r>
            <w:r>
              <w:rPr>
                <w:rFonts w:hint="default" w:ascii="Times New Roman" w:hAnsi="Times New Roman" w:eastAsia="宋体" w:cs="Times New Roman"/>
                <w:b/>
                <w:bCs w:val="0"/>
                <w:sz w:val="18"/>
                <w:szCs w:val="18"/>
                <w:u w:val="none"/>
                <w:vertAlign w:val="subscript"/>
                <w:lang w:val="en-US" w:eastAsia="zh-CN"/>
              </w:rPr>
              <w:t>3</w:t>
            </w:r>
            <w:r>
              <w:rPr>
                <w:rFonts w:hint="default" w:ascii="Times New Roman" w:hAnsi="Times New Roman" w:eastAsia="宋体" w:cs="Times New Roman"/>
                <w:b/>
                <w:bCs w:val="0"/>
                <w:sz w:val="18"/>
                <w:szCs w:val="18"/>
                <w:u w:val="none"/>
                <w:lang w:val="en-US" w:eastAsia="zh-CN"/>
              </w:rPr>
              <w:t>-H</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color w:val="000000"/>
                <w:kern w:val="0"/>
                <w:sz w:val="18"/>
                <w:szCs w:val="18"/>
                <w:u w:val="none"/>
                <w:lang w:val="en-US" w:eastAsia="zh-CN" w:bidi="ar"/>
              </w:rPr>
            </w:pPr>
            <w:r>
              <w:rPr>
                <w:rFonts w:hint="eastAsia" w:ascii="Times New Roman" w:hAnsi="Times New Roman" w:eastAsia="宋体" w:cs="Times New Roman"/>
                <w:b/>
                <w:bCs w:val="0"/>
                <w:color w:val="000000"/>
                <w:kern w:val="0"/>
                <w:sz w:val="18"/>
                <w:szCs w:val="18"/>
                <w:u w:val="none"/>
                <w:lang w:val="en-US" w:eastAsia="zh-CN" w:bidi="ar"/>
              </w:rPr>
              <w:t>Pb</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color w:val="000000"/>
                <w:kern w:val="0"/>
                <w:sz w:val="18"/>
                <w:szCs w:val="18"/>
                <w:u w:val="none"/>
                <w:lang w:val="en-US" w:eastAsia="zh-CN" w:bidi="ar"/>
              </w:rPr>
            </w:pPr>
            <w:r>
              <w:rPr>
                <w:rFonts w:hint="eastAsia" w:ascii="Times New Roman" w:hAnsi="Times New Roman" w:eastAsia="宋体" w:cs="Times New Roman"/>
                <w:b/>
                <w:bCs w:val="0"/>
                <w:color w:val="000000"/>
                <w:kern w:val="0"/>
                <w:sz w:val="18"/>
                <w:szCs w:val="18"/>
                <w:u w:val="none"/>
                <w:lang w:val="en-US" w:eastAsia="zh-CN" w:bidi="ar"/>
              </w:rPr>
              <w:t>C</w:t>
            </w:r>
            <w:r>
              <w:rPr>
                <w:rFonts w:hint="eastAsia" w:cs="Times New Roman"/>
                <w:b/>
                <w:bCs w:val="0"/>
                <w:color w:val="000000"/>
                <w:kern w:val="0"/>
                <w:sz w:val="18"/>
                <w:szCs w:val="18"/>
                <w:u w:val="none"/>
                <w:lang w:val="en-US" w:eastAsia="zh-CN" w:bidi="ar"/>
              </w:rPr>
              <w:t>r</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color w:val="000000"/>
                <w:kern w:val="0"/>
                <w:sz w:val="18"/>
                <w:szCs w:val="18"/>
                <w:u w:val="none"/>
                <w:lang w:val="en-US" w:eastAsia="zh-CN" w:bidi="ar"/>
              </w:rPr>
            </w:pPr>
            <w:r>
              <w:rPr>
                <w:rFonts w:hint="default" w:ascii="Times New Roman" w:hAnsi="Times New Roman" w:eastAsia="宋体" w:cs="Times New Roman"/>
                <w:b/>
                <w:bCs w:val="0"/>
                <w:sz w:val="18"/>
                <w:szCs w:val="18"/>
                <w:u w:val="none"/>
                <w:lang w:val="en-US" w:eastAsia="zh-CN"/>
              </w:rPr>
              <w:t>一般固废</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bCs w:val="0"/>
                <w:color w:val="000000"/>
                <w:kern w:val="0"/>
                <w:sz w:val="18"/>
                <w:szCs w:val="18"/>
                <w:u w:val="none"/>
                <w:lang w:val="en-US" w:eastAsia="zh-CN" w:bidi="ar"/>
              </w:rPr>
            </w:pPr>
            <w:r>
              <w:rPr>
                <w:rFonts w:hint="default" w:ascii="Times New Roman" w:hAnsi="Times New Roman" w:eastAsia="宋体" w:cs="Times New Roman"/>
                <w:b/>
                <w:bCs w:val="0"/>
                <w:sz w:val="18"/>
                <w:szCs w:val="18"/>
                <w:u w:val="none"/>
                <w:lang w:val="en-US" w:eastAsia="zh-CN"/>
              </w:rPr>
              <w:t>危险废物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1</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湖南东方矿业有限责任公司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7.7824</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5.2358</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35.661</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0.4512</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0.8512</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0.0144</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0.0851</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516500</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2</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湖南</w:t>
            </w:r>
            <w:r>
              <w:rPr>
                <w:rFonts w:hint="default" w:ascii="Times New Roman" w:hAnsi="Times New Roman" w:cs="Times New Roman"/>
                <w:b w:val="0"/>
                <w:bCs/>
                <w:sz w:val="18"/>
                <w:szCs w:val="18"/>
                <w:highlight w:val="none"/>
                <w:u w:val="none"/>
                <w:lang w:val="en-US" w:eastAsia="zh-CN"/>
              </w:rPr>
              <w:t>健源生物科技有限责任公</w:t>
            </w:r>
            <w:r>
              <w:rPr>
                <w:rFonts w:hint="default" w:ascii="Times New Roman" w:hAnsi="Times New Roman" w:cs="Times New Roman"/>
                <w:b w:val="0"/>
                <w:bCs/>
                <w:sz w:val="18"/>
                <w:szCs w:val="18"/>
                <w:u w:val="none"/>
                <w:lang w:val="en-US" w:eastAsia="zh-CN"/>
              </w:rPr>
              <w:t>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bidi="ar-SA"/>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bidi="ar-SA"/>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bidi="ar-SA"/>
              </w:rPr>
            </w:pPr>
            <w:r>
              <w:rPr>
                <w:rFonts w:hint="default" w:ascii="Times New Roman" w:hAnsi="Times New Roman" w:cs="Times New Roman"/>
                <w:b w:val="0"/>
                <w:bCs/>
                <w:i w:val="0"/>
                <w:color w:val="auto"/>
                <w:sz w:val="18"/>
                <w:szCs w:val="18"/>
                <w:u w:val="none"/>
                <w:lang w:val="en-US" w:eastAsia="zh-CN"/>
              </w:rPr>
              <w:t>0.5680</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bidi="ar-SA"/>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bidi="ar-SA"/>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bidi="ar-SA"/>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2.2350</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8870</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0.4435 </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0.0444 </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1.5</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1.945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3</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湖南省香味园食品股份有限公司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0.178</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0.107</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0.030</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14400</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0.7200 </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0.0720 </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245.2</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4</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湖南通力石英材料有限责任公司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4.56</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0.0459</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2740</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0.1370 </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0.0137 </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920</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5</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花垣康园新型墙材有限公司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bidi="ar-SA"/>
              </w:rPr>
            </w:pPr>
            <w:r>
              <w:rPr>
                <w:rFonts w:hint="default" w:ascii="Times New Roman" w:hAnsi="Times New Roman" w:cs="Times New Roman"/>
                <w:b w:val="0"/>
                <w:bCs/>
                <w:i w:val="0"/>
                <w:color w:val="auto"/>
                <w:kern w:val="2"/>
                <w:sz w:val="18"/>
                <w:szCs w:val="18"/>
                <w:highlight w:val="none"/>
                <w:u w:val="none"/>
                <w:lang w:val="en-US" w:eastAsia="zh-CN" w:bidi="ar-SA"/>
              </w:rPr>
              <w:t>1.08</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bidi="ar-SA"/>
              </w:rPr>
            </w:pPr>
            <w:r>
              <w:rPr>
                <w:rFonts w:hint="default" w:ascii="Times New Roman" w:hAnsi="Times New Roman" w:cs="Times New Roman"/>
                <w:b w:val="0"/>
                <w:bCs/>
                <w:i w:val="0"/>
                <w:color w:val="auto"/>
                <w:kern w:val="2"/>
                <w:sz w:val="18"/>
                <w:szCs w:val="18"/>
                <w:highlight w:val="none"/>
                <w:u w:val="none"/>
                <w:lang w:val="en-US" w:eastAsia="zh-CN" w:bidi="ar-SA"/>
              </w:rPr>
              <w:t>4.08</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5.4</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3886.17</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6</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湖南三丰钒业有限公司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bidi="ar-SA"/>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bidi="ar-SA"/>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bidi="ar-SA"/>
              </w:rPr>
            </w:pPr>
            <w:r>
              <w:rPr>
                <w:rFonts w:hint="default" w:ascii="Times New Roman" w:hAnsi="Times New Roman" w:eastAsia="宋体" w:cs="Times New Roman"/>
                <w:b w:val="0"/>
                <w:bCs/>
                <w:i w:val="0"/>
                <w:color w:val="auto"/>
                <w:kern w:val="2"/>
                <w:sz w:val="18"/>
                <w:szCs w:val="18"/>
                <w:u w:val="none"/>
                <w:lang w:val="en-US" w:eastAsia="zh-CN" w:bidi="ar-SA"/>
              </w:rPr>
              <w:t>3.2154</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bidi="ar-SA"/>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bidi="ar-SA"/>
              </w:rPr>
            </w:pPr>
            <w:r>
              <w:rPr>
                <w:rFonts w:hint="default" w:ascii="Times New Roman" w:hAnsi="Times New Roman" w:eastAsia="宋体" w:cs="Times New Roman"/>
                <w:b w:val="0"/>
                <w:bCs/>
                <w:i w:val="0"/>
                <w:color w:val="auto"/>
                <w:kern w:val="2"/>
                <w:sz w:val="18"/>
                <w:szCs w:val="18"/>
                <w:u w:val="none"/>
                <w:lang w:val="en-US" w:eastAsia="zh-CN" w:bidi="ar-SA"/>
              </w:rPr>
              <w:t>1.2415</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bidi="ar-SA"/>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bidi="ar-SA"/>
              </w:rPr>
            </w:pPr>
            <w:r>
              <w:rPr>
                <w:rFonts w:hint="default" w:ascii="Times New Roman" w:hAnsi="Times New Roman" w:cs="Times New Roman"/>
                <w:b w:val="0"/>
                <w:bCs/>
                <w:i w:val="0"/>
                <w:color w:val="auto"/>
                <w:sz w:val="18"/>
                <w:szCs w:val="18"/>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bidi="ar-SA"/>
              </w:rPr>
            </w:pPr>
            <w:r>
              <w:rPr>
                <w:rFonts w:hint="default" w:ascii="Times New Roman" w:hAnsi="Times New Roman" w:eastAsia="宋体" w:cs="Times New Roman"/>
                <w:b w:val="0"/>
                <w:bCs/>
                <w:i w:val="0"/>
                <w:color w:val="auto"/>
                <w:kern w:val="2"/>
                <w:sz w:val="18"/>
                <w:szCs w:val="18"/>
                <w:u w:val="none"/>
                <w:lang w:val="en-US" w:eastAsia="zh-CN" w:bidi="ar-SA"/>
              </w:rPr>
              <w:t>0.0311</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bidi="ar-SA"/>
              </w:rPr>
            </w:pPr>
            <w:r>
              <w:rPr>
                <w:rFonts w:hint="default" w:ascii="Times New Roman" w:hAnsi="Times New Roman" w:cs="Times New Roman"/>
                <w:b w:val="0"/>
                <w:bCs/>
                <w:i w:val="0"/>
                <w:color w:val="auto"/>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1042</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7</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湖南兆科动力新能源有限公司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bidi="ar-SA"/>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bidi="ar-SA"/>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bidi="ar-SA"/>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bidi="ar-SA"/>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bidi="ar-SA"/>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bidi="ar-SA"/>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bidi="ar-SA"/>
              </w:rPr>
            </w:pPr>
            <w:r>
              <w:rPr>
                <w:rFonts w:hint="default" w:ascii="Times New Roman" w:hAnsi="Times New Roman" w:eastAsia="宋体" w:cs="Times New Roman"/>
                <w:b w:val="0"/>
                <w:bCs/>
                <w:i w:val="0"/>
                <w:color w:val="auto"/>
                <w:kern w:val="2"/>
                <w:sz w:val="18"/>
                <w:szCs w:val="18"/>
                <w:u w:val="none"/>
                <w:lang w:val="en-US" w:eastAsia="zh-CN" w:bidi="ar-SA"/>
              </w:rPr>
              <w:t>1.2510</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bidi="ar-SA"/>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bidi="ar-SA"/>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569.27</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8</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eastAsia="宋体" w:cs="Times New Roman"/>
                <w:b w:val="0"/>
                <w:bCs/>
                <w:sz w:val="18"/>
                <w:szCs w:val="18"/>
                <w:u w:val="none"/>
                <w:vertAlign w:val="baseline"/>
                <w:lang w:val="en-US" w:eastAsia="zh-CN"/>
              </w:rPr>
              <w:t>花垣宣腾电子科技有限公司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1.9</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9</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湖南瑞凯达智能科技有限公司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1</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10</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花垣县金辉建材有限责任公司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0.1246</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0.0749</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0.021</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kern w:val="2"/>
                <w:sz w:val="18"/>
                <w:szCs w:val="18"/>
                <w:highlight w:val="none"/>
                <w:u w:val="none"/>
                <w:lang w:val="en-US" w:eastAsia="zh-CN" w:bidi="ar-SA"/>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43363.964</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11</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湖</w:t>
            </w:r>
            <w:r>
              <w:rPr>
                <w:rFonts w:hint="default" w:ascii="Times New Roman" w:hAnsi="Times New Roman" w:cs="Times New Roman"/>
                <w:b w:val="0"/>
                <w:bCs/>
                <w:sz w:val="18"/>
                <w:szCs w:val="18"/>
                <w:highlight w:val="none"/>
                <w:u w:val="none"/>
                <w:lang w:val="en-US" w:eastAsia="zh-CN"/>
              </w:rPr>
              <w:t>南煜华实业有限公司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1</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12</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湘西倍益康农副产品开发有限公司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4620</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0.2310 </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0.0231 </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0.5</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13</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湘西杨氏兄弟食品有限责任公司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15100</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0.7550 </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0.0755 </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0.5</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14</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湘西乐峰油茶有限责任公司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5260</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0.2630 </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0.0263 </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2.5</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15</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花垣县民源食品有限责任公司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0.0534</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0.0321</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0.009</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10160</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0.5080 </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0.0508 </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8.436</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16</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花垣县龙祥粉业有限公司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0.0401</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0.0241</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0.0068</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6020</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0.3010 </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0.0301 </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6.3</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17</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湘西长存面业有限公司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2390</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0.1195 </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0.0120 </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0.2</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18</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highlight w:val="none"/>
                <w:u w:val="none"/>
                <w:lang w:val="en-US" w:eastAsia="zh-CN" w:bidi="ar"/>
              </w:rPr>
            </w:pPr>
            <w:r>
              <w:rPr>
                <w:rFonts w:hint="default" w:ascii="Times New Roman" w:hAnsi="Times New Roman" w:cs="Times New Roman"/>
                <w:b w:val="0"/>
                <w:bCs/>
                <w:sz w:val="18"/>
                <w:szCs w:val="18"/>
                <w:highlight w:val="none"/>
                <w:u w:val="none"/>
                <w:lang w:val="en-US" w:eastAsia="zh-CN"/>
              </w:rPr>
              <w:t>花垣县亿亿服饰有限公司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0.0593</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0.0357</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0.01</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0.3</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19</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花垣县畅兴工艺有限公司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1760</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0.0880 </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0.0088 </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0.2</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20</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highlight w:val="none"/>
                <w:u w:val="none"/>
                <w:lang w:val="en-US" w:eastAsia="zh-CN" w:bidi="ar"/>
              </w:rPr>
            </w:pPr>
            <w:r>
              <w:rPr>
                <w:rFonts w:hint="default" w:ascii="Times New Roman" w:hAnsi="Times New Roman" w:cs="Times New Roman"/>
                <w:b w:val="0"/>
                <w:bCs/>
                <w:sz w:val="18"/>
                <w:szCs w:val="18"/>
                <w:highlight w:val="none"/>
                <w:u w:val="none"/>
                <w:lang w:val="en-US" w:eastAsia="zh-CN"/>
              </w:rPr>
              <w:t>湘西金仕达鞋业有限公司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0.1</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21</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highlight w:val="none"/>
                <w:u w:val="none"/>
                <w:lang w:val="en-US" w:eastAsia="zh-CN" w:bidi="ar"/>
              </w:rPr>
            </w:pPr>
            <w:r>
              <w:rPr>
                <w:rFonts w:hint="default" w:ascii="Times New Roman" w:hAnsi="Times New Roman" w:cs="Times New Roman"/>
                <w:b w:val="0"/>
                <w:bCs/>
                <w:sz w:val="18"/>
                <w:szCs w:val="18"/>
                <w:highlight w:val="none"/>
                <w:u w:val="none"/>
                <w:lang w:val="en-US" w:eastAsia="zh-CN"/>
              </w:rPr>
              <w:t>湘西众诚箱包有限公司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0.4</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22</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highlight w:val="none"/>
                <w:u w:val="none"/>
                <w:lang w:val="en-US" w:eastAsia="zh-CN" w:bidi="ar"/>
              </w:rPr>
            </w:pPr>
            <w:r>
              <w:rPr>
                <w:rFonts w:hint="default" w:ascii="Times New Roman" w:hAnsi="Times New Roman" w:cs="Times New Roman"/>
                <w:b w:val="0"/>
                <w:bCs/>
                <w:sz w:val="18"/>
                <w:szCs w:val="18"/>
                <w:highlight w:val="none"/>
                <w:u w:val="none"/>
                <w:lang w:val="en-US" w:eastAsia="zh-CN"/>
              </w:rPr>
              <w:t>花垣县金皓农业科技开发有限公司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0.2</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23</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highlight w:val="none"/>
                <w:u w:val="none"/>
                <w:lang w:val="en-US" w:eastAsia="zh-CN" w:bidi="ar"/>
              </w:rPr>
            </w:pPr>
            <w:r>
              <w:rPr>
                <w:rFonts w:hint="default" w:ascii="Times New Roman" w:hAnsi="Times New Roman" w:cs="Times New Roman"/>
                <w:b w:val="0"/>
                <w:bCs/>
                <w:sz w:val="18"/>
                <w:szCs w:val="18"/>
                <w:highlight w:val="none"/>
                <w:u w:val="none"/>
                <w:lang w:val="en-US" w:eastAsia="zh-CN"/>
              </w:rPr>
              <w:t>花垣县泓益机械制造有限公司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1.47</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24</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highlight w:val="none"/>
                <w:u w:val="none"/>
                <w:lang w:val="en-US" w:eastAsia="zh-CN" w:bidi="ar"/>
              </w:rPr>
            </w:pPr>
            <w:r>
              <w:rPr>
                <w:rFonts w:hint="default" w:ascii="Times New Roman" w:hAnsi="Times New Roman" w:cs="Times New Roman"/>
                <w:b w:val="0"/>
                <w:bCs/>
                <w:sz w:val="18"/>
                <w:szCs w:val="18"/>
                <w:highlight w:val="none"/>
                <w:u w:val="none"/>
                <w:lang w:val="en-US" w:eastAsia="zh-CN"/>
              </w:rPr>
              <w:t>花垣县德草贸易有限责任公司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0.2</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25</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湖南奥邦新能源科技有限公司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26</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highlight w:val="none"/>
                <w:u w:val="none"/>
                <w:lang w:val="en-US" w:eastAsia="zh-CN" w:bidi="ar"/>
              </w:rPr>
            </w:pPr>
            <w:r>
              <w:rPr>
                <w:rFonts w:hint="default" w:ascii="Times New Roman" w:hAnsi="Times New Roman" w:cs="Times New Roman"/>
                <w:b w:val="0"/>
                <w:bCs/>
                <w:sz w:val="18"/>
                <w:szCs w:val="18"/>
                <w:highlight w:val="none"/>
                <w:u w:val="none"/>
                <w:lang w:val="en-US" w:eastAsia="zh-CN"/>
              </w:rPr>
              <w:t>湘西佳美店车新能源科技有限责任公司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2490</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0.1245 </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 xml:space="preserve">0.0125 </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27</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湖南十八洞新材料科技有限公司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28</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湖南盛世千恒环保科技有限公司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29</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cs="Times New Roman"/>
                <w:b w:val="0"/>
                <w:bCs/>
                <w:sz w:val="18"/>
                <w:szCs w:val="18"/>
                <w:u w:val="none"/>
                <w:lang w:val="en-US" w:eastAsia="zh-CN"/>
              </w:rPr>
              <w:t>湘西鑫合发电子科技有限公司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0.2</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179" w:type="pct"/>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cs="Times New Roman"/>
                <w:b w:val="0"/>
                <w:bCs/>
                <w:sz w:val="18"/>
                <w:szCs w:val="18"/>
                <w:u w:val="none"/>
              </w:rPr>
            </w:pPr>
            <w:r>
              <w:rPr>
                <w:rFonts w:hint="default" w:ascii="Times New Roman" w:hAnsi="Times New Roman" w:cs="Times New Roman"/>
                <w:b w:val="0"/>
                <w:bCs/>
                <w:sz w:val="18"/>
                <w:szCs w:val="18"/>
                <w:u w:val="none"/>
              </w:rPr>
              <w:t>30</w:t>
            </w:r>
          </w:p>
        </w:tc>
        <w:tc>
          <w:tcPr>
            <w:tcW w:w="89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highlight w:val="none"/>
                <w:u w:val="none"/>
                <w:lang w:val="en-US" w:eastAsia="zh-CN" w:bidi="ar"/>
              </w:rPr>
            </w:pPr>
            <w:r>
              <w:rPr>
                <w:rFonts w:hint="default" w:ascii="Times New Roman" w:hAnsi="Times New Roman" w:cs="Times New Roman"/>
                <w:b w:val="0"/>
                <w:bCs/>
                <w:sz w:val="18"/>
                <w:szCs w:val="18"/>
                <w:highlight w:val="none"/>
                <w:u w:val="none"/>
                <w:lang w:val="en-US" w:eastAsia="zh-CN"/>
              </w:rPr>
              <w:t>花垣县金正报废汽车回收拆解有限责任公司</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u w:val="none"/>
                <w:lang w:val="en-US" w:eastAsia="zh-CN"/>
              </w:rPr>
            </w:pPr>
            <w:r>
              <w:rPr>
                <w:rFonts w:hint="default" w:ascii="Times New Roman" w:hAnsi="Times New Roman" w:cs="Times New Roman"/>
                <w:b w:val="0"/>
                <w:bCs/>
                <w:i w:val="0"/>
                <w:color w:val="auto"/>
                <w:sz w:val="18"/>
                <w:szCs w:val="18"/>
                <w:highlight w:val="none"/>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45"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0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2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w:t>
            </w:r>
          </w:p>
        </w:tc>
        <w:tc>
          <w:tcPr>
            <w:tcW w:w="280"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1.3</w:t>
            </w:r>
          </w:p>
        </w:tc>
        <w:tc>
          <w:tcPr>
            <w:tcW w:w="281" w:type="pct"/>
            <w:noWrap/>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70" w:type="pct"/>
            <w:gridSpan w:val="2"/>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firstLine="0" w:firstLineChars="0"/>
              <w:jc w:val="center"/>
              <w:rPr>
                <w:rFonts w:hint="default" w:ascii="Times New Roman" w:hAnsi="Times New Roman" w:eastAsia="宋体" w:cs="Times New Roman"/>
                <w:b w:val="0"/>
                <w:bCs/>
                <w:color w:val="000000"/>
                <w:kern w:val="0"/>
                <w:sz w:val="18"/>
                <w:szCs w:val="18"/>
                <w:u w:val="none"/>
                <w:lang w:val="en-US" w:eastAsia="zh-CN" w:bidi="ar"/>
              </w:rPr>
            </w:pPr>
            <w:r>
              <w:rPr>
                <w:rFonts w:hint="default" w:ascii="Times New Roman" w:hAnsi="Times New Roman" w:eastAsia="宋体" w:cs="Times New Roman"/>
                <w:b w:val="0"/>
                <w:bCs/>
                <w:color w:val="000000"/>
                <w:kern w:val="0"/>
                <w:sz w:val="18"/>
                <w:szCs w:val="18"/>
                <w:u w:val="none"/>
                <w:lang w:val="en-US" w:eastAsia="zh-CN" w:bidi="ar"/>
              </w:rPr>
              <w:t>合计</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233.4778</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31.5896</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71.0072</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eastAsia" w:cs="Times New Roman"/>
                <w:b w:val="0"/>
                <w:bCs/>
                <w:i w:val="0"/>
                <w:color w:val="auto"/>
                <w:sz w:val="18"/>
                <w:szCs w:val="18"/>
                <w:highlight w:val="none"/>
                <w:u w:val="none"/>
                <w:lang w:val="en-US" w:eastAsia="zh-CN"/>
              </w:rPr>
              <w:t>3.0378</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2.3629</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0.0459</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3.486</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0.2823</w:t>
            </w:r>
          </w:p>
        </w:tc>
        <w:tc>
          <w:tcPr>
            <w:tcW w:w="245"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i w:val="0"/>
                <w:color w:val="auto"/>
                <w:kern w:val="2"/>
                <w:sz w:val="18"/>
                <w:szCs w:val="18"/>
                <w:highlight w:val="none"/>
                <w:u w:val="none"/>
                <w:lang w:val="en-US" w:eastAsia="zh-CN"/>
              </w:rPr>
            </w:pPr>
            <w:r>
              <w:rPr>
                <w:rFonts w:hint="default" w:ascii="Times New Roman" w:hAnsi="Times New Roman" w:eastAsia="宋体" w:cs="Times New Roman"/>
                <w:b w:val="0"/>
                <w:bCs/>
                <w:i w:val="0"/>
                <w:color w:val="auto"/>
                <w:sz w:val="18"/>
                <w:szCs w:val="18"/>
                <w:highlight w:val="none"/>
                <w:u w:val="none"/>
                <w:lang w:val="en-US" w:eastAsia="zh-CN"/>
              </w:rPr>
              <w:t>0.1022</w:t>
            </w:r>
          </w:p>
        </w:tc>
        <w:tc>
          <w:tcPr>
            <w:tcW w:w="245"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138390</w:t>
            </w:r>
          </w:p>
        </w:tc>
        <w:tc>
          <w:tcPr>
            <w:tcW w:w="245"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highlight w:val="none"/>
                <w:u w:val="none"/>
                <w:lang w:val="en-US" w:eastAsia="zh-CN"/>
              </w:rPr>
              <w:t>10.1485</w:t>
            </w:r>
          </w:p>
        </w:tc>
        <w:tc>
          <w:tcPr>
            <w:tcW w:w="245"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1.337</w:t>
            </w:r>
            <w:r>
              <w:rPr>
                <w:rFonts w:hint="eastAsia" w:cs="Times New Roman"/>
                <w:sz w:val="18"/>
                <w:szCs w:val="18"/>
                <w:u w:val="none"/>
                <w:lang w:val="en-US" w:eastAsia="zh-CN"/>
              </w:rPr>
              <w:t>8</w:t>
            </w:r>
          </w:p>
        </w:tc>
        <w:tc>
          <w:tcPr>
            <w:tcW w:w="200"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0.06</w:t>
            </w:r>
          </w:p>
        </w:tc>
        <w:tc>
          <w:tcPr>
            <w:tcW w:w="22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rPr>
                <w:rFonts w:hint="default" w:ascii="Times New Roman" w:hAnsi="Times New Roman" w:eastAsia="宋体" w:cs="Times New Roman"/>
                <w:color w:val="000000"/>
                <w:kern w:val="0"/>
                <w:sz w:val="18"/>
                <w:szCs w:val="18"/>
                <w:u w:val="none"/>
                <w:lang w:val="en-US" w:eastAsia="zh-CN" w:bidi="ar"/>
              </w:rPr>
            </w:pPr>
            <w:r>
              <w:rPr>
                <w:rFonts w:hint="default" w:ascii="Times New Roman" w:hAnsi="Times New Roman" w:eastAsia="宋体" w:cs="Times New Roman"/>
                <w:sz w:val="18"/>
                <w:szCs w:val="18"/>
                <w:u w:val="none"/>
                <w:lang w:val="en-US" w:eastAsia="zh-CN"/>
              </w:rPr>
              <w:t>0.006</w:t>
            </w:r>
          </w:p>
        </w:tc>
        <w:tc>
          <w:tcPr>
            <w:tcW w:w="280"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666554.81</w:t>
            </w:r>
          </w:p>
        </w:tc>
        <w:tc>
          <w:tcPr>
            <w:tcW w:w="281"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rPr>
                <w:rFonts w:hint="default" w:ascii="Times New Roman" w:hAnsi="Times New Roman" w:eastAsia="宋体" w:cs="Times New Roman"/>
                <w:b w:val="0"/>
                <w:bCs/>
                <w:sz w:val="18"/>
                <w:szCs w:val="18"/>
                <w:u w:val="none"/>
                <w:lang w:val="en-US" w:eastAsia="zh-CN"/>
              </w:rPr>
            </w:pPr>
            <w:r>
              <w:rPr>
                <w:rFonts w:hint="default" w:ascii="Times New Roman" w:hAnsi="Times New Roman" w:eastAsia="宋体" w:cs="Times New Roman"/>
                <w:b w:val="0"/>
                <w:bCs/>
                <w:sz w:val="18"/>
                <w:szCs w:val="18"/>
                <w:u w:val="none"/>
                <w:lang w:val="en-US" w:eastAsia="zh-CN"/>
              </w:rPr>
              <w:t>94354.665</w:t>
            </w:r>
          </w:p>
        </w:tc>
      </w:tr>
    </w:tbl>
    <w:p>
      <w:pPr>
        <w:pStyle w:val="6"/>
        <w:rPr>
          <w:u w:val="none"/>
        </w:rPr>
      </w:pPr>
    </w:p>
    <w:p>
      <w:p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86"/>
        <w:spacing w:before="156" w:after="156"/>
        <w:rPr>
          <w:rFonts w:hint="eastAsia" w:ascii="Times New Roman" w:hAnsi="Times New Roman"/>
          <w:b/>
          <w:color w:val="000000"/>
          <w:lang w:val="en-US" w:eastAsia="zh-CN"/>
        </w:rPr>
      </w:pPr>
      <w:bookmarkStart w:id="264" w:name="_Toc30237"/>
      <w:r>
        <w:rPr>
          <w:rFonts w:hint="eastAsia" w:ascii="Times New Roman" w:hAnsi="Times New Roman"/>
          <w:b/>
          <w:color w:val="000000"/>
          <w:lang w:val="en-US" w:eastAsia="zh-CN"/>
        </w:rPr>
        <w:t>3.5 区域风险源调查情况</w:t>
      </w:r>
      <w:bookmarkEnd w:id="264"/>
    </w:p>
    <w:p>
      <w:pPr>
        <w:pStyle w:val="6"/>
        <w:rPr>
          <w:rFonts w:hint="eastAsia"/>
          <w:lang w:val="en-US" w:eastAsia="zh-CN"/>
        </w:rPr>
      </w:pPr>
      <w:r>
        <w:rPr>
          <w:rFonts w:hint="eastAsia"/>
          <w:lang w:val="en-US" w:eastAsia="zh-CN"/>
        </w:rPr>
        <w:t>本项目收集处理废水主要为花垣工业集中区现有的涉重企业在生产线事故情况下，产生的重金属废水无法回用到生产线循环利用的重金属废水。根据花垣县工业集中区突发环境事件应急预案可知，园区存在以下环境风险：</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bCs/>
          <w:sz w:val="21"/>
          <w:szCs w:val="21"/>
          <w:u w:val="none"/>
          <w:lang w:eastAsia="zh-CN"/>
        </w:rPr>
      </w:pPr>
      <w:r>
        <w:rPr>
          <w:rFonts w:hint="default" w:ascii="Times New Roman" w:hAnsi="Times New Roman" w:eastAsia="宋体" w:cs="Times New Roman"/>
          <w:b/>
          <w:bCs/>
          <w:sz w:val="21"/>
          <w:szCs w:val="21"/>
          <w:u w:val="none"/>
        </w:rPr>
        <w:t>表</w:t>
      </w:r>
      <w:r>
        <w:rPr>
          <w:rFonts w:hint="eastAsia" w:eastAsia="宋体" w:cs="Times New Roman"/>
          <w:b/>
          <w:bCs/>
          <w:sz w:val="21"/>
          <w:szCs w:val="21"/>
          <w:u w:val="none"/>
          <w:lang w:val="en-US" w:eastAsia="zh-CN"/>
        </w:rPr>
        <w:t>3.5</w:t>
      </w:r>
      <w:r>
        <w:rPr>
          <w:rFonts w:hint="default" w:ascii="Times New Roman" w:hAnsi="Times New Roman" w:eastAsia="宋体" w:cs="Times New Roman"/>
          <w:b/>
          <w:bCs/>
          <w:sz w:val="21"/>
          <w:szCs w:val="21"/>
          <w:u w:val="none"/>
          <w:lang w:eastAsia="zh-CN"/>
        </w:rPr>
        <w:t>-</w:t>
      </w:r>
      <w:r>
        <w:rPr>
          <w:rFonts w:hint="eastAsia" w:cs="Times New Roman"/>
          <w:b/>
          <w:bCs/>
          <w:sz w:val="21"/>
          <w:szCs w:val="21"/>
          <w:u w:val="none"/>
          <w:lang w:val="en-US" w:eastAsia="zh-CN"/>
        </w:rPr>
        <w:t>1</w:t>
      </w:r>
      <w:r>
        <w:rPr>
          <w:rFonts w:hint="default" w:ascii="Times New Roman" w:hAnsi="Times New Roman" w:eastAsia="宋体" w:cs="Times New Roman"/>
          <w:b/>
          <w:bCs/>
          <w:sz w:val="21"/>
          <w:szCs w:val="21"/>
          <w:u w:val="none"/>
        </w:rPr>
        <w:t xml:space="preserve">  </w:t>
      </w:r>
      <w:r>
        <w:rPr>
          <w:rFonts w:hint="default" w:ascii="Times New Roman" w:hAnsi="Times New Roman" w:eastAsia="宋体" w:cs="Times New Roman"/>
          <w:b/>
          <w:bCs/>
          <w:sz w:val="21"/>
          <w:szCs w:val="21"/>
          <w:u w:val="none"/>
          <w:lang w:val="en-US" w:eastAsia="zh-CN"/>
        </w:rPr>
        <w:t>开发</w:t>
      </w:r>
      <w:r>
        <w:rPr>
          <w:rFonts w:hint="default" w:ascii="Times New Roman" w:hAnsi="Times New Roman" w:eastAsia="宋体" w:cs="Times New Roman"/>
          <w:b/>
          <w:bCs/>
          <w:sz w:val="21"/>
          <w:szCs w:val="21"/>
          <w:u w:val="none"/>
        </w:rPr>
        <w:t>区主要风险类型及其评估</w:t>
      </w:r>
    </w:p>
    <w:tbl>
      <w:tblPr>
        <w:tblStyle w:val="37"/>
        <w:tblW w:w="1417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57"/>
        <w:gridCol w:w="2346"/>
        <w:gridCol w:w="4379"/>
        <w:gridCol w:w="3962"/>
        <w:gridCol w:w="26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tblHeader/>
          <w:jc w:val="center"/>
        </w:trPr>
        <w:tc>
          <w:tcPr>
            <w:tcW w:w="3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sz w:val="18"/>
                <w:szCs w:val="18"/>
                <w:u w:val="none"/>
                <w:lang w:val="en-US" w:eastAsia="zh-CN"/>
              </w:rPr>
            </w:pPr>
            <w:r>
              <w:rPr>
                <w:rFonts w:hint="default" w:ascii="Times New Roman" w:hAnsi="Times New Roman" w:eastAsia="宋体" w:cs="Times New Roman"/>
                <w:b/>
                <w:bCs/>
                <w:sz w:val="18"/>
                <w:szCs w:val="18"/>
                <w:u w:val="none"/>
                <w:lang w:val="en-US" w:eastAsia="zh-CN"/>
              </w:rPr>
              <w:t>事故类型</w:t>
            </w: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sz w:val="18"/>
                <w:szCs w:val="18"/>
                <w:u w:val="none"/>
                <w:lang w:val="en-US" w:eastAsia="zh-CN"/>
              </w:rPr>
            </w:pPr>
            <w:r>
              <w:rPr>
                <w:rFonts w:hint="default" w:ascii="Times New Roman" w:hAnsi="Times New Roman" w:eastAsia="宋体" w:cs="Times New Roman"/>
                <w:b/>
                <w:bCs/>
                <w:sz w:val="18"/>
                <w:szCs w:val="18"/>
                <w:u w:val="none"/>
                <w:lang w:val="en-US" w:eastAsia="zh-CN"/>
              </w:rPr>
              <w:t>诱发物质</w:t>
            </w:r>
          </w:p>
        </w:tc>
        <w:tc>
          <w:tcPr>
            <w:tcW w:w="15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sz w:val="18"/>
                <w:szCs w:val="18"/>
                <w:u w:val="none"/>
                <w:lang w:val="en-US" w:eastAsia="zh-CN"/>
              </w:rPr>
            </w:pPr>
            <w:r>
              <w:rPr>
                <w:rFonts w:hint="default" w:ascii="Times New Roman" w:hAnsi="Times New Roman" w:eastAsia="宋体" w:cs="Times New Roman"/>
                <w:b/>
                <w:bCs/>
                <w:sz w:val="18"/>
                <w:szCs w:val="18"/>
                <w:u w:val="none"/>
                <w:lang w:val="en-US" w:eastAsia="zh-CN"/>
              </w:rPr>
              <w:t>影响途径及类型</w:t>
            </w:r>
          </w:p>
        </w:tc>
        <w:tc>
          <w:tcPr>
            <w:tcW w:w="13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sz w:val="18"/>
                <w:szCs w:val="18"/>
                <w:u w:val="none"/>
                <w:lang w:val="en-US" w:eastAsia="zh-CN"/>
              </w:rPr>
            </w:pPr>
            <w:r>
              <w:rPr>
                <w:rFonts w:hint="default" w:ascii="Times New Roman" w:hAnsi="Times New Roman" w:eastAsia="宋体" w:cs="Times New Roman"/>
                <w:b/>
                <w:bCs/>
                <w:sz w:val="18"/>
                <w:szCs w:val="18"/>
                <w:u w:val="none"/>
                <w:lang w:val="en-US" w:eastAsia="zh-CN"/>
              </w:rPr>
              <w:t>可能性</w:t>
            </w:r>
          </w:p>
        </w:tc>
        <w:tc>
          <w:tcPr>
            <w:tcW w:w="9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sz w:val="18"/>
                <w:szCs w:val="18"/>
                <w:u w:val="none"/>
                <w:lang w:val="en-US" w:eastAsia="zh-CN"/>
              </w:rPr>
            </w:pPr>
            <w:r>
              <w:rPr>
                <w:rFonts w:hint="default" w:ascii="Times New Roman" w:hAnsi="Times New Roman" w:eastAsia="宋体" w:cs="Times New Roman"/>
                <w:b/>
                <w:bCs/>
                <w:sz w:val="18"/>
                <w:szCs w:val="18"/>
                <w:u w:val="none"/>
                <w:lang w:val="en-US" w:eastAsia="zh-CN"/>
              </w:rPr>
              <w:t>后果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含重金属液体、废液泄漏</w:t>
            </w: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含锌、锰浸出液、化合液、电解液等</w:t>
            </w:r>
          </w:p>
        </w:tc>
        <w:tc>
          <w:tcPr>
            <w:tcW w:w="15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①、运输、装卸、储存过程中因交通事故、密封不严而泄漏或散落进入外界环境，造成水体、土壤污染；</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②、生产过程中，因槽体、管道、阀门、法兰、泵等损坏，导致溶液泄漏，没有被有效拦挡或收集，串流入雨水管线，直接进入外界；</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③、泄漏的液体通过未硬化的地面下渗等进入厂区土壤；</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④、泄漏的液体没有拦挡或收集设施，或有拦挡或收集设施，但泄漏量超出事故池的容量，导致泄漏物溢出，流入外界。</w:t>
            </w:r>
          </w:p>
        </w:tc>
        <w:tc>
          <w:tcPr>
            <w:tcW w:w="139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①、运输过程中有发生的可能性；</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②、生产过程中，槽体、管道、阀门、法兰、泵等损坏的可能性较大；</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③、开发区企业厂区内基本进行了硬化，通过地面下渗的可能性较小；</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④、开发区内绝大部分设有收集设施，一般情况下事故池可以满足应急需要；</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⑤、应急过程中不排除应急人员未按要求应急，而导致直接接触物料的可能性；</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fldChar w:fldCharType="begin"/>
            </w:r>
            <w:r>
              <w:rPr>
                <w:rFonts w:hint="default" w:ascii="Times New Roman" w:hAnsi="Times New Roman" w:eastAsia="宋体" w:cs="Times New Roman"/>
                <w:sz w:val="18"/>
                <w:szCs w:val="18"/>
                <w:u w:val="none"/>
                <w:lang w:val="en-US" w:eastAsia="zh-CN"/>
              </w:rPr>
              <w:instrText xml:space="preserve"> = 6 \* GB3 </w:instrText>
            </w:r>
            <w:r>
              <w:rPr>
                <w:rFonts w:hint="default" w:ascii="Times New Roman" w:hAnsi="Times New Roman" w:eastAsia="宋体" w:cs="Times New Roman"/>
                <w:sz w:val="18"/>
                <w:szCs w:val="18"/>
                <w:u w:val="none"/>
                <w:lang w:val="en-US" w:eastAsia="zh-CN"/>
              </w:rPr>
              <w:fldChar w:fldCharType="separate"/>
            </w:r>
            <w:r>
              <w:rPr>
                <w:rFonts w:hint="default" w:ascii="Times New Roman" w:hAnsi="Times New Roman" w:eastAsia="宋体" w:cs="Times New Roman"/>
                <w:sz w:val="18"/>
                <w:szCs w:val="18"/>
                <w:u w:val="none"/>
                <w:lang w:val="en-US" w:eastAsia="zh-CN"/>
              </w:rPr>
              <w:t>⑥</w:t>
            </w:r>
            <w:r>
              <w:rPr>
                <w:rFonts w:hint="default" w:ascii="Times New Roman" w:hAnsi="Times New Roman" w:eastAsia="宋体" w:cs="Times New Roman"/>
                <w:sz w:val="18"/>
                <w:szCs w:val="18"/>
                <w:u w:val="none"/>
                <w:lang w:val="en-US" w:eastAsia="zh-CN"/>
              </w:rPr>
              <w:fldChar w:fldCharType="end"/>
            </w:r>
            <w:r>
              <w:rPr>
                <w:rFonts w:hint="default" w:ascii="Times New Roman" w:hAnsi="Times New Roman" w:eastAsia="宋体" w:cs="Times New Roman"/>
                <w:sz w:val="18"/>
                <w:szCs w:val="18"/>
                <w:u w:val="none"/>
                <w:lang w:val="en-US" w:eastAsia="zh-CN"/>
              </w:rPr>
              <w:t>、东方矿业大冲尾渣库渗滤液池位于花垣河河床上，存在渗滤液池体、回用管道破裂导致含重金属渗滤液进入花垣河的风险。</w:t>
            </w:r>
          </w:p>
        </w:tc>
        <w:tc>
          <w:tcPr>
            <w:tcW w:w="92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①、泄漏的物料进入外界水体，其中的有害成分超出受体阈值，或浸出的有害成分超出受体阈值，则会直接造成生物死亡。</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②、重金属具有积累性，会积累于土壤、河底底泥、生物体中。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尾渣库渗滤液</w:t>
            </w:r>
          </w:p>
        </w:tc>
        <w:tc>
          <w:tcPr>
            <w:tcW w:w="1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13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9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含锌、锰等涉重废水</w:t>
            </w:r>
          </w:p>
        </w:tc>
        <w:tc>
          <w:tcPr>
            <w:tcW w:w="1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13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9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酸性液体泄漏</w:t>
            </w: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浓硫酸</w:t>
            </w:r>
          </w:p>
        </w:tc>
        <w:tc>
          <w:tcPr>
            <w:tcW w:w="15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①、运输、装卸、储存过程中因交通事故、人为密封不严而泄漏或散落进入外界环境，造成水体、土壤、大气（硫酸雾）污染；</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②、生产过程中，因槽体、管道、阀门、法兰、泵等损坏，导致溶液泄漏，没有被有效拦挡或收集，串流入雨水管线，直接进入外界；</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③、人员直接接触受伤。</w:t>
            </w:r>
          </w:p>
        </w:tc>
        <w:tc>
          <w:tcPr>
            <w:tcW w:w="139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①、运输过程中有发生的可能性；</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②、生产过程中设备因腐蚀等导致泄漏发生的概率增大；</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③、应急过程中不排除应急人员未按要求应急，而导致直接接触物料的可能性。</w:t>
            </w:r>
          </w:p>
        </w:tc>
        <w:tc>
          <w:tcPr>
            <w:tcW w:w="92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①、可能造成人体伤害。</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②、泄漏的物料进入外界水体，造成污染。一般情况下造成水体中pH降低，严重时造成水生生物死亡。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盐酸</w:t>
            </w:r>
          </w:p>
        </w:tc>
        <w:tc>
          <w:tcPr>
            <w:tcW w:w="1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p>
        </w:tc>
        <w:tc>
          <w:tcPr>
            <w:tcW w:w="13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p>
        </w:tc>
        <w:tc>
          <w:tcPr>
            <w:tcW w:w="9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清洗槽液</w:t>
            </w:r>
          </w:p>
        </w:tc>
        <w:tc>
          <w:tcPr>
            <w:tcW w:w="1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p>
        </w:tc>
        <w:tc>
          <w:tcPr>
            <w:tcW w:w="13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p>
        </w:tc>
        <w:tc>
          <w:tcPr>
            <w:tcW w:w="9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初期雨水泄漏</w:t>
            </w: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含重金属初期雨水</w:t>
            </w:r>
          </w:p>
        </w:tc>
        <w:tc>
          <w:tcPr>
            <w:tcW w:w="15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①、未设置初期雨水收集池，造成初期雨水直接排放；</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②、初期雨水阀门没有专职人员管理，初期雨水阀门未及时关闭，后期雨水进入初期雨水收集池，造成初期雨水外泄；</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③、初期雨水管路不畅，初期雨水未能有效收集，部分初期雨水外泄；初期雨水池周边混入清净雨水，造成雨水池中水量过量而发生漫溢。</w:t>
            </w:r>
          </w:p>
        </w:tc>
        <w:tc>
          <w:tcPr>
            <w:tcW w:w="13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在设置有效的初期雨水池的情况下，一般发生事故可能性较小。</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初期雨水阀门没有专职人员管理，或未及时切换的可能性较大。</w:t>
            </w:r>
          </w:p>
        </w:tc>
        <w:tc>
          <w:tcPr>
            <w:tcW w:w="9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①、含重金属的初期雨水泄漏，进入地表水体、土壤，其中的有害成分超出受体阈值，或浸出的有害成分超出受体阈值，直接造成生物死亡；</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②、重金属具有积累性，会积累于河底底泥、生物体中。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含重金属固废、尾渣、有毒固态化学品</w:t>
            </w: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Mn矿粉、MnO</w:t>
            </w:r>
            <w:r>
              <w:rPr>
                <w:rFonts w:hint="default" w:ascii="Times New Roman" w:hAnsi="Times New Roman" w:eastAsia="宋体" w:cs="Times New Roman"/>
                <w:sz w:val="18"/>
                <w:szCs w:val="18"/>
                <w:u w:val="none"/>
                <w:vertAlign w:val="subscript"/>
                <w:lang w:val="en-US" w:eastAsia="zh-CN"/>
              </w:rPr>
              <w:t>2</w:t>
            </w:r>
            <w:r>
              <w:rPr>
                <w:rFonts w:hint="default" w:ascii="Times New Roman" w:hAnsi="Times New Roman" w:eastAsia="宋体" w:cs="Times New Roman"/>
                <w:sz w:val="18"/>
                <w:szCs w:val="18"/>
                <w:u w:val="none"/>
                <w:lang w:val="en-US" w:eastAsia="zh-CN"/>
              </w:rPr>
              <w:t>矿粉、Zn粉、五氧化二钒、酸浸渣、锰渣、铁钒渣、铜镉渣、钴渣、锌浮渣、偏钒酸铵、二氧化硒、重铬酸钾、硫酸铜等</w:t>
            </w:r>
          </w:p>
        </w:tc>
        <w:tc>
          <w:tcPr>
            <w:tcW w:w="15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包装破损，物料扬洒</w:t>
            </w:r>
          </w:p>
        </w:tc>
        <w:tc>
          <w:tcPr>
            <w:tcW w:w="13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正常情况下排入外环境可能性较小</w:t>
            </w:r>
          </w:p>
        </w:tc>
        <w:tc>
          <w:tcPr>
            <w:tcW w:w="9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开发区人员、雨水系统。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排水系统和污水处理系统事故</w:t>
            </w: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含重金属废水、污水处理药剂</w:t>
            </w:r>
          </w:p>
        </w:tc>
        <w:tc>
          <w:tcPr>
            <w:tcW w:w="15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①、重金属废水管网由于外力破坏、地基塌方等原因造成管网破损；</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②、污水处理厂管理不当，造成污水处理药剂泄漏，或污水处理效率降低；</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③、由于排污企业超量排污，造成企业自有污水处理站来水量过大，超出处理能力；或由于管理不当，处理能力下降，造成废水不能及时处理</w:t>
            </w:r>
          </w:p>
        </w:tc>
        <w:tc>
          <w:tcPr>
            <w:tcW w:w="13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污水管网深埋地下，一般被破坏的几率比较低</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污水处理站有发生事故的可能</w:t>
            </w:r>
          </w:p>
        </w:tc>
        <w:tc>
          <w:tcPr>
            <w:tcW w:w="9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排水系统故障可能造成重金属废水外排，污染土壤或地表水；</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污水处理厂事故，可能造成出水超标，污染地表水。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易燃危化品火灾、爆炸及其次生事件</w:t>
            </w: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甲醇</w:t>
            </w:r>
          </w:p>
        </w:tc>
        <w:tc>
          <w:tcPr>
            <w:tcW w:w="1544"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①、运输、装卸、储存过程中因交通事故、人为密封不严而泄漏进入外界环境，造成大气、水体、土壤污染；</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②、生产过程中，因罐体、管道、阀门、法兰、泵等损坏，导致物料泄漏，没有被有效拦挡或收集，串流入雨水管线，直接进入外界；</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③、泄漏后遇明火、高温区域、撞击等造成火灾、爆炸，引发次生事故；</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④、泄漏的液体没有拦挡或收集设施，或有拦挡或收集设施，但泄漏量超出事故池的容量，导致泄漏物溢出，流入外界。</w:t>
            </w:r>
          </w:p>
        </w:tc>
        <w:tc>
          <w:tcPr>
            <w:tcW w:w="139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①、运输过程中有发生的可能性；</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②、生产过程中，罐体、管道、阀门、法兰、泵等损坏的可能性较大；</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③、开发区内危化品企业防控措施及制度较为严格，发生火灾、爆炸的可能性不大；</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④、开发区内绝大部分设有收集设施，一般情况下事故池可以满足应急需要；</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⑤、应急过程中不排除应急人员未按要求应急，而导致直接接触物料的可能性。</w:t>
            </w:r>
          </w:p>
        </w:tc>
        <w:tc>
          <w:tcPr>
            <w:tcW w:w="92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①、泄漏的物料进入外界、大气水体，其中的有害成分超出受体阈值，造成生物致病、死亡；</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②、易燃、易爆类物质泄漏，危及下游水体、土壤；</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③、火灾次生的消防废水可能危及下游水体、土壤。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乙醇</w:t>
            </w:r>
          </w:p>
        </w:tc>
        <w:tc>
          <w:tcPr>
            <w:tcW w:w="1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13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9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丙酮</w:t>
            </w:r>
          </w:p>
        </w:tc>
        <w:tc>
          <w:tcPr>
            <w:tcW w:w="1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13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9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乙酸乙酯</w:t>
            </w:r>
          </w:p>
        </w:tc>
        <w:tc>
          <w:tcPr>
            <w:tcW w:w="1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13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9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石油醚</w:t>
            </w:r>
          </w:p>
        </w:tc>
        <w:tc>
          <w:tcPr>
            <w:tcW w:w="1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13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9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乙二醇</w:t>
            </w:r>
          </w:p>
        </w:tc>
        <w:tc>
          <w:tcPr>
            <w:tcW w:w="1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13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9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柴油</w:t>
            </w:r>
          </w:p>
        </w:tc>
        <w:tc>
          <w:tcPr>
            <w:tcW w:w="1544"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139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92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其它风险物质泄漏</w:t>
            </w: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氨水</w:t>
            </w:r>
          </w:p>
        </w:tc>
        <w:tc>
          <w:tcPr>
            <w:tcW w:w="15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①、运输、装卸、储存过程中因交通事故、人为密封不严而泄漏进入外界环境，造成大气、水体、土壤污染；</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ja-JP"/>
              </w:rPr>
              <w:t>②</w:t>
            </w:r>
            <w:r>
              <w:rPr>
                <w:rFonts w:hint="default" w:ascii="Times New Roman" w:hAnsi="Times New Roman" w:eastAsia="宋体" w:cs="Times New Roman"/>
                <w:sz w:val="18"/>
                <w:szCs w:val="18"/>
                <w:u w:val="none"/>
                <w:lang w:val="en-US" w:eastAsia="zh-CN"/>
              </w:rPr>
              <w:t>、厂内使用、储存中管道、阀门泄漏，进入大气环境。</w:t>
            </w:r>
          </w:p>
        </w:tc>
        <w:tc>
          <w:tcPr>
            <w:tcW w:w="13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发生的可能性较小，氨水浓度较低，泄漏后大气影响需撤离范围不大。</w:t>
            </w:r>
          </w:p>
        </w:tc>
        <w:tc>
          <w:tcPr>
            <w:tcW w:w="9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周边大气中氨气浓度过量，可能导致附近人员吸入过量致病、致死。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健源生物萃取液、废水</w:t>
            </w:r>
          </w:p>
        </w:tc>
        <w:tc>
          <w:tcPr>
            <w:tcW w:w="15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①、生产过程中，因罐体、管道、阀门、法兰、泵等损坏，导致物料泄漏，没有被有效拦挡或收集，串流入雨水管线，直接进入外界；</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②、泄漏的液体没有拦挡或收集设施，或有拦挡或收集设施，但泄漏量超出事故池的容量，导致泄漏物溢出，流入外界。</w:t>
            </w:r>
          </w:p>
        </w:tc>
        <w:tc>
          <w:tcPr>
            <w:tcW w:w="13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①、生产过程中，罐体、管道、阀门、法兰、泵等损坏的可能性较大；</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②、开发区企业厂区内基本进行了硬化，通过地面下渗的可能性较小。</w:t>
            </w:r>
          </w:p>
        </w:tc>
        <w:tc>
          <w:tcPr>
            <w:tcW w:w="9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泄漏后降低下游水体水质。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废气排放风险</w:t>
            </w: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电解厂含SO</w:t>
            </w:r>
            <w:r>
              <w:rPr>
                <w:rFonts w:hint="default" w:ascii="Times New Roman" w:hAnsi="Times New Roman" w:eastAsia="宋体" w:cs="Times New Roman"/>
                <w:sz w:val="18"/>
                <w:szCs w:val="18"/>
                <w:u w:val="none"/>
                <w:vertAlign w:val="subscript"/>
                <w:lang w:val="en-US" w:eastAsia="zh-CN"/>
              </w:rPr>
              <w:t>2</w:t>
            </w:r>
            <w:r>
              <w:rPr>
                <w:rFonts w:hint="default" w:ascii="Times New Roman" w:hAnsi="Times New Roman" w:eastAsia="宋体" w:cs="Times New Roman"/>
                <w:sz w:val="18"/>
                <w:szCs w:val="18"/>
                <w:u w:val="none"/>
                <w:lang w:val="en-US" w:eastAsia="zh-CN"/>
              </w:rPr>
              <w:t>、SO</w:t>
            </w:r>
            <w:r>
              <w:rPr>
                <w:rFonts w:hint="default" w:ascii="Times New Roman" w:hAnsi="Times New Roman" w:eastAsia="宋体" w:cs="Times New Roman"/>
                <w:sz w:val="18"/>
                <w:szCs w:val="18"/>
                <w:u w:val="none"/>
                <w:vertAlign w:val="subscript"/>
                <w:lang w:val="en-US" w:eastAsia="zh-CN"/>
              </w:rPr>
              <w:t>3</w:t>
            </w:r>
            <w:r>
              <w:rPr>
                <w:rFonts w:hint="default" w:ascii="Times New Roman" w:hAnsi="Times New Roman" w:eastAsia="宋体" w:cs="Times New Roman"/>
                <w:sz w:val="18"/>
                <w:szCs w:val="18"/>
                <w:u w:val="none"/>
                <w:lang w:val="en-US" w:eastAsia="zh-CN"/>
              </w:rPr>
              <w:t>、粉尘等废气</w:t>
            </w:r>
          </w:p>
        </w:tc>
        <w:tc>
          <w:tcPr>
            <w:tcW w:w="15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①、制酸系统风机故障、催化剂失效等导致尾气SO</w:t>
            </w:r>
            <w:r>
              <w:rPr>
                <w:rFonts w:hint="default" w:ascii="Times New Roman" w:hAnsi="Times New Roman" w:eastAsia="宋体" w:cs="Times New Roman"/>
                <w:sz w:val="18"/>
                <w:szCs w:val="18"/>
                <w:u w:val="none"/>
                <w:vertAlign w:val="subscript"/>
                <w:lang w:val="en-US" w:eastAsia="zh-CN"/>
              </w:rPr>
              <w:t>2</w:t>
            </w:r>
            <w:r>
              <w:rPr>
                <w:rFonts w:hint="default" w:ascii="Times New Roman" w:hAnsi="Times New Roman" w:eastAsia="宋体" w:cs="Times New Roman"/>
                <w:sz w:val="18"/>
                <w:szCs w:val="18"/>
                <w:u w:val="none"/>
                <w:lang w:val="en-US" w:eastAsia="zh-CN"/>
              </w:rPr>
              <w:t>、SO</w:t>
            </w:r>
            <w:r>
              <w:rPr>
                <w:rFonts w:hint="default" w:ascii="Times New Roman" w:hAnsi="Times New Roman" w:eastAsia="宋体" w:cs="Times New Roman"/>
                <w:sz w:val="18"/>
                <w:szCs w:val="18"/>
                <w:u w:val="none"/>
                <w:vertAlign w:val="subscript"/>
                <w:lang w:val="en-US" w:eastAsia="zh-CN"/>
              </w:rPr>
              <w:t>3</w:t>
            </w:r>
            <w:r>
              <w:rPr>
                <w:rFonts w:hint="default" w:ascii="Times New Roman" w:hAnsi="Times New Roman" w:eastAsia="宋体" w:cs="Times New Roman"/>
                <w:sz w:val="18"/>
                <w:szCs w:val="18"/>
                <w:u w:val="none"/>
                <w:lang w:val="en-US" w:eastAsia="zh-CN"/>
              </w:rPr>
              <w:t>浓度超标排放；</w:t>
            </w:r>
          </w:p>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left"/>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②、除尘系统故障导致粉尘超标排放。</w:t>
            </w:r>
          </w:p>
        </w:tc>
        <w:tc>
          <w:tcPr>
            <w:tcW w:w="13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有发生的可能性。</w:t>
            </w:r>
          </w:p>
        </w:tc>
        <w:tc>
          <w:tcPr>
            <w:tcW w:w="9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尾气排放口下风向大气环境SO</w:t>
            </w:r>
            <w:r>
              <w:rPr>
                <w:rFonts w:hint="default" w:ascii="Times New Roman" w:hAnsi="Times New Roman" w:eastAsia="宋体" w:cs="Times New Roman"/>
                <w:sz w:val="18"/>
                <w:szCs w:val="18"/>
                <w:u w:val="none"/>
                <w:vertAlign w:val="subscript"/>
                <w:lang w:val="en-US" w:eastAsia="zh-CN"/>
              </w:rPr>
              <w:t>2</w:t>
            </w:r>
            <w:r>
              <w:rPr>
                <w:rFonts w:hint="default" w:ascii="Times New Roman" w:hAnsi="Times New Roman" w:eastAsia="宋体" w:cs="Times New Roman"/>
                <w:sz w:val="18"/>
                <w:szCs w:val="18"/>
                <w:u w:val="none"/>
                <w:lang w:val="en-US" w:eastAsia="zh-CN"/>
              </w:rPr>
              <w:t>、SO</w:t>
            </w:r>
            <w:r>
              <w:rPr>
                <w:rFonts w:hint="default" w:ascii="Times New Roman" w:hAnsi="Times New Roman" w:eastAsia="宋体" w:cs="Times New Roman"/>
                <w:sz w:val="18"/>
                <w:szCs w:val="18"/>
                <w:u w:val="none"/>
                <w:vertAlign w:val="subscript"/>
                <w:lang w:val="en-US" w:eastAsia="zh-CN"/>
              </w:rPr>
              <w:t>3</w:t>
            </w:r>
            <w:r>
              <w:rPr>
                <w:rFonts w:hint="default" w:ascii="Times New Roman" w:hAnsi="Times New Roman" w:eastAsia="宋体" w:cs="Times New Roman"/>
                <w:sz w:val="18"/>
                <w:szCs w:val="18"/>
                <w:u w:val="none"/>
                <w:lang w:val="en-US" w:eastAsia="zh-CN"/>
              </w:rPr>
              <w:t>、粉尘浓度超标。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30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p>
        </w:tc>
        <w:tc>
          <w:tcPr>
            <w:tcW w:w="8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三丰钒业含钒、含氨废气</w:t>
            </w:r>
          </w:p>
        </w:tc>
        <w:tc>
          <w:tcPr>
            <w:tcW w:w="15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三级氨气吸收塔、尾气酸洗塔同时故障。</w:t>
            </w:r>
          </w:p>
        </w:tc>
        <w:tc>
          <w:tcPr>
            <w:tcW w:w="139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发生的可能性极低。</w:t>
            </w:r>
          </w:p>
        </w:tc>
        <w:tc>
          <w:tcPr>
            <w:tcW w:w="9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尾气排放口下风向大气环境钒、氨浓度超标。</w:t>
            </w:r>
          </w:p>
        </w:tc>
      </w:tr>
    </w:tbl>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bCs/>
          <w:sz w:val="21"/>
          <w:szCs w:val="21"/>
          <w:u w:val="none"/>
          <w:lang w:eastAsia="zh-CN"/>
        </w:rPr>
      </w:pPr>
      <w:r>
        <w:rPr>
          <w:rFonts w:hint="default" w:ascii="Times New Roman" w:hAnsi="Times New Roman" w:eastAsia="宋体" w:cs="Times New Roman"/>
          <w:b/>
          <w:bCs/>
          <w:sz w:val="21"/>
          <w:szCs w:val="21"/>
          <w:u w:val="none"/>
        </w:rPr>
        <w:t>表</w:t>
      </w:r>
      <w:r>
        <w:rPr>
          <w:rFonts w:hint="default" w:ascii="Times New Roman" w:hAnsi="Times New Roman" w:eastAsia="宋体" w:cs="Times New Roman"/>
          <w:b/>
          <w:bCs/>
          <w:sz w:val="21"/>
          <w:szCs w:val="21"/>
          <w:u w:val="none"/>
          <w:lang w:eastAsia="zh-CN"/>
        </w:rPr>
        <w:t>4.</w:t>
      </w:r>
      <w:r>
        <w:rPr>
          <w:rFonts w:hint="eastAsia" w:cs="Times New Roman"/>
          <w:b/>
          <w:bCs/>
          <w:sz w:val="21"/>
          <w:szCs w:val="21"/>
          <w:u w:val="none"/>
          <w:lang w:val="en-US" w:eastAsia="zh-CN"/>
        </w:rPr>
        <w:t>2-22</w:t>
      </w:r>
      <w:r>
        <w:rPr>
          <w:rFonts w:hint="default" w:ascii="Times New Roman" w:hAnsi="Times New Roman" w:eastAsia="宋体" w:cs="Times New Roman"/>
          <w:b/>
          <w:bCs/>
          <w:sz w:val="21"/>
          <w:szCs w:val="21"/>
          <w:u w:val="none"/>
        </w:rPr>
        <w:t xml:space="preserve">  </w:t>
      </w:r>
      <w:r>
        <w:rPr>
          <w:rFonts w:hint="default" w:ascii="Times New Roman" w:hAnsi="Times New Roman" w:eastAsia="宋体" w:cs="Times New Roman"/>
          <w:b/>
          <w:bCs/>
          <w:sz w:val="21"/>
          <w:szCs w:val="21"/>
          <w:u w:val="none"/>
          <w:lang w:val="en-US" w:eastAsia="zh-CN"/>
        </w:rPr>
        <w:t>开发区重点</w:t>
      </w:r>
      <w:r>
        <w:rPr>
          <w:rFonts w:hint="default" w:ascii="Times New Roman" w:hAnsi="Times New Roman" w:eastAsia="宋体" w:cs="Times New Roman"/>
          <w:b/>
          <w:bCs/>
          <w:sz w:val="21"/>
          <w:szCs w:val="21"/>
          <w:u w:val="none"/>
        </w:rPr>
        <w:t>企业环境风险控制措施情况汇总表</w:t>
      </w:r>
    </w:p>
    <w:tbl>
      <w:tblPr>
        <w:tblStyle w:val="37"/>
        <w:tblW w:w="493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183"/>
        <w:gridCol w:w="2511"/>
        <w:gridCol w:w="94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80" w:type="pct"/>
            <w:vMerge w:val="restar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卡地片区</w:t>
            </w:r>
          </w:p>
        </w:tc>
        <w:tc>
          <w:tcPr>
            <w:tcW w:w="423" w:type="pct"/>
            <w:vMerge w:val="restar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湖南东方矿业有限责任公司</w:t>
            </w:r>
          </w:p>
        </w:tc>
        <w:tc>
          <w:tcPr>
            <w:tcW w:w="89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储罐区</w:t>
            </w:r>
          </w:p>
        </w:tc>
        <w:tc>
          <w:tcPr>
            <w:tcW w:w="3397"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硫酸罐区以及氨水罐区设置了视频监控、对设施运行状态进行实时监控，并配专人管理；硫酸储罐设施围堰及应急池，氨水罐区设施围堰并设置了氨气浓度监测报警装置。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80"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jc w:val="center"/>
              <w:textAlignment w:val="auto"/>
              <w:rPr>
                <w:rFonts w:hint="default" w:ascii="Times New Roman" w:hAnsi="Times New Roman" w:eastAsia="宋体" w:cs="Times New Roman"/>
                <w:sz w:val="18"/>
                <w:szCs w:val="18"/>
                <w:u w:val="none"/>
                <w:lang w:val="en-US" w:eastAsia="zh-CN"/>
              </w:rPr>
            </w:pPr>
          </w:p>
        </w:tc>
        <w:tc>
          <w:tcPr>
            <w:tcW w:w="423"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p>
        </w:tc>
        <w:tc>
          <w:tcPr>
            <w:tcW w:w="89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化合车间</w:t>
            </w:r>
          </w:p>
        </w:tc>
        <w:tc>
          <w:tcPr>
            <w:tcW w:w="3397"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化合车间的主要料液反应器均架空处理、泄漏易于发现，并在下方设有围堰，围堰内有导流沟。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80"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jc w:val="center"/>
              <w:textAlignment w:val="auto"/>
              <w:rPr>
                <w:rFonts w:hint="default" w:ascii="Times New Roman" w:hAnsi="Times New Roman" w:eastAsia="宋体" w:cs="Times New Roman"/>
                <w:sz w:val="18"/>
                <w:szCs w:val="18"/>
                <w:u w:val="none"/>
                <w:lang w:val="en-US" w:eastAsia="zh-CN"/>
              </w:rPr>
            </w:pPr>
          </w:p>
        </w:tc>
        <w:tc>
          <w:tcPr>
            <w:tcW w:w="423"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p>
        </w:tc>
        <w:tc>
          <w:tcPr>
            <w:tcW w:w="89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电解车间</w:t>
            </w:r>
          </w:p>
        </w:tc>
        <w:tc>
          <w:tcPr>
            <w:tcW w:w="3397"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高位计量池、阳极液池下方设有围堰及导流沟，一旦发生泄漏，泄漏的料液可得到有效收集。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8" w:hRule="atLeast"/>
          <w:jc w:val="center"/>
        </w:trPr>
        <w:tc>
          <w:tcPr>
            <w:tcW w:w="280"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jc w:val="center"/>
              <w:textAlignment w:val="auto"/>
              <w:rPr>
                <w:rFonts w:hint="default" w:ascii="Times New Roman" w:hAnsi="Times New Roman" w:eastAsia="宋体" w:cs="Times New Roman"/>
                <w:sz w:val="18"/>
                <w:szCs w:val="18"/>
                <w:u w:val="none"/>
                <w:lang w:val="en-US" w:eastAsia="zh-CN"/>
              </w:rPr>
            </w:pPr>
          </w:p>
        </w:tc>
        <w:tc>
          <w:tcPr>
            <w:tcW w:w="423"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p>
        </w:tc>
        <w:tc>
          <w:tcPr>
            <w:tcW w:w="89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锰渣库</w:t>
            </w:r>
          </w:p>
        </w:tc>
        <w:tc>
          <w:tcPr>
            <w:tcW w:w="3397"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尾矿库设置了浸润线、坝体位移监控装置和库区实时监控探头，并设有专人管理。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80"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jc w:val="center"/>
              <w:textAlignment w:val="auto"/>
              <w:rPr>
                <w:rFonts w:hint="default" w:ascii="Times New Roman" w:hAnsi="Times New Roman" w:eastAsia="宋体" w:cs="Times New Roman"/>
                <w:sz w:val="18"/>
                <w:szCs w:val="18"/>
                <w:u w:val="none"/>
                <w:lang w:val="en-US" w:eastAsia="zh-CN"/>
              </w:rPr>
            </w:pPr>
          </w:p>
        </w:tc>
        <w:tc>
          <w:tcPr>
            <w:tcW w:w="423"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p>
        </w:tc>
        <w:tc>
          <w:tcPr>
            <w:tcW w:w="89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危险废物</w:t>
            </w:r>
          </w:p>
        </w:tc>
        <w:tc>
          <w:tcPr>
            <w:tcW w:w="3397"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项目的危险废物主要有铬渣、阳极泥，都放置在专门的危险废物储存间内。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80"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jc w:val="center"/>
              <w:textAlignment w:val="auto"/>
              <w:rPr>
                <w:rFonts w:hint="default" w:ascii="Times New Roman" w:hAnsi="Times New Roman" w:eastAsia="宋体" w:cs="Times New Roman"/>
                <w:sz w:val="18"/>
                <w:szCs w:val="18"/>
                <w:u w:val="none"/>
                <w:lang w:val="en-US" w:eastAsia="zh-CN"/>
              </w:rPr>
            </w:pPr>
          </w:p>
        </w:tc>
        <w:tc>
          <w:tcPr>
            <w:tcW w:w="423"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p>
        </w:tc>
        <w:tc>
          <w:tcPr>
            <w:tcW w:w="89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含锰、含铬废水</w:t>
            </w:r>
          </w:p>
        </w:tc>
        <w:tc>
          <w:tcPr>
            <w:tcW w:w="3397"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含锰、含铬废水收集池内进行了防腐措施处理。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80"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jc w:val="center"/>
              <w:textAlignment w:val="auto"/>
              <w:rPr>
                <w:rFonts w:hint="default" w:ascii="Times New Roman" w:hAnsi="Times New Roman" w:eastAsia="宋体" w:cs="Times New Roman"/>
                <w:sz w:val="18"/>
                <w:szCs w:val="18"/>
                <w:u w:val="none"/>
                <w:lang w:val="en-US" w:eastAsia="zh-CN"/>
              </w:rPr>
            </w:pPr>
          </w:p>
        </w:tc>
        <w:tc>
          <w:tcPr>
            <w:tcW w:w="423"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p>
        </w:tc>
        <w:tc>
          <w:tcPr>
            <w:tcW w:w="89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废水</w:t>
            </w:r>
          </w:p>
        </w:tc>
        <w:tc>
          <w:tcPr>
            <w:tcW w:w="3397"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厂区内建有综合废水处理站，对生产废水进行深度处理回用。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8" w:hRule="atLeast"/>
          <w:jc w:val="center"/>
        </w:trPr>
        <w:tc>
          <w:tcPr>
            <w:tcW w:w="280"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jc w:val="center"/>
              <w:textAlignment w:val="auto"/>
              <w:rPr>
                <w:rFonts w:hint="default" w:ascii="Times New Roman" w:hAnsi="Times New Roman" w:eastAsia="宋体" w:cs="Times New Roman"/>
                <w:sz w:val="18"/>
                <w:szCs w:val="18"/>
                <w:u w:val="none"/>
                <w:lang w:val="en-US" w:eastAsia="zh-CN"/>
              </w:rPr>
            </w:pPr>
          </w:p>
        </w:tc>
        <w:tc>
          <w:tcPr>
            <w:tcW w:w="423"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p>
        </w:tc>
        <w:tc>
          <w:tcPr>
            <w:tcW w:w="89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锰渣库渗滤液</w:t>
            </w:r>
          </w:p>
        </w:tc>
        <w:tc>
          <w:tcPr>
            <w:tcW w:w="3397"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企业设有渗滤液收集池，渗滤液由专用管道泵回含锰废水调节池，经含锰废水处理系统处理后回用。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80"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jc w:val="center"/>
              <w:textAlignment w:val="auto"/>
              <w:rPr>
                <w:rFonts w:hint="default" w:ascii="Times New Roman" w:hAnsi="Times New Roman" w:eastAsia="宋体" w:cs="Times New Roman"/>
                <w:sz w:val="18"/>
                <w:szCs w:val="18"/>
                <w:u w:val="none"/>
                <w:lang w:val="en-US" w:eastAsia="zh-CN"/>
              </w:rPr>
            </w:pPr>
          </w:p>
        </w:tc>
        <w:tc>
          <w:tcPr>
            <w:tcW w:w="423" w:type="pct"/>
            <w:vMerge w:val="restar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湖南三丰钒业有限公司</w:t>
            </w:r>
          </w:p>
        </w:tc>
        <w:tc>
          <w:tcPr>
            <w:tcW w:w="89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原料仓库</w:t>
            </w:r>
          </w:p>
        </w:tc>
        <w:tc>
          <w:tcPr>
            <w:tcW w:w="3397"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防范措施：仓库有专人负责监管，物料的进出有专门台本进行登记，一旦原料发生泄漏，将第一时间 通知厂区应急部门；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280"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jc w:val="center"/>
              <w:textAlignment w:val="auto"/>
              <w:rPr>
                <w:rFonts w:hint="default" w:ascii="Times New Roman" w:hAnsi="Times New Roman" w:eastAsia="宋体" w:cs="Times New Roman"/>
                <w:sz w:val="18"/>
                <w:szCs w:val="18"/>
                <w:u w:val="none"/>
                <w:lang w:val="en-US" w:eastAsia="zh-CN"/>
              </w:rPr>
            </w:pPr>
          </w:p>
        </w:tc>
        <w:tc>
          <w:tcPr>
            <w:tcW w:w="423"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p>
        </w:tc>
        <w:tc>
          <w:tcPr>
            <w:tcW w:w="89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厂区</w:t>
            </w:r>
          </w:p>
        </w:tc>
        <w:tc>
          <w:tcPr>
            <w:tcW w:w="3397"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①、生产车间安排专人巡查，负责设备正常运行；</w:t>
            </w:r>
          </w:p>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②、车间配套消防灭火装置；</w:t>
            </w:r>
          </w:p>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③、车间外设置了警示标识和中文警示说明；</w:t>
            </w:r>
          </w:p>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④、原辅仓库地面防渗、专人巡查，专用仓库；</w:t>
            </w:r>
          </w:p>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⑤、企业相关管理人员在巡检时要对巡检区域做到看闻听； 看到有无明显环境安全事故隐患时，应及时进行整改和消除。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80"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jc w:val="center"/>
              <w:textAlignment w:val="auto"/>
              <w:rPr>
                <w:rFonts w:hint="default" w:ascii="Times New Roman" w:hAnsi="Times New Roman" w:eastAsia="宋体" w:cs="Times New Roman"/>
                <w:sz w:val="18"/>
                <w:szCs w:val="18"/>
                <w:u w:val="none"/>
                <w:lang w:val="en-US" w:eastAsia="zh-CN"/>
              </w:rPr>
            </w:pPr>
          </w:p>
        </w:tc>
        <w:tc>
          <w:tcPr>
            <w:tcW w:w="423"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p>
        </w:tc>
        <w:tc>
          <w:tcPr>
            <w:tcW w:w="89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生产</w:t>
            </w:r>
          </w:p>
        </w:tc>
        <w:tc>
          <w:tcPr>
            <w:tcW w:w="3397"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①、制订加工管理制度 ，严格按已批准的加工方案执行；作业人员加强安全保障，严格规范操 作以及时检查 ， 以免出现故障。</w:t>
            </w:r>
          </w:p>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②、安排专人值守，在恶劣天气下加密巡查力度。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8" w:hRule="atLeast"/>
          <w:jc w:val="center"/>
        </w:trPr>
        <w:tc>
          <w:tcPr>
            <w:tcW w:w="280"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jc w:val="center"/>
              <w:textAlignment w:val="auto"/>
              <w:rPr>
                <w:rFonts w:hint="default" w:ascii="Times New Roman" w:hAnsi="Times New Roman" w:eastAsia="宋体" w:cs="Times New Roman"/>
                <w:sz w:val="18"/>
                <w:szCs w:val="18"/>
                <w:u w:val="none"/>
                <w:lang w:val="en-US" w:eastAsia="zh-CN"/>
              </w:rPr>
            </w:pPr>
          </w:p>
        </w:tc>
        <w:tc>
          <w:tcPr>
            <w:tcW w:w="423"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p>
        </w:tc>
        <w:tc>
          <w:tcPr>
            <w:tcW w:w="89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氨气吸收液罐</w:t>
            </w:r>
          </w:p>
        </w:tc>
        <w:tc>
          <w:tcPr>
            <w:tcW w:w="3397"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砖混结构环氧地坪0.2m高围堰+应急管道口；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80"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jc w:val="center"/>
              <w:textAlignment w:val="auto"/>
              <w:rPr>
                <w:rFonts w:hint="default" w:ascii="Times New Roman" w:hAnsi="Times New Roman" w:eastAsia="宋体" w:cs="Times New Roman"/>
                <w:sz w:val="18"/>
                <w:szCs w:val="18"/>
                <w:u w:val="none"/>
                <w:lang w:val="en-US" w:eastAsia="zh-CN"/>
              </w:rPr>
            </w:pPr>
          </w:p>
        </w:tc>
        <w:tc>
          <w:tcPr>
            <w:tcW w:w="423"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p>
        </w:tc>
        <w:tc>
          <w:tcPr>
            <w:tcW w:w="89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钒溶液罐区</w:t>
            </w:r>
          </w:p>
        </w:tc>
        <w:tc>
          <w:tcPr>
            <w:tcW w:w="3397"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砖混结构环氧地坪0.2m 高围堰+应急池（200m</w:t>
            </w:r>
            <w:r>
              <w:rPr>
                <w:rFonts w:hint="default" w:ascii="Times New Roman" w:hAnsi="Times New Roman" w:eastAsia="宋体" w:cs="Times New Roman"/>
                <w:sz w:val="18"/>
                <w:szCs w:val="18"/>
                <w:u w:val="none"/>
                <w:vertAlign w:val="superscript"/>
                <w:lang w:val="en-US" w:eastAsia="zh-CN"/>
              </w:rPr>
              <w:t>3</w:t>
            </w:r>
            <w:r>
              <w:rPr>
                <w:rFonts w:hint="default" w:ascii="Times New Roman" w:hAnsi="Times New Roman" w:eastAsia="宋体" w:cs="Times New Roman"/>
                <w:sz w:val="18"/>
                <w:szCs w:val="18"/>
                <w:u w:val="none"/>
                <w:lang w:val="en-US" w:eastAsia="zh-CN"/>
              </w:rPr>
              <w:t>）+应急管道口；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80"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48" w:leftChars="-20" w:right="-48" w:rightChars="-20"/>
              <w:jc w:val="center"/>
              <w:textAlignment w:val="auto"/>
              <w:rPr>
                <w:rFonts w:hint="default" w:ascii="Times New Roman" w:hAnsi="Times New Roman" w:eastAsia="宋体" w:cs="Times New Roman"/>
                <w:sz w:val="18"/>
                <w:szCs w:val="18"/>
                <w:u w:val="none"/>
                <w:lang w:val="en-US" w:eastAsia="zh-CN"/>
              </w:rPr>
            </w:pPr>
          </w:p>
        </w:tc>
        <w:tc>
          <w:tcPr>
            <w:tcW w:w="423" w:type="pct"/>
            <w:vMerge w:val="continue"/>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p>
        </w:tc>
        <w:tc>
          <w:tcPr>
            <w:tcW w:w="898"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各类标识</w:t>
            </w:r>
          </w:p>
        </w:tc>
        <w:tc>
          <w:tcPr>
            <w:tcW w:w="3397" w:type="pct"/>
            <w:tcBorders>
              <w:tl2br w:val="nil"/>
              <w:tr2bl w:val="nil"/>
            </w:tcBorders>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sz w:val="18"/>
                <w:szCs w:val="18"/>
                <w:u w:val="none"/>
                <w:lang w:val="en-US" w:eastAsia="zh-CN"/>
              </w:rPr>
            </w:pPr>
            <w:r>
              <w:rPr>
                <w:rFonts w:hint="default" w:ascii="Times New Roman" w:hAnsi="Times New Roman" w:eastAsia="宋体" w:cs="Times New Roman"/>
                <w:sz w:val="18"/>
                <w:szCs w:val="18"/>
                <w:u w:val="none"/>
                <w:lang w:val="en-US" w:eastAsia="zh-CN"/>
              </w:rPr>
              <w:t>定期对各类标识进行更新替换。</w:t>
            </w:r>
          </w:p>
        </w:tc>
      </w:tr>
    </w:tbl>
    <w:p>
      <w:pPr>
        <w:pStyle w:val="6"/>
        <w:rPr>
          <w:rFonts w:hint="eastAsia"/>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pStyle w:val="86"/>
        <w:spacing w:before="163" w:after="163"/>
        <w:rPr>
          <w:rFonts w:hint="eastAsia"/>
          <w:color w:val="000000"/>
          <w:u w:val="none"/>
        </w:rPr>
      </w:pPr>
      <w:bookmarkStart w:id="265" w:name="_Toc29308665"/>
      <w:bookmarkStart w:id="266" w:name="_Toc17591"/>
      <w:r>
        <w:rPr>
          <w:color w:val="000000"/>
          <w:u w:val="none"/>
        </w:rPr>
        <w:t>3</w:t>
      </w:r>
      <w:r>
        <w:rPr>
          <w:rFonts w:hint="eastAsia"/>
          <w:color w:val="000000"/>
          <w:u w:val="none"/>
        </w:rPr>
        <w:t>.</w:t>
      </w:r>
      <w:r>
        <w:rPr>
          <w:rFonts w:hint="eastAsia"/>
          <w:color w:val="000000"/>
          <w:u w:val="none"/>
          <w:lang w:val="en-US" w:eastAsia="zh-CN"/>
        </w:rPr>
        <w:t>6</w:t>
      </w:r>
      <w:r>
        <w:rPr>
          <w:rFonts w:hint="eastAsia"/>
          <w:color w:val="000000"/>
          <w:u w:val="none"/>
        </w:rPr>
        <w:t xml:space="preserve"> 环境质量现状调查与评价</w:t>
      </w:r>
      <w:bookmarkEnd w:id="265"/>
      <w:bookmarkEnd w:id="266"/>
    </w:p>
    <w:p>
      <w:pPr>
        <w:pStyle w:val="8"/>
        <w:spacing w:before="163" w:after="156"/>
        <w:rPr>
          <w:color w:val="000000"/>
          <w:u w:val="none"/>
        </w:rPr>
      </w:pPr>
      <w:r>
        <w:rPr>
          <w:color w:val="000000"/>
          <w:u w:val="none"/>
        </w:rPr>
        <w:t>3</w:t>
      </w:r>
      <w:r>
        <w:rPr>
          <w:rFonts w:hint="eastAsia"/>
          <w:color w:val="000000"/>
          <w:u w:val="none"/>
          <w:lang w:val="en-US" w:eastAsia="zh-CN"/>
        </w:rPr>
        <w:t>.6</w:t>
      </w:r>
      <w:r>
        <w:rPr>
          <w:rFonts w:hint="eastAsia"/>
          <w:color w:val="000000"/>
          <w:u w:val="none"/>
        </w:rPr>
        <w:t xml:space="preserve">.1 </w:t>
      </w:r>
      <w:r>
        <w:rPr>
          <w:rFonts w:hint="eastAsia"/>
          <w:color w:val="000000"/>
          <w:u w:val="none"/>
          <w:lang w:val="en-US" w:eastAsia="zh-CN"/>
        </w:rPr>
        <w:t>大气</w:t>
      </w:r>
      <w:r>
        <w:rPr>
          <w:rFonts w:hint="eastAsia"/>
          <w:color w:val="000000"/>
          <w:u w:val="none"/>
        </w:rPr>
        <w:t>环境质量</w:t>
      </w:r>
      <w:r>
        <w:rPr>
          <w:color w:val="000000"/>
          <w:u w:val="none"/>
        </w:rPr>
        <w:t>达标情况</w:t>
      </w:r>
    </w:p>
    <w:p>
      <w:pPr>
        <w:ind w:firstLine="480"/>
        <w:jc w:val="both"/>
        <w:rPr>
          <w:rFonts w:cs="Times New Roman"/>
          <w:u w:val="none"/>
        </w:rPr>
      </w:pPr>
      <w:r>
        <w:rPr>
          <w:rFonts w:cs="Times New Roman"/>
          <w:u w:val="none"/>
        </w:rPr>
        <w:t>根据《环境影响评价技术导则—大气环境》（HJ2.2-2018）中“6.2.1项目所在区域达标判定，优先采用国家或地方生态环境主管部门公开发布的评价基准年环境质量公告或环境质量报告中数据或结论”。</w:t>
      </w:r>
      <w:r>
        <w:rPr>
          <w:rFonts w:hint="eastAsia" w:cs="Times New Roman"/>
          <w:u w:val="none"/>
        </w:rPr>
        <w:t>本环评引用湘西州环境监测站公布的《环境质量简报》中关于</w:t>
      </w:r>
      <w:r>
        <w:rPr>
          <w:rFonts w:hint="eastAsia" w:cs="Times New Roman"/>
          <w:u w:val="none"/>
          <w:lang w:val="en-US" w:eastAsia="zh-CN"/>
        </w:rPr>
        <w:t>花垣</w:t>
      </w:r>
      <w:r>
        <w:rPr>
          <w:rFonts w:hint="eastAsia" w:cs="Times New Roman"/>
          <w:u w:val="none"/>
        </w:rPr>
        <w:t>县环境空气监测因子SO</w:t>
      </w:r>
      <w:r>
        <w:rPr>
          <w:rFonts w:hint="eastAsia" w:cs="Times New Roman"/>
          <w:u w:val="none"/>
          <w:vertAlign w:val="subscript"/>
        </w:rPr>
        <w:t>2</w:t>
      </w:r>
      <w:r>
        <w:rPr>
          <w:rFonts w:hint="eastAsia" w:cs="Times New Roman"/>
          <w:u w:val="none"/>
        </w:rPr>
        <w:t>、NO</w:t>
      </w:r>
      <w:r>
        <w:rPr>
          <w:rFonts w:hint="eastAsia" w:cs="Times New Roman"/>
          <w:u w:val="none"/>
          <w:vertAlign w:val="subscript"/>
        </w:rPr>
        <w:t>2</w:t>
      </w:r>
      <w:r>
        <w:rPr>
          <w:rFonts w:hint="eastAsia" w:cs="Times New Roman"/>
          <w:u w:val="none"/>
        </w:rPr>
        <w:t>、PM</w:t>
      </w:r>
      <w:r>
        <w:rPr>
          <w:rFonts w:hint="eastAsia" w:cs="Times New Roman"/>
          <w:u w:val="none"/>
          <w:vertAlign w:val="subscript"/>
        </w:rPr>
        <w:t>10</w:t>
      </w:r>
      <w:r>
        <w:rPr>
          <w:rFonts w:hint="eastAsia" w:cs="Times New Roman"/>
          <w:u w:val="none"/>
        </w:rPr>
        <w:t>、CO、O</w:t>
      </w:r>
      <w:r>
        <w:rPr>
          <w:rFonts w:hint="eastAsia" w:cs="Times New Roman"/>
          <w:u w:val="none"/>
          <w:vertAlign w:val="subscript"/>
        </w:rPr>
        <w:t>3</w:t>
      </w:r>
      <w:r>
        <w:rPr>
          <w:rFonts w:hint="eastAsia" w:cs="Times New Roman"/>
          <w:u w:val="none"/>
        </w:rPr>
        <w:t>、PM</w:t>
      </w:r>
      <w:r>
        <w:rPr>
          <w:rFonts w:hint="eastAsia" w:cs="Times New Roman"/>
          <w:u w:val="none"/>
          <w:vertAlign w:val="subscript"/>
        </w:rPr>
        <w:t>2.5</w:t>
      </w:r>
      <w:r>
        <w:rPr>
          <w:rFonts w:hint="eastAsia" w:cs="Times New Roman"/>
          <w:u w:val="none"/>
        </w:rPr>
        <w:t>的202</w:t>
      </w:r>
      <w:r>
        <w:rPr>
          <w:rFonts w:hint="eastAsia" w:cs="Times New Roman"/>
          <w:u w:val="none"/>
          <w:lang w:val="en-US" w:eastAsia="zh-CN"/>
        </w:rPr>
        <w:t>1</w:t>
      </w:r>
      <w:r>
        <w:rPr>
          <w:rFonts w:hint="eastAsia" w:cs="Times New Roman"/>
          <w:u w:val="none"/>
        </w:rPr>
        <w:t>年年平均浓度的数据</w:t>
      </w:r>
      <w:r>
        <w:rPr>
          <w:rFonts w:cs="Times New Roman"/>
          <w:u w:val="none"/>
        </w:rPr>
        <w:t>，</w:t>
      </w:r>
      <w:r>
        <w:rPr>
          <w:rFonts w:hint="eastAsia" w:cs="Times New Roman"/>
          <w:u w:val="none"/>
        </w:rPr>
        <w:t>对建设项目所在地区环境空气质量现状进行分析，监测数据以及达标情况见表</w:t>
      </w:r>
      <w:r>
        <w:rPr>
          <w:rFonts w:hint="eastAsia" w:cs="Times New Roman"/>
          <w:u w:val="none"/>
          <w:lang w:val="en-US" w:eastAsia="zh-CN"/>
        </w:rPr>
        <w:t>3.6</w:t>
      </w:r>
      <w:r>
        <w:rPr>
          <w:rFonts w:cs="Times New Roman"/>
          <w:u w:val="none"/>
        </w:rPr>
        <w:t>-1。</w:t>
      </w:r>
    </w:p>
    <w:p>
      <w:pPr>
        <w:autoSpaceDE w:val="0"/>
        <w:autoSpaceDN w:val="0"/>
        <w:spacing w:line="360" w:lineRule="auto"/>
        <w:jc w:val="center"/>
        <w:rPr>
          <w:b/>
          <w:bCs/>
          <w:sz w:val="21"/>
          <w:szCs w:val="21"/>
          <w:u w:val="none"/>
        </w:rPr>
      </w:pPr>
      <w:r>
        <w:rPr>
          <w:b/>
          <w:bCs/>
          <w:sz w:val="21"/>
          <w:szCs w:val="21"/>
          <w:u w:val="none"/>
        </w:rPr>
        <w:t>表3</w:t>
      </w:r>
      <w:r>
        <w:rPr>
          <w:rFonts w:hint="eastAsia"/>
          <w:b/>
          <w:bCs/>
          <w:sz w:val="21"/>
          <w:szCs w:val="21"/>
          <w:u w:val="none"/>
          <w:lang w:val="en-US" w:eastAsia="zh-CN"/>
        </w:rPr>
        <w:t>.6</w:t>
      </w:r>
      <w:r>
        <w:rPr>
          <w:b/>
          <w:bCs/>
          <w:sz w:val="21"/>
          <w:szCs w:val="21"/>
          <w:u w:val="none"/>
        </w:rPr>
        <w:t>-1 环境质量数据</w:t>
      </w:r>
    </w:p>
    <w:tbl>
      <w:tblPr>
        <w:tblStyle w:val="37"/>
        <w:tblW w:w="5161"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4"/>
        <w:gridCol w:w="1395"/>
        <w:gridCol w:w="1350"/>
        <w:gridCol w:w="1382"/>
        <w:gridCol w:w="1267"/>
        <w:gridCol w:w="1253"/>
        <w:gridCol w:w="111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496" w:hRule="atLeast"/>
          <w:jc w:val="center"/>
        </w:trPr>
        <w:tc>
          <w:tcPr>
            <w:tcW w:w="587" w:type="pct"/>
            <w:tcBorders>
              <w:tl2br w:val="nil"/>
              <w:tr2bl w:val="nil"/>
            </w:tcBorders>
            <w:noWrap w:val="0"/>
            <w:vAlign w:val="center"/>
          </w:tcPr>
          <w:p>
            <w:pPr>
              <w:pStyle w:val="12"/>
              <w:spacing w:line="240" w:lineRule="auto"/>
              <w:ind w:firstLine="0" w:firstLineChars="0"/>
              <w:jc w:val="center"/>
              <w:rPr>
                <w:b/>
                <w:bCs w:val="0"/>
                <w:sz w:val="21"/>
                <w:szCs w:val="21"/>
                <w:u w:val="none"/>
              </w:rPr>
            </w:pPr>
            <w:r>
              <w:rPr>
                <w:b/>
                <w:bCs w:val="0"/>
                <w:sz w:val="21"/>
                <w:szCs w:val="21"/>
                <w:u w:val="none"/>
              </w:rPr>
              <w:t>年份</w:t>
            </w:r>
          </w:p>
        </w:tc>
        <w:tc>
          <w:tcPr>
            <w:tcW w:w="792" w:type="pct"/>
            <w:tcBorders>
              <w:tl2br w:val="nil"/>
              <w:tr2bl w:val="nil"/>
            </w:tcBorders>
            <w:noWrap w:val="0"/>
            <w:vAlign w:val="center"/>
          </w:tcPr>
          <w:p>
            <w:pPr>
              <w:pStyle w:val="12"/>
              <w:spacing w:line="240" w:lineRule="auto"/>
              <w:ind w:firstLine="0" w:firstLineChars="0"/>
              <w:jc w:val="center"/>
              <w:rPr>
                <w:b/>
                <w:bCs w:val="0"/>
                <w:sz w:val="21"/>
                <w:szCs w:val="21"/>
                <w:u w:val="none"/>
              </w:rPr>
            </w:pPr>
            <w:r>
              <w:rPr>
                <w:b/>
                <w:bCs w:val="0"/>
                <w:sz w:val="21"/>
                <w:szCs w:val="21"/>
                <w:u w:val="none"/>
              </w:rPr>
              <w:t>PM</w:t>
            </w:r>
            <w:r>
              <w:rPr>
                <w:b/>
                <w:bCs w:val="0"/>
                <w:sz w:val="21"/>
                <w:szCs w:val="21"/>
                <w:u w:val="none"/>
                <w:vertAlign w:val="subscript"/>
              </w:rPr>
              <w:t>2.5</w:t>
            </w:r>
            <w:r>
              <w:rPr>
                <w:b/>
                <w:bCs w:val="0"/>
                <w:sz w:val="21"/>
                <w:szCs w:val="21"/>
                <w:u w:val="none"/>
              </w:rPr>
              <w:t>(µg/m</w:t>
            </w:r>
            <w:r>
              <w:rPr>
                <w:b/>
                <w:bCs w:val="0"/>
                <w:sz w:val="21"/>
                <w:szCs w:val="21"/>
                <w:u w:val="none"/>
                <w:vertAlign w:val="subscript"/>
              </w:rPr>
              <w:t>3</w:t>
            </w:r>
            <w:r>
              <w:rPr>
                <w:b/>
                <w:bCs w:val="0"/>
                <w:sz w:val="21"/>
                <w:szCs w:val="21"/>
                <w:u w:val="none"/>
              </w:rPr>
              <w:t>)</w:t>
            </w:r>
          </w:p>
        </w:tc>
        <w:tc>
          <w:tcPr>
            <w:tcW w:w="767" w:type="pct"/>
            <w:tcBorders>
              <w:tl2br w:val="nil"/>
              <w:tr2bl w:val="nil"/>
            </w:tcBorders>
            <w:noWrap w:val="0"/>
            <w:vAlign w:val="center"/>
          </w:tcPr>
          <w:p>
            <w:pPr>
              <w:pStyle w:val="12"/>
              <w:spacing w:line="240" w:lineRule="auto"/>
              <w:ind w:firstLine="0" w:firstLineChars="0"/>
              <w:jc w:val="center"/>
              <w:rPr>
                <w:b/>
                <w:bCs w:val="0"/>
                <w:sz w:val="21"/>
                <w:szCs w:val="21"/>
                <w:u w:val="none"/>
              </w:rPr>
            </w:pPr>
            <w:r>
              <w:rPr>
                <w:b/>
                <w:bCs w:val="0"/>
                <w:sz w:val="21"/>
                <w:szCs w:val="21"/>
                <w:u w:val="none"/>
              </w:rPr>
              <w:t>PM</w:t>
            </w:r>
            <w:r>
              <w:rPr>
                <w:b/>
                <w:bCs w:val="0"/>
                <w:sz w:val="21"/>
                <w:szCs w:val="21"/>
                <w:u w:val="none"/>
                <w:vertAlign w:val="subscript"/>
              </w:rPr>
              <w:t>10</w:t>
            </w:r>
            <w:r>
              <w:rPr>
                <w:b/>
                <w:bCs w:val="0"/>
                <w:sz w:val="21"/>
                <w:szCs w:val="21"/>
                <w:u w:val="none"/>
              </w:rPr>
              <w:t>(µg/m</w:t>
            </w:r>
            <w:r>
              <w:rPr>
                <w:b/>
                <w:bCs w:val="0"/>
                <w:sz w:val="21"/>
                <w:szCs w:val="21"/>
                <w:u w:val="none"/>
                <w:vertAlign w:val="superscript"/>
              </w:rPr>
              <w:t>3</w:t>
            </w:r>
            <w:r>
              <w:rPr>
                <w:b/>
                <w:bCs w:val="0"/>
                <w:sz w:val="21"/>
                <w:szCs w:val="21"/>
                <w:u w:val="none"/>
              </w:rPr>
              <w:t>)</w:t>
            </w:r>
          </w:p>
        </w:tc>
        <w:tc>
          <w:tcPr>
            <w:tcW w:w="785" w:type="pct"/>
            <w:tcBorders>
              <w:tl2br w:val="nil"/>
              <w:tr2bl w:val="nil"/>
            </w:tcBorders>
            <w:noWrap w:val="0"/>
            <w:vAlign w:val="center"/>
          </w:tcPr>
          <w:p>
            <w:pPr>
              <w:pStyle w:val="12"/>
              <w:spacing w:line="240" w:lineRule="auto"/>
              <w:ind w:firstLine="0" w:firstLineChars="0"/>
              <w:jc w:val="center"/>
              <w:rPr>
                <w:b/>
                <w:bCs w:val="0"/>
                <w:sz w:val="21"/>
                <w:szCs w:val="21"/>
                <w:u w:val="none"/>
              </w:rPr>
            </w:pPr>
            <w:r>
              <w:rPr>
                <w:b/>
                <w:bCs w:val="0"/>
                <w:sz w:val="21"/>
                <w:szCs w:val="21"/>
                <w:u w:val="none"/>
              </w:rPr>
              <w:t>SO</w:t>
            </w:r>
            <w:r>
              <w:rPr>
                <w:b/>
                <w:bCs w:val="0"/>
                <w:sz w:val="21"/>
                <w:szCs w:val="21"/>
                <w:u w:val="none"/>
                <w:vertAlign w:val="subscript"/>
              </w:rPr>
              <w:t>2</w:t>
            </w:r>
            <w:r>
              <w:rPr>
                <w:b/>
                <w:bCs w:val="0"/>
                <w:sz w:val="21"/>
                <w:szCs w:val="21"/>
                <w:u w:val="none"/>
              </w:rPr>
              <w:t>(µg/m</w:t>
            </w:r>
            <w:r>
              <w:rPr>
                <w:b/>
                <w:bCs w:val="0"/>
                <w:sz w:val="21"/>
                <w:szCs w:val="21"/>
                <w:u w:val="none"/>
                <w:vertAlign w:val="superscript"/>
              </w:rPr>
              <w:t>3</w:t>
            </w:r>
            <w:r>
              <w:rPr>
                <w:b/>
                <w:bCs w:val="0"/>
                <w:sz w:val="21"/>
                <w:szCs w:val="21"/>
                <w:u w:val="none"/>
              </w:rPr>
              <w:t>)</w:t>
            </w:r>
          </w:p>
        </w:tc>
        <w:tc>
          <w:tcPr>
            <w:tcW w:w="720" w:type="pct"/>
            <w:tcBorders>
              <w:tl2br w:val="nil"/>
              <w:tr2bl w:val="nil"/>
            </w:tcBorders>
            <w:noWrap w:val="0"/>
            <w:vAlign w:val="center"/>
          </w:tcPr>
          <w:p>
            <w:pPr>
              <w:pStyle w:val="12"/>
              <w:spacing w:line="240" w:lineRule="auto"/>
              <w:ind w:firstLine="0" w:firstLineChars="0"/>
              <w:jc w:val="center"/>
              <w:rPr>
                <w:b/>
                <w:bCs w:val="0"/>
                <w:sz w:val="21"/>
                <w:szCs w:val="21"/>
                <w:u w:val="none"/>
              </w:rPr>
            </w:pPr>
            <w:r>
              <w:rPr>
                <w:b/>
                <w:bCs w:val="0"/>
                <w:sz w:val="21"/>
                <w:szCs w:val="21"/>
                <w:u w:val="none"/>
              </w:rPr>
              <w:t>NO</w:t>
            </w:r>
            <w:r>
              <w:rPr>
                <w:b/>
                <w:bCs w:val="0"/>
                <w:sz w:val="21"/>
                <w:szCs w:val="21"/>
                <w:u w:val="none"/>
                <w:vertAlign w:val="subscript"/>
              </w:rPr>
              <w:t>2</w:t>
            </w:r>
            <w:r>
              <w:rPr>
                <w:b/>
                <w:bCs w:val="0"/>
                <w:sz w:val="21"/>
                <w:szCs w:val="21"/>
                <w:u w:val="none"/>
              </w:rPr>
              <w:t>(µg/m</w:t>
            </w:r>
            <w:r>
              <w:rPr>
                <w:b/>
                <w:bCs w:val="0"/>
                <w:sz w:val="21"/>
                <w:szCs w:val="21"/>
                <w:u w:val="none"/>
                <w:vertAlign w:val="superscript"/>
              </w:rPr>
              <w:t>3</w:t>
            </w:r>
            <w:r>
              <w:rPr>
                <w:b/>
                <w:bCs w:val="0"/>
                <w:sz w:val="21"/>
                <w:szCs w:val="21"/>
                <w:u w:val="none"/>
              </w:rPr>
              <w:t>)</w:t>
            </w:r>
          </w:p>
        </w:tc>
        <w:tc>
          <w:tcPr>
            <w:tcW w:w="712" w:type="pct"/>
            <w:tcBorders>
              <w:tl2br w:val="nil"/>
              <w:tr2bl w:val="nil"/>
            </w:tcBorders>
            <w:noWrap w:val="0"/>
            <w:vAlign w:val="center"/>
          </w:tcPr>
          <w:p>
            <w:pPr>
              <w:pStyle w:val="12"/>
              <w:spacing w:line="240" w:lineRule="auto"/>
              <w:ind w:firstLine="0" w:firstLineChars="0"/>
              <w:jc w:val="center"/>
              <w:rPr>
                <w:b/>
                <w:bCs w:val="0"/>
                <w:sz w:val="21"/>
                <w:szCs w:val="21"/>
                <w:u w:val="none"/>
              </w:rPr>
            </w:pPr>
            <w:r>
              <w:rPr>
                <w:b/>
                <w:bCs w:val="0"/>
                <w:sz w:val="21"/>
                <w:szCs w:val="21"/>
                <w:u w:val="none"/>
              </w:rPr>
              <w:t>CO(mg/m</w:t>
            </w:r>
            <w:r>
              <w:rPr>
                <w:b/>
                <w:bCs w:val="0"/>
                <w:sz w:val="21"/>
                <w:szCs w:val="21"/>
                <w:u w:val="none"/>
                <w:vertAlign w:val="superscript"/>
              </w:rPr>
              <w:t>3</w:t>
            </w:r>
            <w:r>
              <w:rPr>
                <w:b/>
                <w:bCs w:val="0"/>
                <w:sz w:val="21"/>
                <w:szCs w:val="21"/>
                <w:u w:val="none"/>
              </w:rPr>
              <w:t>)</w:t>
            </w:r>
          </w:p>
        </w:tc>
        <w:tc>
          <w:tcPr>
            <w:tcW w:w="634" w:type="pct"/>
            <w:tcBorders>
              <w:tl2br w:val="nil"/>
              <w:tr2bl w:val="nil"/>
            </w:tcBorders>
            <w:noWrap w:val="0"/>
            <w:vAlign w:val="center"/>
          </w:tcPr>
          <w:p>
            <w:pPr>
              <w:pStyle w:val="12"/>
              <w:spacing w:line="240" w:lineRule="auto"/>
              <w:ind w:firstLine="0" w:firstLineChars="0"/>
              <w:jc w:val="center"/>
              <w:rPr>
                <w:b/>
                <w:bCs w:val="0"/>
                <w:sz w:val="21"/>
                <w:szCs w:val="21"/>
                <w:u w:val="none"/>
              </w:rPr>
            </w:pPr>
            <w:r>
              <w:rPr>
                <w:b/>
                <w:bCs w:val="0"/>
                <w:sz w:val="21"/>
                <w:szCs w:val="21"/>
                <w:u w:val="none"/>
              </w:rPr>
              <w:t>O</w:t>
            </w:r>
            <w:r>
              <w:rPr>
                <w:b/>
                <w:bCs w:val="0"/>
                <w:sz w:val="21"/>
                <w:szCs w:val="21"/>
                <w:u w:val="none"/>
                <w:vertAlign w:val="subscript"/>
              </w:rPr>
              <w:t>3</w:t>
            </w:r>
            <w:r>
              <w:rPr>
                <w:b/>
                <w:bCs w:val="0"/>
                <w:sz w:val="21"/>
                <w:szCs w:val="21"/>
                <w:u w:val="none"/>
              </w:rPr>
              <w:t>(µg/m</w:t>
            </w:r>
            <w:r>
              <w:rPr>
                <w:b/>
                <w:bCs w:val="0"/>
                <w:sz w:val="21"/>
                <w:szCs w:val="21"/>
                <w:u w:val="none"/>
                <w:vertAlign w:val="superscript"/>
              </w:rPr>
              <w:t>3</w:t>
            </w:r>
            <w:r>
              <w:rPr>
                <w:b/>
                <w:bCs w:val="0"/>
                <w:sz w:val="21"/>
                <w:szCs w:val="21"/>
                <w:u w:val="none"/>
              </w:rPr>
              <w:t>)</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1052" w:hRule="atLeast"/>
          <w:jc w:val="center"/>
        </w:trPr>
        <w:tc>
          <w:tcPr>
            <w:tcW w:w="587" w:type="pct"/>
            <w:tcBorders>
              <w:tl2br w:val="nil"/>
              <w:tr2bl w:val="nil"/>
            </w:tcBorders>
            <w:noWrap w:val="0"/>
            <w:vAlign w:val="center"/>
          </w:tcPr>
          <w:p>
            <w:pPr>
              <w:pStyle w:val="12"/>
              <w:spacing w:line="240" w:lineRule="auto"/>
              <w:ind w:firstLine="0" w:firstLineChars="0"/>
              <w:jc w:val="center"/>
              <w:rPr>
                <w:bCs/>
                <w:sz w:val="21"/>
                <w:szCs w:val="21"/>
                <w:u w:val="none"/>
              </w:rPr>
            </w:pPr>
            <w:r>
              <w:rPr>
                <w:bCs/>
                <w:sz w:val="21"/>
                <w:szCs w:val="21"/>
                <w:u w:val="none"/>
              </w:rPr>
              <w:t>年评价指标</w:t>
            </w:r>
          </w:p>
        </w:tc>
        <w:tc>
          <w:tcPr>
            <w:tcW w:w="792" w:type="pct"/>
            <w:tcBorders>
              <w:tl2br w:val="nil"/>
              <w:tr2bl w:val="nil"/>
            </w:tcBorders>
            <w:noWrap w:val="0"/>
            <w:vAlign w:val="center"/>
          </w:tcPr>
          <w:p>
            <w:pPr>
              <w:pStyle w:val="12"/>
              <w:spacing w:line="240" w:lineRule="auto"/>
              <w:ind w:firstLine="0" w:firstLineChars="0"/>
              <w:jc w:val="center"/>
              <w:rPr>
                <w:bCs/>
                <w:sz w:val="21"/>
                <w:szCs w:val="21"/>
                <w:u w:val="none"/>
              </w:rPr>
            </w:pPr>
            <w:r>
              <w:rPr>
                <w:rFonts w:hint="eastAsia"/>
                <w:bCs/>
                <w:sz w:val="21"/>
                <w:szCs w:val="21"/>
                <w:u w:val="none"/>
              </w:rPr>
              <w:t>年平均质量浓度</w:t>
            </w:r>
          </w:p>
        </w:tc>
        <w:tc>
          <w:tcPr>
            <w:tcW w:w="767" w:type="pct"/>
            <w:tcBorders>
              <w:tl2br w:val="nil"/>
              <w:tr2bl w:val="nil"/>
            </w:tcBorders>
            <w:noWrap w:val="0"/>
            <w:vAlign w:val="center"/>
          </w:tcPr>
          <w:p>
            <w:pPr>
              <w:pStyle w:val="12"/>
              <w:spacing w:line="240" w:lineRule="auto"/>
              <w:ind w:firstLine="0" w:firstLineChars="0"/>
              <w:jc w:val="center"/>
              <w:rPr>
                <w:bCs/>
                <w:sz w:val="21"/>
                <w:szCs w:val="21"/>
                <w:u w:val="none"/>
              </w:rPr>
            </w:pPr>
            <w:r>
              <w:rPr>
                <w:rFonts w:hint="eastAsia"/>
                <w:bCs/>
                <w:sz w:val="21"/>
                <w:szCs w:val="21"/>
                <w:u w:val="none"/>
              </w:rPr>
              <w:t>年平均质量浓度</w:t>
            </w:r>
          </w:p>
        </w:tc>
        <w:tc>
          <w:tcPr>
            <w:tcW w:w="785" w:type="pct"/>
            <w:tcBorders>
              <w:tl2br w:val="nil"/>
              <w:tr2bl w:val="nil"/>
            </w:tcBorders>
            <w:noWrap w:val="0"/>
            <w:vAlign w:val="center"/>
          </w:tcPr>
          <w:p>
            <w:pPr>
              <w:pStyle w:val="12"/>
              <w:spacing w:line="240" w:lineRule="auto"/>
              <w:ind w:firstLine="0" w:firstLineChars="0"/>
              <w:jc w:val="center"/>
              <w:rPr>
                <w:bCs/>
                <w:sz w:val="21"/>
                <w:szCs w:val="21"/>
                <w:u w:val="none"/>
              </w:rPr>
            </w:pPr>
            <w:r>
              <w:rPr>
                <w:rFonts w:hint="eastAsia"/>
                <w:bCs/>
                <w:sz w:val="21"/>
                <w:szCs w:val="21"/>
                <w:u w:val="none"/>
              </w:rPr>
              <w:t>年平均质量浓度</w:t>
            </w:r>
          </w:p>
        </w:tc>
        <w:tc>
          <w:tcPr>
            <w:tcW w:w="720" w:type="pct"/>
            <w:tcBorders>
              <w:tl2br w:val="nil"/>
              <w:tr2bl w:val="nil"/>
            </w:tcBorders>
            <w:noWrap w:val="0"/>
            <w:vAlign w:val="center"/>
          </w:tcPr>
          <w:p>
            <w:pPr>
              <w:pStyle w:val="12"/>
              <w:spacing w:line="240" w:lineRule="auto"/>
              <w:ind w:firstLine="0" w:firstLineChars="0"/>
              <w:jc w:val="center"/>
              <w:rPr>
                <w:bCs/>
                <w:sz w:val="21"/>
                <w:szCs w:val="21"/>
                <w:u w:val="none"/>
              </w:rPr>
            </w:pPr>
            <w:r>
              <w:rPr>
                <w:rFonts w:hint="eastAsia"/>
                <w:bCs/>
                <w:sz w:val="21"/>
                <w:szCs w:val="21"/>
                <w:u w:val="none"/>
              </w:rPr>
              <w:t>年平均质量浓度</w:t>
            </w:r>
          </w:p>
        </w:tc>
        <w:tc>
          <w:tcPr>
            <w:tcW w:w="712" w:type="pct"/>
            <w:tcBorders>
              <w:tl2br w:val="nil"/>
              <w:tr2bl w:val="nil"/>
            </w:tcBorders>
            <w:noWrap w:val="0"/>
            <w:vAlign w:val="center"/>
          </w:tcPr>
          <w:p>
            <w:pPr>
              <w:pStyle w:val="12"/>
              <w:spacing w:line="240" w:lineRule="auto"/>
              <w:ind w:firstLine="0" w:firstLineChars="0"/>
              <w:jc w:val="center"/>
              <w:rPr>
                <w:bCs/>
                <w:sz w:val="21"/>
                <w:szCs w:val="21"/>
                <w:u w:val="none"/>
              </w:rPr>
            </w:pPr>
            <w:r>
              <w:rPr>
                <w:rFonts w:hint="eastAsia"/>
                <w:bCs/>
                <w:sz w:val="21"/>
                <w:szCs w:val="21"/>
                <w:u w:val="none"/>
              </w:rPr>
              <w:t>24小时平均第95百分位数</w:t>
            </w:r>
          </w:p>
        </w:tc>
        <w:tc>
          <w:tcPr>
            <w:tcW w:w="634" w:type="pct"/>
            <w:tcBorders>
              <w:tl2br w:val="nil"/>
              <w:tr2bl w:val="nil"/>
            </w:tcBorders>
            <w:noWrap w:val="0"/>
            <w:vAlign w:val="center"/>
          </w:tcPr>
          <w:p>
            <w:pPr>
              <w:pStyle w:val="12"/>
              <w:spacing w:line="240" w:lineRule="auto"/>
              <w:ind w:firstLine="0" w:firstLineChars="0"/>
              <w:jc w:val="center"/>
              <w:rPr>
                <w:bCs/>
                <w:sz w:val="21"/>
                <w:szCs w:val="21"/>
                <w:u w:val="none"/>
              </w:rPr>
            </w:pPr>
            <w:r>
              <w:rPr>
                <w:rFonts w:hint="eastAsia"/>
                <w:bCs/>
                <w:sz w:val="21"/>
                <w:szCs w:val="21"/>
                <w:u w:val="none"/>
              </w:rPr>
              <w:t>最大8小时平均第90百分位数</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634" w:hRule="atLeast"/>
          <w:jc w:val="center"/>
        </w:trPr>
        <w:tc>
          <w:tcPr>
            <w:tcW w:w="587" w:type="pct"/>
            <w:tcBorders>
              <w:tl2br w:val="nil"/>
              <w:tr2bl w:val="nil"/>
            </w:tcBorders>
            <w:noWrap w:val="0"/>
            <w:vAlign w:val="center"/>
          </w:tcPr>
          <w:p>
            <w:pPr>
              <w:pStyle w:val="12"/>
              <w:spacing w:line="240" w:lineRule="auto"/>
              <w:ind w:firstLine="0" w:firstLineChars="0"/>
              <w:jc w:val="center"/>
              <w:rPr>
                <w:bCs/>
                <w:sz w:val="21"/>
                <w:szCs w:val="21"/>
                <w:u w:val="none"/>
              </w:rPr>
            </w:pPr>
            <w:r>
              <w:rPr>
                <w:rFonts w:hint="eastAsia"/>
                <w:bCs/>
                <w:sz w:val="21"/>
                <w:szCs w:val="21"/>
                <w:u w:val="none"/>
              </w:rPr>
              <w:t>202</w:t>
            </w:r>
            <w:r>
              <w:rPr>
                <w:rFonts w:hint="eastAsia"/>
                <w:bCs/>
                <w:sz w:val="21"/>
                <w:szCs w:val="21"/>
                <w:u w:val="none"/>
                <w:lang w:val="en-US" w:eastAsia="zh-CN"/>
              </w:rPr>
              <w:t>1</w:t>
            </w:r>
            <w:r>
              <w:rPr>
                <w:bCs/>
                <w:sz w:val="21"/>
                <w:szCs w:val="21"/>
                <w:u w:val="none"/>
              </w:rPr>
              <w:t>年全年</w:t>
            </w:r>
          </w:p>
        </w:tc>
        <w:tc>
          <w:tcPr>
            <w:tcW w:w="792" w:type="pct"/>
            <w:tcBorders>
              <w:tl2br w:val="nil"/>
              <w:tr2bl w:val="nil"/>
            </w:tcBorders>
            <w:noWrap w:val="0"/>
            <w:vAlign w:val="center"/>
          </w:tcPr>
          <w:p>
            <w:pPr>
              <w:pStyle w:val="12"/>
              <w:spacing w:line="240" w:lineRule="auto"/>
              <w:ind w:firstLine="0" w:firstLineChars="0"/>
              <w:jc w:val="center"/>
              <w:rPr>
                <w:rFonts w:hint="default" w:eastAsia="宋体"/>
                <w:bCs/>
                <w:sz w:val="21"/>
                <w:szCs w:val="21"/>
                <w:u w:val="none"/>
                <w:lang w:val="en-US" w:eastAsia="zh-CN"/>
              </w:rPr>
            </w:pPr>
            <w:r>
              <w:rPr>
                <w:rFonts w:hint="eastAsia"/>
                <w:bCs/>
                <w:sz w:val="21"/>
                <w:szCs w:val="21"/>
                <w:u w:val="none"/>
                <w:lang w:val="en-US" w:eastAsia="zh-CN"/>
              </w:rPr>
              <w:t>34</w:t>
            </w:r>
          </w:p>
        </w:tc>
        <w:tc>
          <w:tcPr>
            <w:tcW w:w="767" w:type="pct"/>
            <w:tcBorders>
              <w:tl2br w:val="nil"/>
              <w:tr2bl w:val="nil"/>
            </w:tcBorders>
            <w:noWrap w:val="0"/>
            <w:vAlign w:val="center"/>
          </w:tcPr>
          <w:p>
            <w:pPr>
              <w:pStyle w:val="12"/>
              <w:spacing w:line="240" w:lineRule="auto"/>
              <w:ind w:firstLine="0" w:firstLineChars="0"/>
              <w:jc w:val="center"/>
              <w:rPr>
                <w:rFonts w:hint="default" w:eastAsia="宋体"/>
                <w:bCs/>
                <w:sz w:val="21"/>
                <w:szCs w:val="21"/>
                <w:u w:val="none"/>
                <w:lang w:val="en-US" w:eastAsia="zh-CN"/>
              </w:rPr>
            </w:pPr>
            <w:r>
              <w:rPr>
                <w:rFonts w:hint="eastAsia"/>
                <w:bCs/>
                <w:sz w:val="21"/>
                <w:szCs w:val="21"/>
                <w:u w:val="none"/>
                <w:lang w:val="en-US" w:eastAsia="zh-CN"/>
              </w:rPr>
              <w:t>55</w:t>
            </w:r>
          </w:p>
        </w:tc>
        <w:tc>
          <w:tcPr>
            <w:tcW w:w="785" w:type="pct"/>
            <w:tcBorders>
              <w:tl2br w:val="nil"/>
              <w:tr2bl w:val="nil"/>
            </w:tcBorders>
            <w:noWrap w:val="0"/>
            <w:vAlign w:val="center"/>
          </w:tcPr>
          <w:p>
            <w:pPr>
              <w:pStyle w:val="12"/>
              <w:spacing w:line="240" w:lineRule="auto"/>
              <w:ind w:firstLine="0" w:firstLineChars="0"/>
              <w:jc w:val="center"/>
              <w:rPr>
                <w:rFonts w:hint="default" w:eastAsia="宋体"/>
                <w:bCs/>
                <w:sz w:val="21"/>
                <w:szCs w:val="21"/>
                <w:u w:val="none"/>
                <w:lang w:val="en-US" w:eastAsia="zh-CN"/>
              </w:rPr>
            </w:pPr>
            <w:r>
              <w:rPr>
                <w:rFonts w:hint="eastAsia"/>
                <w:bCs/>
                <w:sz w:val="21"/>
                <w:szCs w:val="21"/>
                <w:u w:val="none"/>
                <w:lang w:val="en-US" w:eastAsia="zh-CN"/>
              </w:rPr>
              <w:t>35</w:t>
            </w:r>
          </w:p>
        </w:tc>
        <w:tc>
          <w:tcPr>
            <w:tcW w:w="720" w:type="pct"/>
            <w:tcBorders>
              <w:tl2br w:val="nil"/>
              <w:tr2bl w:val="nil"/>
            </w:tcBorders>
            <w:noWrap w:val="0"/>
            <w:vAlign w:val="center"/>
          </w:tcPr>
          <w:p>
            <w:pPr>
              <w:pStyle w:val="12"/>
              <w:spacing w:line="240" w:lineRule="auto"/>
              <w:ind w:firstLine="0" w:firstLineChars="0"/>
              <w:jc w:val="center"/>
              <w:rPr>
                <w:rFonts w:hint="default" w:eastAsia="宋体"/>
                <w:bCs/>
                <w:sz w:val="21"/>
                <w:szCs w:val="21"/>
                <w:u w:val="none"/>
                <w:lang w:val="en-US" w:eastAsia="zh-CN"/>
              </w:rPr>
            </w:pPr>
            <w:r>
              <w:rPr>
                <w:rFonts w:hint="eastAsia"/>
                <w:bCs/>
                <w:sz w:val="21"/>
                <w:szCs w:val="21"/>
                <w:u w:val="none"/>
                <w:lang w:val="en-US" w:eastAsia="zh-CN"/>
              </w:rPr>
              <w:t>16</w:t>
            </w:r>
          </w:p>
        </w:tc>
        <w:tc>
          <w:tcPr>
            <w:tcW w:w="712" w:type="pct"/>
            <w:tcBorders>
              <w:tl2br w:val="nil"/>
              <w:tr2bl w:val="nil"/>
            </w:tcBorders>
            <w:noWrap w:val="0"/>
            <w:vAlign w:val="center"/>
          </w:tcPr>
          <w:p>
            <w:pPr>
              <w:pStyle w:val="12"/>
              <w:spacing w:line="240" w:lineRule="auto"/>
              <w:ind w:firstLine="0" w:firstLineChars="0"/>
              <w:jc w:val="center"/>
              <w:rPr>
                <w:bCs/>
                <w:sz w:val="21"/>
                <w:szCs w:val="21"/>
                <w:u w:val="none"/>
              </w:rPr>
            </w:pPr>
            <w:r>
              <w:rPr>
                <w:rFonts w:hint="eastAsia"/>
                <w:bCs/>
                <w:sz w:val="21"/>
                <w:szCs w:val="21"/>
                <w:u w:val="none"/>
              </w:rPr>
              <w:t>1.4</w:t>
            </w:r>
          </w:p>
        </w:tc>
        <w:tc>
          <w:tcPr>
            <w:tcW w:w="634" w:type="pct"/>
            <w:tcBorders>
              <w:tl2br w:val="nil"/>
              <w:tr2bl w:val="nil"/>
            </w:tcBorders>
            <w:noWrap w:val="0"/>
            <w:vAlign w:val="center"/>
          </w:tcPr>
          <w:p>
            <w:pPr>
              <w:pStyle w:val="12"/>
              <w:spacing w:line="240" w:lineRule="auto"/>
              <w:ind w:firstLine="0" w:firstLineChars="0"/>
              <w:jc w:val="center"/>
              <w:rPr>
                <w:rFonts w:hint="default" w:eastAsia="宋体"/>
                <w:bCs/>
                <w:sz w:val="21"/>
                <w:szCs w:val="21"/>
                <w:u w:val="none"/>
                <w:lang w:val="en-US" w:eastAsia="zh-CN"/>
              </w:rPr>
            </w:pPr>
            <w:r>
              <w:rPr>
                <w:rFonts w:hint="eastAsia"/>
                <w:bCs/>
                <w:sz w:val="21"/>
                <w:szCs w:val="21"/>
                <w:u w:val="none"/>
                <w:lang w:val="en-US" w:eastAsia="zh-CN"/>
              </w:rPr>
              <w:t>100</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634" w:hRule="atLeast"/>
          <w:jc w:val="center"/>
        </w:trPr>
        <w:tc>
          <w:tcPr>
            <w:tcW w:w="587" w:type="pct"/>
            <w:tcBorders>
              <w:tl2br w:val="nil"/>
              <w:tr2bl w:val="nil"/>
            </w:tcBorders>
            <w:noWrap w:val="0"/>
            <w:vAlign w:val="center"/>
          </w:tcPr>
          <w:p>
            <w:pPr>
              <w:pStyle w:val="12"/>
              <w:spacing w:line="240" w:lineRule="auto"/>
              <w:ind w:firstLine="0" w:firstLineChars="0"/>
              <w:jc w:val="center"/>
              <w:rPr>
                <w:bCs/>
                <w:sz w:val="21"/>
                <w:szCs w:val="21"/>
                <w:u w:val="none"/>
              </w:rPr>
            </w:pPr>
            <w:r>
              <w:rPr>
                <w:bCs/>
                <w:sz w:val="21"/>
                <w:szCs w:val="21"/>
                <w:u w:val="none"/>
              </w:rPr>
              <w:t>标准值</w:t>
            </w:r>
          </w:p>
        </w:tc>
        <w:tc>
          <w:tcPr>
            <w:tcW w:w="792" w:type="pct"/>
            <w:tcBorders>
              <w:tl2br w:val="nil"/>
              <w:tr2bl w:val="nil"/>
            </w:tcBorders>
            <w:noWrap w:val="0"/>
            <w:vAlign w:val="center"/>
          </w:tcPr>
          <w:p>
            <w:pPr>
              <w:pStyle w:val="12"/>
              <w:spacing w:line="240" w:lineRule="auto"/>
              <w:ind w:firstLine="0" w:firstLineChars="0"/>
              <w:jc w:val="center"/>
              <w:rPr>
                <w:bCs/>
                <w:sz w:val="21"/>
                <w:szCs w:val="21"/>
                <w:u w:val="none"/>
              </w:rPr>
            </w:pPr>
            <w:r>
              <w:rPr>
                <w:bCs/>
                <w:sz w:val="21"/>
                <w:szCs w:val="21"/>
                <w:u w:val="none"/>
              </w:rPr>
              <w:t>35</w:t>
            </w:r>
          </w:p>
        </w:tc>
        <w:tc>
          <w:tcPr>
            <w:tcW w:w="767" w:type="pct"/>
            <w:tcBorders>
              <w:tl2br w:val="nil"/>
              <w:tr2bl w:val="nil"/>
            </w:tcBorders>
            <w:noWrap w:val="0"/>
            <w:vAlign w:val="center"/>
          </w:tcPr>
          <w:p>
            <w:pPr>
              <w:pStyle w:val="12"/>
              <w:spacing w:line="240" w:lineRule="auto"/>
              <w:ind w:firstLine="0" w:firstLineChars="0"/>
              <w:jc w:val="center"/>
              <w:rPr>
                <w:bCs/>
                <w:sz w:val="21"/>
                <w:szCs w:val="21"/>
                <w:u w:val="none"/>
              </w:rPr>
            </w:pPr>
            <w:r>
              <w:rPr>
                <w:bCs/>
                <w:sz w:val="21"/>
                <w:szCs w:val="21"/>
                <w:u w:val="none"/>
              </w:rPr>
              <w:t>70</w:t>
            </w:r>
          </w:p>
        </w:tc>
        <w:tc>
          <w:tcPr>
            <w:tcW w:w="785" w:type="pct"/>
            <w:tcBorders>
              <w:tl2br w:val="nil"/>
              <w:tr2bl w:val="nil"/>
            </w:tcBorders>
            <w:noWrap w:val="0"/>
            <w:vAlign w:val="center"/>
          </w:tcPr>
          <w:p>
            <w:pPr>
              <w:pStyle w:val="12"/>
              <w:spacing w:line="240" w:lineRule="auto"/>
              <w:ind w:firstLine="0" w:firstLineChars="0"/>
              <w:jc w:val="center"/>
              <w:rPr>
                <w:bCs/>
                <w:sz w:val="21"/>
                <w:szCs w:val="21"/>
                <w:u w:val="none"/>
              </w:rPr>
            </w:pPr>
            <w:r>
              <w:rPr>
                <w:bCs/>
                <w:sz w:val="21"/>
                <w:szCs w:val="21"/>
                <w:u w:val="none"/>
              </w:rPr>
              <w:t>60</w:t>
            </w:r>
          </w:p>
        </w:tc>
        <w:tc>
          <w:tcPr>
            <w:tcW w:w="720" w:type="pct"/>
            <w:tcBorders>
              <w:tl2br w:val="nil"/>
              <w:tr2bl w:val="nil"/>
            </w:tcBorders>
            <w:noWrap w:val="0"/>
            <w:vAlign w:val="center"/>
          </w:tcPr>
          <w:p>
            <w:pPr>
              <w:pStyle w:val="12"/>
              <w:spacing w:line="240" w:lineRule="auto"/>
              <w:ind w:firstLine="0" w:firstLineChars="0"/>
              <w:jc w:val="center"/>
              <w:rPr>
                <w:bCs/>
                <w:sz w:val="21"/>
                <w:szCs w:val="21"/>
                <w:u w:val="none"/>
              </w:rPr>
            </w:pPr>
            <w:r>
              <w:rPr>
                <w:bCs/>
                <w:sz w:val="21"/>
                <w:szCs w:val="21"/>
                <w:u w:val="none"/>
              </w:rPr>
              <w:t>40</w:t>
            </w:r>
          </w:p>
        </w:tc>
        <w:tc>
          <w:tcPr>
            <w:tcW w:w="712" w:type="pct"/>
            <w:tcBorders>
              <w:tl2br w:val="nil"/>
              <w:tr2bl w:val="nil"/>
            </w:tcBorders>
            <w:noWrap w:val="0"/>
            <w:vAlign w:val="center"/>
          </w:tcPr>
          <w:p>
            <w:pPr>
              <w:pStyle w:val="12"/>
              <w:spacing w:line="240" w:lineRule="auto"/>
              <w:ind w:firstLine="0" w:firstLineChars="0"/>
              <w:jc w:val="center"/>
              <w:rPr>
                <w:bCs/>
                <w:sz w:val="21"/>
                <w:szCs w:val="21"/>
                <w:u w:val="none"/>
              </w:rPr>
            </w:pPr>
            <w:r>
              <w:rPr>
                <w:bCs/>
                <w:sz w:val="21"/>
                <w:szCs w:val="21"/>
                <w:u w:val="none"/>
              </w:rPr>
              <w:t>4（日均值）</w:t>
            </w:r>
          </w:p>
        </w:tc>
        <w:tc>
          <w:tcPr>
            <w:tcW w:w="634" w:type="pct"/>
            <w:tcBorders>
              <w:tl2br w:val="nil"/>
              <w:tr2bl w:val="nil"/>
            </w:tcBorders>
            <w:noWrap w:val="0"/>
            <w:vAlign w:val="center"/>
          </w:tcPr>
          <w:p>
            <w:pPr>
              <w:pStyle w:val="12"/>
              <w:spacing w:line="240" w:lineRule="auto"/>
              <w:ind w:firstLine="0" w:firstLineChars="0"/>
              <w:jc w:val="center"/>
              <w:rPr>
                <w:bCs/>
                <w:sz w:val="21"/>
                <w:szCs w:val="21"/>
                <w:u w:val="none"/>
              </w:rPr>
            </w:pPr>
            <w:r>
              <w:rPr>
                <w:bCs/>
                <w:sz w:val="21"/>
                <w:szCs w:val="21"/>
                <w:u w:val="none"/>
              </w:rPr>
              <w:t>160（日均值）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573" w:hRule="atLeast"/>
          <w:jc w:val="center"/>
        </w:trPr>
        <w:tc>
          <w:tcPr>
            <w:tcW w:w="587" w:type="pct"/>
            <w:tcBorders>
              <w:tl2br w:val="nil"/>
              <w:tr2bl w:val="nil"/>
            </w:tcBorders>
            <w:noWrap w:val="0"/>
            <w:vAlign w:val="center"/>
          </w:tcPr>
          <w:p>
            <w:pPr>
              <w:pStyle w:val="12"/>
              <w:spacing w:line="240" w:lineRule="auto"/>
              <w:ind w:firstLine="0" w:firstLineChars="0"/>
              <w:jc w:val="center"/>
              <w:rPr>
                <w:bCs/>
                <w:sz w:val="21"/>
                <w:szCs w:val="21"/>
                <w:u w:val="none"/>
              </w:rPr>
            </w:pPr>
            <w:r>
              <w:rPr>
                <w:bCs/>
                <w:sz w:val="21"/>
                <w:szCs w:val="21"/>
                <w:u w:val="none"/>
              </w:rPr>
              <w:t>达标性</w:t>
            </w:r>
          </w:p>
        </w:tc>
        <w:tc>
          <w:tcPr>
            <w:tcW w:w="792" w:type="pct"/>
            <w:tcBorders>
              <w:tl2br w:val="nil"/>
              <w:tr2bl w:val="nil"/>
            </w:tcBorders>
            <w:noWrap w:val="0"/>
            <w:vAlign w:val="center"/>
          </w:tcPr>
          <w:p>
            <w:pPr>
              <w:pStyle w:val="12"/>
              <w:spacing w:line="240" w:lineRule="auto"/>
              <w:ind w:firstLine="0" w:firstLineChars="0"/>
              <w:jc w:val="center"/>
              <w:rPr>
                <w:bCs/>
                <w:sz w:val="21"/>
                <w:szCs w:val="21"/>
                <w:u w:val="none"/>
              </w:rPr>
            </w:pPr>
            <w:r>
              <w:rPr>
                <w:bCs/>
                <w:sz w:val="21"/>
                <w:szCs w:val="21"/>
                <w:u w:val="none"/>
              </w:rPr>
              <w:t>达标</w:t>
            </w:r>
          </w:p>
        </w:tc>
        <w:tc>
          <w:tcPr>
            <w:tcW w:w="767" w:type="pct"/>
            <w:tcBorders>
              <w:tl2br w:val="nil"/>
              <w:tr2bl w:val="nil"/>
            </w:tcBorders>
            <w:noWrap w:val="0"/>
            <w:vAlign w:val="center"/>
          </w:tcPr>
          <w:p>
            <w:pPr>
              <w:pStyle w:val="12"/>
              <w:spacing w:line="240" w:lineRule="auto"/>
              <w:ind w:firstLine="0" w:firstLineChars="0"/>
              <w:jc w:val="center"/>
              <w:rPr>
                <w:bCs/>
                <w:sz w:val="21"/>
                <w:szCs w:val="21"/>
                <w:u w:val="none"/>
              </w:rPr>
            </w:pPr>
            <w:r>
              <w:rPr>
                <w:bCs/>
                <w:sz w:val="21"/>
                <w:szCs w:val="21"/>
                <w:u w:val="none"/>
              </w:rPr>
              <w:t>达标</w:t>
            </w:r>
          </w:p>
        </w:tc>
        <w:tc>
          <w:tcPr>
            <w:tcW w:w="785" w:type="pct"/>
            <w:tcBorders>
              <w:tl2br w:val="nil"/>
              <w:tr2bl w:val="nil"/>
            </w:tcBorders>
            <w:noWrap w:val="0"/>
            <w:vAlign w:val="center"/>
          </w:tcPr>
          <w:p>
            <w:pPr>
              <w:pStyle w:val="12"/>
              <w:spacing w:line="240" w:lineRule="auto"/>
              <w:ind w:firstLine="0" w:firstLineChars="0"/>
              <w:jc w:val="center"/>
              <w:rPr>
                <w:bCs/>
                <w:sz w:val="21"/>
                <w:szCs w:val="21"/>
                <w:u w:val="none"/>
              </w:rPr>
            </w:pPr>
            <w:r>
              <w:rPr>
                <w:bCs/>
                <w:sz w:val="21"/>
                <w:szCs w:val="21"/>
                <w:u w:val="none"/>
              </w:rPr>
              <w:t>达标</w:t>
            </w:r>
          </w:p>
        </w:tc>
        <w:tc>
          <w:tcPr>
            <w:tcW w:w="720" w:type="pct"/>
            <w:tcBorders>
              <w:tl2br w:val="nil"/>
              <w:tr2bl w:val="nil"/>
            </w:tcBorders>
            <w:noWrap w:val="0"/>
            <w:vAlign w:val="center"/>
          </w:tcPr>
          <w:p>
            <w:pPr>
              <w:pStyle w:val="12"/>
              <w:spacing w:line="240" w:lineRule="auto"/>
              <w:ind w:firstLine="0" w:firstLineChars="0"/>
              <w:jc w:val="center"/>
              <w:rPr>
                <w:bCs/>
                <w:sz w:val="21"/>
                <w:szCs w:val="21"/>
                <w:u w:val="none"/>
              </w:rPr>
            </w:pPr>
            <w:r>
              <w:rPr>
                <w:bCs/>
                <w:sz w:val="21"/>
                <w:szCs w:val="21"/>
                <w:u w:val="none"/>
              </w:rPr>
              <w:t>达标</w:t>
            </w:r>
          </w:p>
        </w:tc>
        <w:tc>
          <w:tcPr>
            <w:tcW w:w="712" w:type="pct"/>
            <w:tcBorders>
              <w:tl2br w:val="nil"/>
              <w:tr2bl w:val="nil"/>
            </w:tcBorders>
            <w:noWrap w:val="0"/>
            <w:vAlign w:val="center"/>
          </w:tcPr>
          <w:p>
            <w:pPr>
              <w:pStyle w:val="12"/>
              <w:spacing w:line="240" w:lineRule="auto"/>
              <w:ind w:firstLine="0" w:firstLineChars="0"/>
              <w:jc w:val="center"/>
              <w:rPr>
                <w:bCs/>
                <w:sz w:val="21"/>
                <w:szCs w:val="21"/>
                <w:u w:val="none"/>
              </w:rPr>
            </w:pPr>
            <w:r>
              <w:rPr>
                <w:bCs/>
                <w:sz w:val="21"/>
                <w:szCs w:val="21"/>
                <w:u w:val="none"/>
              </w:rPr>
              <w:t>达标</w:t>
            </w:r>
          </w:p>
        </w:tc>
        <w:tc>
          <w:tcPr>
            <w:tcW w:w="634" w:type="pct"/>
            <w:tcBorders>
              <w:tl2br w:val="nil"/>
              <w:tr2bl w:val="nil"/>
            </w:tcBorders>
            <w:noWrap w:val="0"/>
            <w:vAlign w:val="center"/>
          </w:tcPr>
          <w:p>
            <w:pPr>
              <w:pStyle w:val="12"/>
              <w:spacing w:line="240" w:lineRule="auto"/>
              <w:ind w:firstLine="0" w:firstLineChars="0"/>
              <w:jc w:val="center"/>
              <w:rPr>
                <w:bCs/>
                <w:sz w:val="21"/>
                <w:szCs w:val="21"/>
                <w:u w:val="none"/>
              </w:rPr>
            </w:pPr>
            <w:r>
              <w:rPr>
                <w:bCs/>
                <w:sz w:val="21"/>
                <w:szCs w:val="21"/>
                <w:u w:val="none"/>
              </w:rPr>
              <w:t>达标</w:t>
            </w:r>
          </w:p>
        </w:tc>
      </w:tr>
    </w:tbl>
    <w:p>
      <w:pPr>
        <w:suppressAutoHyphens/>
        <w:topLinePunct/>
        <w:ind w:firstLine="480"/>
        <w:jc w:val="both"/>
        <w:rPr>
          <w:rFonts w:hint="eastAsia"/>
          <w:sz w:val="24"/>
          <w:szCs w:val="24"/>
          <w:u w:val="none"/>
        </w:rPr>
      </w:pPr>
      <w:r>
        <w:rPr>
          <w:rFonts w:hint="eastAsia"/>
          <w:color w:val="000000"/>
          <w:kern w:val="0"/>
          <w:sz w:val="24"/>
          <w:u w:val="none"/>
        </w:rPr>
        <w:t>根据花垣县环境监测站发布的《环境质量简报》中关于花垣县环境空气质监测因子PM</w:t>
      </w:r>
      <w:r>
        <w:rPr>
          <w:rFonts w:hint="eastAsia"/>
          <w:color w:val="000000"/>
          <w:kern w:val="0"/>
          <w:sz w:val="24"/>
          <w:u w:val="none"/>
          <w:vertAlign w:val="subscript"/>
        </w:rPr>
        <w:t>2.5</w:t>
      </w:r>
      <w:r>
        <w:rPr>
          <w:rFonts w:hint="eastAsia"/>
          <w:color w:val="000000"/>
          <w:kern w:val="0"/>
          <w:sz w:val="24"/>
          <w:u w:val="none"/>
        </w:rPr>
        <w:t>、PM</w:t>
      </w:r>
      <w:r>
        <w:rPr>
          <w:rFonts w:hint="eastAsia"/>
          <w:color w:val="000000"/>
          <w:kern w:val="0"/>
          <w:sz w:val="24"/>
          <w:u w:val="none"/>
          <w:vertAlign w:val="subscript"/>
        </w:rPr>
        <w:t>10</w:t>
      </w:r>
      <w:r>
        <w:rPr>
          <w:rFonts w:hint="eastAsia"/>
          <w:color w:val="000000"/>
          <w:kern w:val="0"/>
          <w:sz w:val="24"/>
          <w:u w:val="none"/>
        </w:rPr>
        <w:t>、SO</w:t>
      </w:r>
      <w:r>
        <w:rPr>
          <w:rFonts w:hint="eastAsia"/>
          <w:color w:val="000000"/>
          <w:kern w:val="0"/>
          <w:sz w:val="24"/>
          <w:u w:val="none"/>
          <w:vertAlign w:val="subscript"/>
        </w:rPr>
        <w:t>2</w:t>
      </w:r>
      <w:r>
        <w:rPr>
          <w:rFonts w:hint="eastAsia"/>
          <w:color w:val="000000"/>
          <w:kern w:val="0"/>
          <w:sz w:val="24"/>
          <w:u w:val="none"/>
        </w:rPr>
        <w:t>、NO</w:t>
      </w:r>
      <w:r>
        <w:rPr>
          <w:rFonts w:hint="eastAsia"/>
          <w:color w:val="000000"/>
          <w:kern w:val="0"/>
          <w:sz w:val="24"/>
          <w:u w:val="none"/>
          <w:vertAlign w:val="subscript"/>
        </w:rPr>
        <w:t>2</w:t>
      </w:r>
      <w:r>
        <w:rPr>
          <w:rFonts w:hint="eastAsia"/>
          <w:color w:val="000000"/>
          <w:kern w:val="0"/>
          <w:sz w:val="24"/>
          <w:u w:val="none"/>
        </w:rPr>
        <w:t>、CO、O</w:t>
      </w:r>
      <w:r>
        <w:rPr>
          <w:rFonts w:hint="eastAsia"/>
          <w:color w:val="000000"/>
          <w:kern w:val="0"/>
          <w:sz w:val="24"/>
          <w:u w:val="none"/>
          <w:vertAlign w:val="subscript"/>
        </w:rPr>
        <w:t>3</w:t>
      </w:r>
      <w:r>
        <w:rPr>
          <w:rFonts w:hint="eastAsia"/>
          <w:color w:val="000000"/>
          <w:kern w:val="0"/>
          <w:sz w:val="24"/>
          <w:u w:val="none"/>
        </w:rPr>
        <w:t>的202</w:t>
      </w:r>
      <w:r>
        <w:rPr>
          <w:rFonts w:hint="eastAsia"/>
          <w:color w:val="000000"/>
          <w:kern w:val="0"/>
          <w:sz w:val="24"/>
          <w:u w:val="none"/>
          <w:lang w:val="en-US" w:eastAsia="zh-CN"/>
        </w:rPr>
        <w:t>1</w:t>
      </w:r>
      <w:r>
        <w:rPr>
          <w:rFonts w:hint="eastAsia"/>
          <w:color w:val="000000"/>
          <w:kern w:val="0"/>
          <w:sz w:val="24"/>
          <w:u w:val="none"/>
        </w:rPr>
        <w:t>年环境空气污染物浓度的数据可知，202</w:t>
      </w:r>
      <w:r>
        <w:rPr>
          <w:rFonts w:hint="eastAsia"/>
          <w:color w:val="000000"/>
          <w:kern w:val="0"/>
          <w:sz w:val="24"/>
          <w:u w:val="none"/>
          <w:lang w:val="en-US" w:eastAsia="zh-CN"/>
        </w:rPr>
        <w:t>1</w:t>
      </w:r>
      <w:r>
        <w:rPr>
          <w:rFonts w:hint="eastAsia"/>
          <w:color w:val="000000"/>
          <w:kern w:val="0"/>
          <w:sz w:val="24"/>
          <w:u w:val="none"/>
        </w:rPr>
        <w:t>年度花垣县环境空气中SO</w:t>
      </w:r>
      <w:r>
        <w:rPr>
          <w:rFonts w:hint="eastAsia"/>
          <w:color w:val="000000"/>
          <w:kern w:val="0"/>
          <w:sz w:val="24"/>
          <w:u w:val="none"/>
          <w:vertAlign w:val="subscript"/>
        </w:rPr>
        <w:t>2</w:t>
      </w:r>
      <w:r>
        <w:rPr>
          <w:rFonts w:hint="eastAsia"/>
          <w:color w:val="000000"/>
          <w:kern w:val="0"/>
          <w:sz w:val="24"/>
          <w:u w:val="none"/>
        </w:rPr>
        <w:t>、NO</w:t>
      </w:r>
      <w:r>
        <w:rPr>
          <w:rFonts w:hint="eastAsia"/>
          <w:color w:val="000000"/>
          <w:kern w:val="0"/>
          <w:sz w:val="24"/>
          <w:u w:val="none"/>
          <w:vertAlign w:val="subscript"/>
        </w:rPr>
        <w:t>2</w:t>
      </w:r>
      <w:r>
        <w:rPr>
          <w:rFonts w:hint="eastAsia"/>
          <w:color w:val="000000"/>
          <w:kern w:val="0"/>
          <w:sz w:val="24"/>
          <w:u w:val="none"/>
        </w:rPr>
        <w:t>、CO、PM</w:t>
      </w:r>
      <w:r>
        <w:rPr>
          <w:rFonts w:hint="eastAsia"/>
          <w:color w:val="000000"/>
          <w:kern w:val="0"/>
          <w:sz w:val="24"/>
          <w:u w:val="none"/>
          <w:vertAlign w:val="subscript"/>
        </w:rPr>
        <w:t>10</w:t>
      </w:r>
      <w:r>
        <w:rPr>
          <w:rFonts w:hint="eastAsia"/>
          <w:color w:val="000000"/>
          <w:kern w:val="0"/>
          <w:sz w:val="24"/>
          <w:u w:val="none"/>
        </w:rPr>
        <w:t>、PM</w:t>
      </w:r>
      <w:r>
        <w:rPr>
          <w:rFonts w:hint="eastAsia"/>
          <w:color w:val="000000"/>
          <w:kern w:val="0"/>
          <w:sz w:val="24"/>
          <w:u w:val="none"/>
          <w:vertAlign w:val="subscript"/>
        </w:rPr>
        <w:t>2.5</w:t>
      </w:r>
      <w:r>
        <w:rPr>
          <w:rFonts w:hint="eastAsia"/>
          <w:color w:val="000000"/>
          <w:kern w:val="0"/>
          <w:sz w:val="24"/>
          <w:u w:val="none"/>
        </w:rPr>
        <w:t>、O</w:t>
      </w:r>
      <w:r>
        <w:rPr>
          <w:rFonts w:hint="eastAsia"/>
          <w:color w:val="000000"/>
          <w:kern w:val="0"/>
          <w:sz w:val="24"/>
          <w:u w:val="none"/>
          <w:vertAlign w:val="subscript"/>
        </w:rPr>
        <w:t>3</w:t>
      </w:r>
      <w:r>
        <w:rPr>
          <w:rFonts w:hint="eastAsia"/>
          <w:color w:val="000000"/>
          <w:kern w:val="0"/>
          <w:sz w:val="24"/>
          <w:u w:val="none"/>
        </w:rPr>
        <w:t>-8h浓度的相关平均值均能满足《环境空气质量标准》（GB3095-2012）的二级标准及2018年修改单。根据《环境影响评价技术导则 大气环境》（HJ 2.2-2018）对项目所在区域环境空气质量进行达标判断，六项污染物全部达标，故本项目所在区域为环境空气质量达标区。</w:t>
      </w:r>
    </w:p>
    <w:p>
      <w:pPr>
        <w:pStyle w:val="8"/>
        <w:spacing w:before="163"/>
        <w:ind w:left="0" w:leftChars="0" w:firstLine="0" w:firstLineChars="0"/>
        <w:rPr>
          <w:color w:val="000000"/>
          <w:u w:val="none"/>
        </w:rPr>
      </w:pPr>
      <w:r>
        <w:rPr>
          <w:color w:val="000000"/>
          <w:u w:val="none"/>
        </w:rPr>
        <w:t>3</w:t>
      </w:r>
      <w:r>
        <w:rPr>
          <w:rFonts w:hint="eastAsia"/>
          <w:color w:val="000000"/>
          <w:u w:val="none"/>
        </w:rPr>
        <w:t>.</w:t>
      </w:r>
      <w:r>
        <w:rPr>
          <w:rFonts w:hint="eastAsia"/>
          <w:color w:val="000000"/>
          <w:u w:val="none"/>
          <w:lang w:val="en-US" w:eastAsia="zh-CN"/>
        </w:rPr>
        <w:t>6</w:t>
      </w:r>
      <w:r>
        <w:rPr>
          <w:rFonts w:hint="eastAsia"/>
          <w:color w:val="000000"/>
          <w:u w:val="none"/>
        </w:rPr>
        <w:t>.2 地表水环境质量现状评价</w:t>
      </w:r>
    </w:p>
    <w:p>
      <w:pPr>
        <w:pStyle w:val="81"/>
        <w:rPr>
          <w:snapToGrid w:val="0"/>
          <w:color w:val="000000"/>
          <w:u w:val="none"/>
        </w:rPr>
      </w:pPr>
      <w:r>
        <w:rPr>
          <w:snapToGrid w:val="0"/>
          <w:color w:val="000000"/>
          <w:u w:val="none"/>
        </w:rPr>
        <w:t>3.</w:t>
      </w:r>
      <w:r>
        <w:rPr>
          <w:rFonts w:hint="eastAsia"/>
          <w:snapToGrid w:val="0"/>
          <w:color w:val="000000"/>
          <w:u w:val="none"/>
          <w:lang w:val="en-US" w:eastAsia="zh-CN"/>
        </w:rPr>
        <w:t>6</w:t>
      </w:r>
      <w:r>
        <w:rPr>
          <w:snapToGrid w:val="0"/>
          <w:color w:val="000000"/>
          <w:u w:val="none"/>
        </w:rPr>
        <w:t>.2.1区域</w:t>
      </w:r>
      <w:r>
        <w:rPr>
          <w:rFonts w:hint="eastAsia"/>
          <w:snapToGrid w:val="0"/>
          <w:color w:val="000000"/>
          <w:u w:val="none"/>
        </w:rPr>
        <w:t>地表水</w:t>
      </w:r>
      <w:r>
        <w:rPr>
          <w:snapToGrid w:val="0"/>
          <w:color w:val="000000"/>
          <w:u w:val="none"/>
        </w:rPr>
        <w:t>环境质量达标情况</w:t>
      </w:r>
    </w:p>
    <w:p>
      <w:pPr>
        <w:widowControl w:val="0"/>
        <w:ind w:firstLine="480"/>
        <w:jc w:val="both"/>
        <w:rPr>
          <w:rFonts w:hint="eastAsia" w:ascii="Times New Roman" w:hAnsi="Times New Roman" w:eastAsia="宋体" w:cs="Times New Roman"/>
          <w:color w:val="auto"/>
          <w:kern w:val="0"/>
          <w:szCs w:val="20"/>
          <w:u w:val="none"/>
          <w:lang w:eastAsia="zh-CN"/>
        </w:rPr>
      </w:pPr>
      <w:r>
        <w:rPr>
          <w:rFonts w:hint="eastAsia" w:ascii="Times New Roman" w:hAnsi="Times New Roman" w:eastAsia="宋体" w:cs="Times New Roman"/>
          <w:color w:val="auto"/>
          <w:kern w:val="0"/>
          <w:szCs w:val="20"/>
          <w:u w:val="none"/>
          <w:lang w:eastAsia="zh-CN"/>
        </w:rPr>
        <w:t>本项目上游国控断面为依托排污口上游1.5万米的边城镇断面，下游国控断面为依托排污口下游1万米川心城省控断面，下游1.2万米狮子桥坝下断面。</w:t>
      </w:r>
      <w:r>
        <w:rPr>
          <w:rFonts w:hint="eastAsia" w:cs="Times New Roman"/>
          <w:color w:val="auto"/>
          <w:kern w:val="0"/>
          <w:szCs w:val="20"/>
          <w:u w:val="none"/>
          <w:lang w:eastAsia="zh-CN"/>
        </w:rPr>
        <w:t>根据调查项目区域花垣河于排污口下游</w:t>
      </w:r>
      <w:r>
        <w:rPr>
          <w:rFonts w:hint="eastAsia" w:cs="Times New Roman"/>
          <w:color w:val="auto"/>
          <w:kern w:val="0"/>
          <w:szCs w:val="20"/>
          <w:u w:val="none"/>
          <w:lang w:val="en-US" w:eastAsia="zh-CN"/>
        </w:rPr>
        <w:t>25千米汇入酉水河，花垣河段下游无饮用水源取水口及饮用水源保护区分布；</w:t>
      </w:r>
      <w:r>
        <w:rPr>
          <w:rFonts w:hint="eastAsia" w:ascii="Times New Roman" w:hAnsi="Times New Roman" w:eastAsia="宋体" w:cs="Times New Roman"/>
          <w:color w:val="auto"/>
          <w:kern w:val="0"/>
          <w:szCs w:val="20"/>
          <w:u w:val="none"/>
          <w:lang w:eastAsia="zh-CN"/>
        </w:rPr>
        <w:t>区域饮用水源为项目地南侧1万米的兄弟河水库，兄弟河饮用水源于下游1.2万米汇入花垣河（汇入口在本项目纳污水体下游1万米处）</w:t>
      </w:r>
      <w:r>
        <w:rPr>
          <w:rFonts w:hint="eastAsia" w:cs="Times New Roman"/>
          <w:color w:val="auto"/>
          <w:kern w:val="0"/>
          <w:szCs w:val="20"/>
          <w:u w:val="none"/>
          <w:lang w:eastAsia="zh-CN"/>
        </w:rPr>
        <w:t>，详见附图</w:t>
      </w:r>
      <w:r>
        <w:rPr>
          <w:rFonts w:hint="eastAsia" w:cs="Times New Roman"/>
          <w:color w:val="auto"/>
          <w:kern w:val="0"/>
          <w:szCs w:val="20"/>
          <w:u w:val="none"/>
          <w:lang w:val="en-US" w:eastAsia="zh-CN"/>
        </w:rPr>
        <w:t>10  项目周边水系图</w:t>
      </w:r>
      <w:r>
        <w:rPr>
          <w:rFonts w:hint="eastAsia" w:ascii="Times New Roman" w:hAnsi="Times New Roman" w:eastAsia="宋体" w:cs="Times New Roman"/>
          <w:color w:val="auto"/>
          <w:kern w:val="0"/>
          <w:szCs w:val="20"/>
          <w:u w:val="none"/>
          <w:lang w:eastAsia="zh-CN"/>
        </w:rPr>
        <w:t>。</w:t>
      </w:r>
    </w:p>
    <w:p>
      <w:pPr>
        <w:widowControl w:val="0"/>
        <w:ind w:firstLine="480"/>
        <w:jc w:val="both"/>
        <w:rPr>
          <w:rFonts w:hint="eastAsia" w:ascii="Times New Roman" w:hAnsi="Times New Roman" w:eastAsia="宋体" w:cs="Times New Roman"/>
          <w:color w:val="auto"/>
          <w:kern w:val="0"/>
          <w:szCs w:val="20"/>
          <w:u w:val="none"/>
          <w:lang w:eastAsia="zh-CN"/>
        </w:rPr>
      </w:pPr>
      <w:r>
        <w:rPr>
          <w:rFonts w:hint="eastAsia"/>
          <w:color w:val="auto"/>
          <w:kern w:val="0"/>
          <w:szCs w:val="20"/>
          <w:u w:val="none"/>
          <w:lang w:eastAsia="zh-CN"/>
        </w:rPr>
        <w:t>本项目依托污水处理厂纳污水体花垣河排污口上游国控断面为边城镇断面，下游省控断面为川心城断面，下游国控断面为狮子桥坝下断面；根据2021年湘西州环境主管部门发布的《湘西州地表水控制断面水质情况》中关于湘西州地表水环境质监测因子pH、溶解氧、高锰酸盐指数、化学需氧量、五日生化需氧量、氨氮、总磷、铜、锌、氟化物、硒、砷、汞、镉、六价铬、铅、氰化物、挥发酚、石油类、阴离子表面活性剂、硫化物的数据可知，2021年1-12月川心城、边城镇、狮子桥坝下常规监测断面各项监测指标均能达到《地表水环</w:t>
      </w:r>
      <w:r>
        <w:rPr>
          <w:rFonts w:hint="eastAsia" w:ascii="Times New Roman" w:hAnsi="Times New Roman" w:eastAsia="宋体" w:cs="Times New Roman"/>
          <w:color w:val="auto"/>
          <w:kern w:val="0"/>
          <w:szCs w:val="20"/>
          <w:u w:val="none"/>
          <w:lang w:eastAsia="zh-CN"/>
        </w:rPr>
        <w:t>境质量标准》（GB3838-2002）Ⅲ类标准要求。</w:t>
      </w:r>
    </w:p>
    <w:p>
      <w:pPr>
        <w:widowControl w:val="0"/>
        <w:ind w:firstLine="480"/>
        <w:jc w:val="both"/>
        <w:rPr>
          <w:rFonts w:hint="eastAsia" w:ascii="Times New Roman" w:hAnsi="Times New Roman" w:eastAsia="宋体" w:cs="Times New Roman"/>
          <w:color w:val="000000"/>
          <w:kern w:val="0"/>
          <w:szCs w:val="20"/>
          <w:u w:val="none"/>
          <w:lang w:eastAsia="zh-CN"/>
        </w:rPr>
      </w:pPr>
      <w:r>
        <w:rPr>
          <w:rFonts w:hint="eastAsia" w:ascii="Times New Roman" w:hAnsi="Times New Roman" w:eastAsia="宋体" w:cs="Times New Roman"/>
          <w:color w:val="000000"/>
          <w:kern w:val="0"/>
          <w:szCs w:val="20"/>
          <w:u w:val="none"/>
          <w:lang w:eastAsia="zh-CN"/>
        </w:rPr>
        <w:t>项目区域地表水环境为达标区。</w:t>
      </w:r>
    </w:p>
    <w:p>
      <w:pPr>
        <w:pStyle w:val="81"/>
        <w:rPr>
          <w:rFonts w:hint="eastAsia"/>
          <w:color w:val="000000"/>
          <w:u w:val="none"/>
        </w:rPr>
      </w:pPr>
      <w:r>
        <w:rPr>
          <w:color w:val="000000"/>
          <w:u w:val="none"/>
        </w:rPr>
        <w:t>3</w:t>
      </w:r>
      <w:r>
        <w:rPr>
          <w:rFonts w:hint="eastAsia"/>
          <w:color w:val="000000"/>
          <w:u w:val="none"/>
        </w:rPr>
        <w:t>.</w:t>
      </w:r>
      <w:r>
        <w:rPr>
          <w:rFonts w:hint="eastAsia"/>
          <w:color w:val="000000"/>
          <w:u w:val="none"/>
          <w:lang w:val="en-US" w:eastAsia="zh-CN"/>
        </w:rPr>
        <w:t>6</w:t>
      </w:r>
      <w:r>
        <w:rPr>
          <w:rFonts w:hint="eastAsia"/>
          <w:color w:val="000000"/>
          <w:u w:val="none"/>
        </w:rPr>
        <w:t>.2.</w:t>
      </w:r>
      <w:r>
        <w:rPr>
          <w:color w:val="000000"/>
          <w:u w:val="none"/>
        </w:rPr>
        <w:t>2</w:t>
      </w:r>
      <w:r>
        <w:rPr>
          <w:rFonts w:hint="eastAsia"/>
          <w:color w:val="000000"/>
          <w:u w:val="none"/>
        </w:rPr>
        <w:t xml:space="preserve"> 地表水质量现状调查</w:t>
      </w:r>
    </w:p>
    <w:p>
      <w:pPr>
        <w:widowControl w:val="0"/>
        <w:ind w:firstLine="480"/>
        <w:jc w:val="both"/>
        <w:rPr>
          <w:rFonts w:hint="eastAsia"/>
          <w:color w:val="000000"/>
          <w:kern w:val="0"/>
          <w:szCs w:val="20"/>
          <w:u w:val="none"/>
          <w:lang w:eastAsia="zh-CN"/>
        </w:rPr>
      </w:pPr>
      <w:r>
        <w:rPr>
          <w:rFonts w:hint="eastAsia" w:ascii="Times New Roman" w:hAnsi="Times New Roman" w:eastAsia="宋体" w:cs="Times New Roman"/>
          <w:color w:val="000000"/>
          <w:kern w:val="0"/>
          <w:szCs w:val="20"/>
          <w:u w:val="none"/>
          <w:lang w:eastAsia="zh-CN"/>
        </w:rPr>
        <w:t>为了了解项目地表水环境质量达标情况，本环评引用花垣工业集中区污水处理厂入河排污口论证报告对区域地表水现状环境质量监测</w:t>
      </w:r>
      <w:r>
        <w:rPr>
          <w:rFonts w:hint="eastAsia"/>
          <w:color w:val="000000"/>
          <w:kern w:val="0"/>
          <w:szCs w:val="20"/>
          <w:u w:val="none"/>
          <w:lang w:eastAsia="zh-CN"/>
        </w:rPr>
        <w:t>数据。</w:t>
      </w:r>
    </w:p>
    <w:p>
      <w:pPr>
        <w:widowControl w:val="0"/>
        <w:ind w:firstLine="480"/>
        <w:jc w:val="both"/>
        <w:rPr>
          <w:rFonts w:hint="eastAsia"/>
          <w:color w:val="000000"/>
          <w:kern w:val="0"/>
          <w:szCs w:val="20"/>
          <w:u w:val="none"/>
        </w:rPr>
      </w:pPr>
      <w:r>
        <w:rPr>
          <w:rFonts w:hint="eastAsia"/>
          <w:color w:val="000000"/>
          <w:kern w:val="0"/>
          <w:szCs w:val="20"/>
          <w:u w:val="none"/>
        </w:rPr>
        <w:t>监测时间：2021年3月8日-2021年3月10日</w:t>
      </w:r>
      <w:r>
        <w:rPr>
          <w:rFonts w:hint="eastAsia"/>
          <w:color w:val="000000"/>
          <w:kern w:val="0"/>
          <w:szCs w:val="20"/>
          <w:u w:val="none"/>
          <w:lang w:eastAsia="zh-CN"/>
        </w:rPr>
        <w:t>，距离本项目环评时间在</w:t>
      </w:r>
      <w:r>
        <w:rPr>
          <w:rFonts w:hint="eastAsia"/>
          <w:color w:val="000000"/>
          <w:kern w:val="0"/>
          <w:szCs w:val="20"/>
          <w:u w:val="none"/>
          <w:lang w:val="en-US" w:eastAsia="zh-CN"/>
        </w:rPr>
        <w:t>3年有效期范围内，引用时间合理</w:t>
      </w:r>
      <w:r>
        <w:rPr>
          <w:rFonts w:hint="eastAsia"/>
          <w:color w:val="000000"/>
          <w:kern w:val="0"/>
          <w:szCs w:val="20"/>
          <w:u w:val="none"/>
        </w:rPr>
        <w:t>。</w:t>
      </w:r>
    </w:p>
    <w:p>
      <w:pPr>
        <w:widowControl w:val="0"/>
        <w:ind w:firstLine="480"/>
        <w:jc w:val="both"/>
        <w:rPr>
          <w:rFonts w:hint="eastAsia" w:eastAsia="宋体"/>
          <w:color w:val="000000"/>
          <w:kern w:val="0"/>
          <w:szCs w:val="20"/>
          <w:u w:val="none"/>
          <w:lang w:eastAsia="zh-CN"/>
        </w:rPr>
      </w:pPr>
      <w:r>
        <w:rPr>
          <w:rFonts w:hint="eastAsia"/>
          <w:color w:val="000000"/>
          <w:kern w:val="0"/>
          <w:szCs w:val="20"/>
          <w:u w:val="none"/>
        </w:rPr>
        <w:t>监测因子：pH、氨氮、化学需氧量、五日生化需氧量、溶解氧、悬浮物、 总磷、总氮、石油类、阴离子表面活性剂、挥发酚、粪大肠菌群、六价铬、锌、 铅、镉、锰、砷、总铬、总钒</w:t>
      </w:r>
      <w:r>
        <w:rPr>
          <w:rFonts w:hint="eastAsia"/>
          <w:color w:val="000000"/>
          <w:kern w:val="0"/>
          <w:szCs w:val="20"/>
          <w:u w:val="none"/>
          <w:lang w:eastAsia="zh-CN"/>
        </w:rPr>
        <w:t>；</w:t>
      </w:r>
    </w:p>
    <w:p>
      <w:pPr>
        <w:widowControl w:val="0"/>
        <w:ind w:firstLine="480"/>
        <w:jc w:val="both"/>
        <w:rPr>
          <w:rFonts w:hint="eastAsia"/>
          <w:color w:val="000000"/>
          <w:kern w:val="0"/>
          <w:szCs w:val="20"/>
          <w:u w:val="none"/>
        </w:rPr>
      </w:pPr>
      <w:r>
        <w:rPr>
          <w:rFonts w:hint="eastAsia"/>
          <w:color w:val="000000"/>
          <w:kern w:val="0"/>
          <w:szCs w:val="20"/>
          <w:u w:val="none"/>
        </w:rPr>
        <w:t>监测频次：连续3天，每天1次。</w:t>
      </w:r>
    </w:p>
    <w:p>
      <w:pPr>
        <w:keepNext w:val="0"/>
        <w:keepLines w:val="0"/>
        <w:pageBreakBefore w:val="0"/>
        <w:widowControl/>
        <w:kinsoku/>
        <w:wordWrap/>
        <w:overflowPunct/>
        <w:topLinePunct w:val="0"/>
        <w:bidi w:val="0"/>
        <w:adjustRightInd/>
        <w:snapToGrid/>
        <w:ind w:firstLine="0" w:firstLineChars="0"/>
        <w:jc w:val="center"/>
        <w:textAlignment w:val="auto"/>
        <w:rPr>
          <w:rFonts w:hint="eastAsia" w:ascii="Times New Roman" w:hAnsi="Times New Roman" w:eastAsia="宋体" w:cs="Times New Roman"/>
          <w:b/>
          <w:color w:val="000000"/>
          <w:kern w:val="0"/>
          <w:sz w:val="21"/>
          <w:szCs w:val="21"/>
          <w:u w:val="none"/>
        </w:rPr>
      </w:pPr>
      <w:r>
        <w:rPr>
          <w:rFonts w:hint="eastAsia" w:ascii="Times New Roman" w:hAnsi="Times New Roman" w:eastAsia="宋体" w:cs="Times New Roman"/>
          <w:b/>
          <w:color w:val="000000"/>
          <w:kern w:val="0"/>
          <w:sz w:val="21"/>
          <w:szCs w:val="21"/>
          <w:u w:val="none"/>
        </w:rPr>
        <w:t>表 3.</w:t>
      </w:r>
      <w:r>
        <w:rPr>
          <w:rFonts w:hint="eastAsia" w:eastAsia="宋体" w:cs="Times New Roman"/>
          <w:b/>
          <w:color w:val="000000"/>
          <w:kern w:val="0"/>
          <w:sz w:val="21"/>
          <w:szCs w:val="21"/>
          <w:u w:val="none"/>
          <w:lang w:val="en-US" w:eastAsia="zh-CN"/>
        </w:rPr>
        <w:t>6</w:t>
      </w:r>
      <w:r>
        <w:rPr>
          <w:rFonts w:hint="eastAsia" w:ascii="Times New Roman" w:hAnsi="Times New Roman" w:eastAsia="宋体" w:cs="Times New Roman"/>
          <w:b/>
          <w:color w:val="000000"/>
          <w:kern w:val="0"/>
          <w:sz w:val="21"/>
          <w:szCs w:val="21"/>
          <w:u w:val="none"/>
        </w:rPr>
        <w:t>-</w:t>
      </w:r>
      <w:r>
        <w:rPr>
          <w:rFonts w:hint="eastAsia" w:eastAsia="宋体" w:cs="Times New Roman"/>
          <w:b/>
          <w:color w:val="000000"/>
          <w:kern w:val="0"/>
          <w:sz w:val="21"/>
          <w:szCs w:val="21"/>
          <w:u w:val="none"/>
          <w:lang w:val="en-US" w:eastAsia="zh-CN"/>
        </w:rPr>
        <w:t>2</w:t>
      </w:r>
      <w:r>
        <w:rPr>
          <w:rFonts w:hint="eastAsia" w:ascii="Times New Roman" w:hAnsi="Times New Roman" w:eastAsia="宋体" w:cs="Times New Roman"/>
          <w:b/>
          <w:color w:val="000000"/>
          <w:kern w:val="0"/>
          <w:sz w:val="21"/>
          <w:szCs w:val="21"/>
          <w:u w:val="none"/>
        </w:rPr>
        <w:tab/>
      </w:r>
      <w:r>
        <w:rPr>
          <w:rFonts w:hint="eastAsia" w:ascii="Times New Roman" w:hAnsi="Times New Roman" w:eastAsia="宋体" w:cs="Times New Roman"/>
          <w:b/>
          <w:color w:val="000000"/>
          <w:kern w:val="0"/>
          <w:sz w:val="21"/>
          <w:szCs w:val="21"/>
          <w:u w:val="none"/>
        </w:rPr>
        <w:t>监测断面</w:t>
      </w:r>
    </w:p>
    <w:tbl>
      <w:tblPr>
        <w:tblStyle w:val="37"/>
        <w:tblW w:w="803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08"/>
        <w:gridCol w:w="65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2" w:hRule="exact"/>
          <w:jc w:val="center"/>
        </w:trPr>
        <w:tc>
          <w:tcPr>
            <w:tcW w:w="15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2" w:lineRule="exact"/>
              <w:ind w:right="6" w:firstLine="0" w:firstLineChars="0"/>
              <w:jc w:val="center"/>
              <w:textAlignment w:val="auto"/>
              <w:rPr>
                <w:rFonts w:ascii="宋体" w:hAnsi="宋体" w:eastAsia="宋体" w:cs="宋体"/>
                <w:sz w:val="21"/>
                <w:szCs w:val="21"/>
              </w:rPr>
            </w:pPr>
            <w:r>
              <w:rPr>
                <w:rFonts w:ascii="宋体" w:hAnsi="宋体" w:eastAsia="宋体" w:cs="宋体"/>
                <w:b/>
                <w:bCs/>
                <w:sz w:val="21"/>
                <w:szCs w:val="21"/>
              </w:rPr>
              <w:t>断面序号</w:t>
            </w:r>
          </w:p>
        </w:tc>
        <w:tc>
          <w:tcPr>
            <w:tcW w:w="653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2" w:lineRule="exact"/>
              <w:ind w:right="0"/>
              <w:jc w:val="center"/>
              <w:textAlignment w:val="auto"/>
              <w:rPr>
                <w:rFonts w:ascii="宋体" w:hAnsi="宋体" w:eastAsia="宋体" w:cs="宋体"/>
                <w:sz w:val="21"/>
                <w:szCs w:val="21"/>
              </w:rPr>
            </w:pPr>
            <w:r>
              <w:rPr>
                <w:rFonts w:ascii="宋体" w:hAnsi="宋体" w:eastAsia="宋体" w:cs="宋体"/>
                <w:b/>
                <w:bCs/>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8" w:hRule="exact"/>
          <w:jc w:val="center"/>
        </w:trPr>
        <w:tc>
          <w:tcPr>
            <w:tcW w:w="15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1" w:lineRule="exact"/>
              <w:ind w:right="10" w:firstLine="0" w:firstLineChars="0"/>
              <w:jc w:val="center"/>
              <w:textAlignment w:val="auto"/>
              <w:rPr>
                <w:rFonts w:ascii="Times New Roman" w:hAnsi="Times New Roman" w:eastAsia="Times New Roman" w:cs="Times New Roman"/>
                <w:sz w:val="21"/>
                <w:szCs w:val="21"/>
              </w:rPr>
            </w:pPr>
            <w:r>
              <w:rPr>
                <w:rFonts w:ascii="Times New Roman"/>
                <w:sz w:val="21"/>
              </w:rPr>
              <w:t>W1</w:t>
            </w:r>
          </w:p>
        </w:tc>
        <w:tc>
          <w:tcPr>
            <w:tcW w:w="653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55" w:lineRule="exact"/>
              <w:ind w:right="0"/>
              <w:jc w:val="center"/>
              <w:textAlignment w:val="auto"/>
              <w:rPr>
                <w:rFonts w:ascii="Times New Roman" w:hAnsi="Times New Roman" w:eastAsia="Times New Roman" w:cs="Times New Roman"/>
                <w:sz w:val="21"/>
                <w:szCs w:val="21"/>
              </w:rPr>
            </w:pPr>
            <w:r>
              <w:rPr>
                <w:rFonts w:hint="eastAsia" w:eastAsia="宋体" w:cs="宋体"/>
                <w:sz w:val="21"/>
                <w:szCs w:val="21"/>
                <w:lang w:eastAsia="zh-CN"/>
              </w:rPr>
              <w:t>工业集中区污水处理厂</w:t>
            </w:r>
            <w:r>
              <w:rPr>
                <w:rFonts w:ascii="宋体" w:hAnsi="宋体" w:eastAsia="宋体" w:cs="宋体"/>
                <w:sz w:val="21"/>
                <w:szCs w:val="21"/>
              </w:rPr>
              <w:t>尾水入花垣河上游</w:t>
            </w:r>
            <w:r>
              <w:rPr>
                <w:rFonts w:ascii="宋体" w:hAnsi="宋体" w:eastAsia="宋体" w:cs="宋体"/>
                <w:spacing w:val="-56"/>
                <w:sz w:val="21"/>
                <w:szCs w:val="21"/>
              </w:rPr>
              <w:t xml:space="preserve"> </w:t>
            </w:r>
            <w:r>
              <w:rPr>
                <w:rFonts w:ascii="Times New Roman" w:hAnsi="Times New Roman" w:eastAsia="Times New Roman" w:cs="Times New Roman"/>
                <w:sz w:val="21"/>
                <w:szCs w:val="21"/>
              </w:rPr>
              <w:t>500m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3" w:hRule="exact"/>
          <w:jc w:val="center"/>
        </w:trPr>
        <w:tc>
          <w:tcPr>
            <w:tcW w:w="15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0" w:lineRule="auto"/>
              <w:ind w:right="10" w:firstLine="0" w:firstLineChars="0"/>
              <w:jc w:val="center"/>
              <w:textAlignment w:val="auto"/>
              <w:rPr>
                <w:rFonts w:ascii="Times New Roman" w:hAnsi="Times New Roman" w:eastAsia="Times New Roman" w:cs="Times New Roman"/>
                <w:sz w:val="21"/>
                <w:szCs w:val="21"/>
              </w:rPr>
            </w:pPr>
            <w:r>
              <w:rPr>
                <w:rFonts w:ascii="Times New Roman"/>
                <w:sz w:val="21"/>
              </w:rPr>
              <w:t>W2</w:t>
            </w:r>
          </w:p>
        </w:tc>
        <w:tc>
          <w:tcPr>
            <w:tcW w:w="653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56" w:lineRule="exact"/>
              <w:ind w:right="0"/>
              <w:jc w:val="center"/>
              <w:textAlignment w:val="auto"/>
              <w:rPr>
                <w:rFonts w:ascii="Times New Roman" w:hAnsi="Times New Roman" w:eastAsia="Times New Roman" w:cs="Times New Roman"/>
                <w:sz w:val="21"/>
                <w:szCs w:val="21"/>
              </w:rPr>
            </w:pPr>
            <w:r>
              <w:rPr>
                <w:rFonts w:hint="eastAsia" w:eastAsia="宋体" w:cs="宋体"/>
                <w:sz w:val="21"/>
                <w:szCs w:val="21"/>
                <w:lang w:eastAsia="zh-CN"/>
              </w:rPr>
              <w:t>工业集中区污水处理厂</w:t>
            </w:r>
            <w:r>
              <w:rPr>
                <w:rFonts w:ascii="宋体" w:hAnsi="宋体" w:eastAsia="宋体" w:cs="宋体"/>
                <w:sz w:val="21"/>
                <w:szCs w:val="21"/>
              </w:rPr>
              <w:t>尾水入花垣河下游</w:t>
            </w:r>
            <w:r>
              <w:rPr>
                <w:rFonts w:ascii="宋体" w:hAnsi="宋体" w:eastAsia="宋体" w:cs="宋体"/>
                <w:spacing w:val="-61"/>
                <w:sz w:val="21"/>
                <w:szCs w:val="21"/>
              </w:rPr>
              <w:t xml:space="preserve"> </w:t>
            </w:r>
            <w:r>
              <w:rPr>
                <w:rFonts w:ascii="Times New Roman" w:hAnsi="Times New Roman" w:eastAsia="Times New Roman" w:cs="Times New Roman"/>
                <w:sz w:val="21"/>
                <w:szCs w:val="21"/>
              </w:rPr>
              <w:t>1000m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9" w:hRule="exact"/>
          <w:jc w:val="center"/>
        </w:trPr>
        <w:tc>
          <w:tcPr>
            <w:tcW w:w="15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1" w:lineRule="exact"/>
              <w:ind w:right="10" w:firstLine="0" w:firstLineChars="0"/>
              <w:jc w:val="center"/>
              <w:textAlignment w:val="auto"/>
              <w:rPr>
                <w:rFonts w:ascii="Times New Roman" w:hAnsi="Times New Roman" w:eastAsia="Times New Roman" w:cs="Times New Roman"/>
                <w:sz w:val="21"/>
                <w:szCs w:val="21"/>
              </w:rPr>
            </w:pPr>
            <w:r>
              <w:rPr>
                <w:rFonts w:ascii="Times New Roman"/>
                <w:sz w:val="21"/>
              </w:rPr>
              <w:t>W3</w:t>
            </w:r>
          </w:p>
        </w:tc>
        <w:tc>
          <w:tcPr>
            <w:tcW w:w="653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2" w:lineRule="exact"/>
              <w:ind w:right="0"/>
              <w:jc w:val="center"/>
              <w:textAlignment w:val="auto"/>
              <w:rPr>
                <w:rFonts w:ascii="宋体" w:hAnsi="宋体" w:eastAsia="宋体" w:cs="宋体"/>
                <w:sz w:val="21"/>
                <w:szCs w:val="21"/>
              </w:rPr>
            </w:pPr>
            <w:r>
              <w:rPr>
                <w:rFonts w:ascii="宋体" w:hAnsi="宋体" w:eastAsia="宋体" w:cs="宋体"/>
                <w:sz w:val="21"/>
                <w:szCs w:val="21"/>
              </w:rPr>
              <w:t>竹篙滩水电站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exact"/>
          <w:jc w:val="center"/>
        </w:trPr>
        <w:tc>
          <w:tcPr>
            <w:tcW w:w="15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1" w:lineRule="exact"/>
              <w:ind w:right="10" w:firstLine="0" w:firstLineChars="0"/>
              <w:jc w:val="center"/>
              <w:textAlignment w:val="auto"/>
              <w:rPr>
                <w:rFonts w:ascii="Times New Roman" w:hAnsi="Times New Roman" w:eastAsia="Times New Roman" w:cs="Times New Roman"/>
                <w:sz w:val="21"/>
                <w:szCs w:val="21"/>
              </w:rPr>
            </w:pPr>
            <w:r>
              <w:rPr>
                <w:rFonts w:ascii="Times New Roman"/>
                <w:sz w:val="21"/>
              </w:rPr>
              <w:t>W4</w:t>
            </w:r>
          </w:p>
        </w:tc>
        <w:tc>
          <w:tcPr>
            <w:tcW w:w="653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55" w:lineRule="exact"/>
              <w:ind w:right="0"/>
              <w:jc w:val="center"/>
              <w:textAlignment w:val="auto"/>
              <w:rPr>
                <w:rFonts w:ascii="Times New Roman" w:hAnsi="Times New Roman" w:eastAsia="Times New Roman" w:cs="Times New Roman"/>
                <w:sz w:val="21"/>
                <w:szCs w:val="21"/>
              </w:rPr>
            </w:pPr>
            <w:r>
              <w:rPr>
                <w:rFonts w:ascii="宋体" w:hAnsi="宋体" w:eastAsia="宋体" w:cs="宋体"/>
                <w:sz w:val="21"/>
                <w:szCs w:val="21"/>
              </w:rPr>
              <w:t>竹篙滩水电站下游</w:t>
            </w:r>
            <w:r>
              <w:rPr>
                <w:rFonts w:ascii="宋体" w:hAnsi="宋体" w:eastAsia="宋体" w:cs="宋体"/>
                <w:spacing w:val="-61"/>
                <w:sz w:val="21"/>
                <w:szCs w:val="21"/>
              </w:rPr>
              <w:t xml:space="preserve"> </w:t>
            </w:r>
            <w:r>
              <w:rPr>
                <w:rFonts w:ascii="Times New Roman" w:hAnsi="Times New Roman" w:eastAsia="Times New Roman" w:cs="Times New Roman"/>
                <w:sz w:val="21"/>
                <w:szCs w:val="21"/>
              </w:rPr>
              <w:t>1000m</w:t>
            </w:r>
          </w:p>
        </w:tc>
      </w:tr>
    </w:tbl>
    <w:p>
      <w:pPr>
        <w:pStyle w:val="81"/>
        <w:rPr>
          <w:rFonts w:ascii="Times New Roman" w:hAnsi="Times New Roman"/>
          <w:b/>
          <w:color w:val="000000"/>
          <w:u w:val="none"/>
        </w:rPr>
      </w:pPr>
      <w:r>
        <w:rPr>
          <w:rFonts w:hint="eastAsia" w:ascii="Times New Roman" w:hAnsi="Times New Roman"/>
          <w:b/>
          <w:color w:val="000000"/>
          <w:u w:val="none"/>
          <w:lang w:val="en-US" w:eastAsia="zh-CN"/>
        </w:rPr>
        <w:t>3.6.2.3</w:t>
      </w:r>
      <w:r>
        <w:rPr>
          <w:rFonts w:ascii="Times New Roman" w:hAnsi="Times New Roman"/>
          <w:b/>
          <w:color w:val="000000"/>
          <w:u w:val="none"/>
        </w:rPr>
        <w:t xml:space="preserve">.  </w:t>
      </w:r>
      <w:bookmarkStart w:id="267" w:name="3.3.4.现状监测结果与评价"/>
      <w:bookmarkEnd w:id="267"/>
      <w:r>
        <w:rPr>
          <w:rFonts w:ascii="Times New Roman" w:hAnsi="Times New Roman"/>
          <w:b/>
          <w:color w:val="000000"/>
          <w:u w:val="none"/>
        </w:rPr>
        <w:t>现状监测结果与评价</w:t>
      </w:r>
    </w:p>
    <w:p>
      <w:pPr>
        <w:pStyle w:val="16"/>
        <w:spacing w:line="360" w:lineRule="auto"/>
        <w:ind w:left="720" w:right="0"/>
        <w:jc w:val="left"/>
        <w:rPr>
          <w:rFonts w:hint="eastAsia" w:ascii="Times New Roman" w:hAnsi="Times New Roman" w:eastAsia="宋体" w:cs="Times New Roman"/>
          <w:color w:val="000000"/>
          <w:kern w:val="0"/>
          <w:sz w:val="24"/>
          <w:szCs w:val="20"/>
          <w:u w:val="none"/>
          <w:lang w:val="en-US" w:eastAsia="zh-CN" w:bidi="ar-SA"/>
        </w:rPr>
      </w:pPr>
      <w:r>
        <w:rPr>
          <w:rFonts w:hint="eastAsia" w:ascii="Times New Roman" w:hAnsi="Times New Roman" w:eastAsia="宋体" w:cs="Times New Roman"/>
          <w:color w:val="000000"/>
          <w:kern w:val="0"/>
          <w:sz w:val="24"/>
          <w:szCs w:val="20"/>
          <w:u w:val="none"/>
          <w:lang w:val="en-US" w:eastAsia="zh-CN" w:bidi="ar-SA"/>
        </w:rPr>
        <w:t>各断面的水质评价见表 3.6-3。</w:t>
      </w:r>
    </w:p>
    <w:p>
      <w:pPr>
        <w:keepNext w:val="0"/>
        <w:keepLines w:val="0"/>
        <w:pageBreakBefore w:val="0"/>
        <w:widowControl/>
        <w:kinsoku/>
        <w:wordWrap/>
        <w:overflowPunct/>
        <w:topLinePunct w:val="0"/>
        <w:bidi w:val="0"/>
        <w:adjustRightInd/>
        <w:snapToGrid/>
        <w:spacing w:line="360" w:lineRule="auto"/>
        <w:ind w:firstLine="0" w:firstLineChars="0"/>
        <w:jc w:val="center"/>
        <w:textAlignment w:val="auto"/>
        <w:rPr>
          <w:rFonts w:hint="eastAsia" w:ascii="Times New Roman" w:hAnsi="Times New Roman" w:eastAsia="宋体" w:cs="Times New Roman"/>
          <w:b/>
          <w:color w:val="000000"/>
          <w:kern w:val="0"/>
          <w:sz w:val="21"/>
          <w:szCs w:val="21"/>
          <w:u w:val="none"/>
        </w:rPr>
      </w:pPr>
      <w:r>
        <w:rPr>
          <w:rFonts w:hint="eastAsia" w:ascii="Times New Roman" w:hAnsi="Times New Roman" w:eastAsia="宋体" w:cs="Times New Roman"/>
          <w:b/>
          <w:color w:val="000000"/>
          <w:kern w:val="0"/>
          <w:sz w:val="21"/>
          <w:szCs w:val="21"/>
          <w:u w:val="none"/>
        </w:rPr>
        <w:t>表 3.</w:t>
      </w:r>
      <w:r>
        <w:rPr>
          <w:rFonts w:hint="eastAsia" w:eastAsia="宋体" w:cs="Times New Roman"/>
          <w:b/>
          <w:color w:val="000000"/>
          <w:kern w:val="0"/>
          <w:sz w:val="21"/>
          <w:szCs w:val="21"/>
          <w:u w:val="none"/>
          <w:lang w:val="en-US" w:eastAsia="zh-CN"/>
        </w:rPr>
        <w:t>6</w:t>
      </w:r>
      <w:r>
        <w:rPr>
          <w:rFonts w:hint="eastAsia" w:ascii="Times New Roman" w:hAnsi="Times New Roman" w:eastAsia="宋体" w:cs="Times New Roman"/>
          <w:b/>
          <w:color w:val="000000"/>
          <w:kern w:val="0"/>
          <w:sz w:val="21"/>
          <w:szCs w:val="21"/>
          <w:u w:val="none"/>
        </w:rPr>
        <w:t>-3</w:t>
      </w:r>
      <w:r>
        <w:rPr>
          <w:rFonts w:hint="eastAsia" w:ascii="Times New Roman" w:hAnsi="Times New Roman" w:eastAsia="宋体" w:cs="Times New Roman"/>
          <w:b/>
          <w:color w:val="000000"/>
          <w:kern w:val="0"/>
          <w:sz w:val="21"/>
          <w:szCs w:val="21"/>
          <w:u w:val="none"/>
        </w:rPr>
        <w:tab/>
      </w:r>
      <w:r>
        <w:rPr>
          <w:rFonts w:hint="eastAsia" w:ascii="Times New Roman" w:hAnsi="Times New Roman" w:eastAsia="宋体" w:cs="Times New Roman"/>
          <w:b/>
          <w:color w:val="000000"/>
          <w:kern w:val="0"/>
          <w:sz w:val="21"/>
          <w:szCs w:val="21"/>
          <w:u w:val="none"/>
        </w:rPr>
        <w:t>各断面水质监测结果</w:t>
      </w:r>
    </w:p>
    <w:tbl>
      <w:tblPr>
        <w:tblStyle w:val="37"/>
        <w:tblW w:w="8238"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fixed"/>
        <w:tblCellMar>
          <w:top w:w="0" w:type="dxa"/>
          <w:left w:w="0" w:type="dxa"/>
          <w:bottom w:w="0" w:type="dxa"/>
          <w:right w:w="0" w:type="dxa"/>
        </w:tblCellMar>
      </w:tblPr>
      <w:tblGrid>
        <w:gridCol w:w="1144"/>
        <w:gridCol w:w="848"/>
        <w:gridCol w:w="825"/>
        <w:gridCol w:w="825"/>
        <w:gridCol w:w="911"/>
        <w:gridCol w:w="822"/>
        <w:gridCol w:w="893"/>
        <w:gridCol w:w="808"/>
        <w:gridCol w:w="581"/>
        <w:gridCol w:w="581"/>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77" w:hRule="exact"/>
          <w:jc w:val="center"/>
        </w:trPr>
        <w:tc>
          <w:tcPr>
            <w:tcW w:w="1144" w:type="dxa"/>
            <w:vMerge w:val="restart"/>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0" w:lineRule="auto"/>
              <w:ind w:left="249" w:right="0" w:firstLine="0" w:firstLineChars="0"/>
              <w:jc w:val="center"/>
              <w:textAlignment w:val="auto"/>
              <w:rPr>
                <w:rFonts w:ascii="宋体" w:hAnsi="宋体" w:eastAsia="宋体" w:cs="宋体"/>
                <w:sz w:val="21"/>
                <w:szCs w:val="21"/>
              </w:rPr>
            </w:pPr>
            <w:r>
              <w:rPr>
                <w:rFonts w:ascii="宋体" w:hAnsi="宋体" w:eastAsia="宋体" w:cs="宋体"/>
                <w:sz w:val="21"/>
                <w:szCs w:val="21"/>
              </w:rPr>
              <w:t>检测项目</w:t>
            </w:r>
          </w:p>
        </w:tc>
        <w:tc>
          <w:tcPr>
            <w:tcW w:w="848" w:type="dxa"/>
            <w:vMerge w:val="restart"/>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0" w:lineRule="auto"/>
              <w:ind w:right="0" w:firstLine="0" w:firstLineChars="0"/>
              <w:jc w:val="center"/>
              <w:textAlignment w:val="auto"/>
              <w:rPr>
                <w:rFonts w:ascii="宋体" w:hAnsi="宋体" w:eastAsia="宋体" w:cs="宋体"/>
                <w:sz w:val="21"/>
                <w:szCs w:val="21"/>
              </w:rPr>
            </w:pPr>
            <w:r>
              <w:rPr>
                <w:rFonts w:ascii="宋体" w:hAnsi="宋体" w:eastAsia="宋体" w:cs="宋体"/>
                <w:sz w:val="21"/>
                <w:szCs w:val="21"/>
              </w:rPr>
              <w:t>单位</w:t>
            </w:r>
          </w:p>
        </w:tc>
        <w:tc>
          <w:tcPr>
            <w:tcW w:w="5084" w:type="dxa"/>
            <w:gridSpan w:val="6"/>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79" w:line="240" w:lineRule="auto"/>
              <w:ind w:right="2" w:firstLine="0" w:firstLineChars="0"/>
              <w:jc w:val="center"/>
              <w:textAlignment w:val="auto"/>
              <w:rPr>
                <w:rFonts w:ascii="宋体" w:hAnsi="宋体" w:eastAsia="宋体" w:cs="宋体"/>
                <w:sz w:val="21"/>
                <w:szCs w:val="21"/>
              </w:rPr>
            </w:pPr>
            <w:r>
              <w:rPr>
                <w:rFonts w:ascii="宋体" w:hAnsi="宋体" w:eastAsia="宋体" w:cs="宋体"/>
                <w:sz w:val="21"/>
                <w:szCs w:val="21"/>
              </w:rPr>
              <w:t>检测结果</w:t>
            </w:r>
          </w:p>
        </w:tc>
        <w:tc>
          <w:tcPr>
            <w:tcW w:w="581" w:type="dxa"/>
            <w:vMerge w:val="restart"/>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0" w:lineRule="auto"/>
              <w:ind w:right="0" w:firstLine="0" w:firstLineChars="0"/>
              <w:jc w:val="center"/>
              <w:textAlignment w:val="auto"/>
              <w:rPr>
                <w:rFonts w:ascii="宋体" w:hAnsi="宋体" w:eastAsia="宋体" w:cs="宋体"/>
                <w:sz w:val="21"/>
                <w:szCs w:val="21"/>
              </w:rPr>
            </w:pPr>
            <w:r>
              <w:rPr>
                <w:rFonts w:ascii="宋体" w:hAnsi="宋体" w:eastAsia="宋体" w:cs="宋体"/>
                <w:sz w:val="21"/>
                <w:szCs w:val="21"/>
              </w:rPr>
              <w:t>限值</w:t>
            </w:r>
          </w:p>
        </w:tc>
        <w:tc>
          <w:tcPr>
            <w:tcW w:w="581" w:type="dxa"/>
            <w:vMerge w:val="restart"/>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0" w:lineRule="auto"/>
              <w:ind w:right="0" w:firstLine="0" w:firstLineChars="0"/>
              <w:jc w:val="center"/>
              <w:textAlignment w:val="auto"/>
              <w:rPr>
                <w:rFonts w:hint="default" w:ascii="宋体" w:hAnsi="宋体" w:eastAsia="宋体" w:cs="宋体"/>
                <w:sz w:val="21"/>
                <w:szCs w:val="21"/>
                <w:lang w:val="en-US" w:eastAsia="zh-CN"/>
              </w:rPr>
            </w:pPr>
            <w:r>
              <w:rPr>
                <w:rFonts w:hint="eastAsia" w:eastAsia="宋体" w:cs="宋体"/>
                <w:sz w:val="21"/>
                <w:szCs w:val="21"/>
                <w:lang w:val="en-US" w:eastAsia="zh-CN"/>
              </w:rPr>
              <w:t>是否达标</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22" w:hRule="exact"/>
          <w:jc w:val="center"/>
        </w:trPr>
        <w:tc>
          <w:tcPr>
            <w:tcW w:w="1144"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ind w:firstLine="0" w:firstLineChars="0"/>
              <w:jc w:val="center"/>
              <w:textAlignment w:val="auto"/>
            </w:pPr>
          </w:p>
        </w:tc>
        <w:tc>
          <w:tcPr>
            <w:tcW w:w="848"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ind w:firstLine="0" w:firstLineChars="0"/>
              <w:jc w:val="center"/>
              <w:textAlignment w:val="auto"/>
            </w:pPr>
          </w:p>
        </w:tc>
        <w:tc>
          <w:tcPr>
            <w:tcW w:w="2561" w:type="dxa"/>
            <w:gridSpan w:val="3"/>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left="149" w:right="0" w:firstLine="0" w:firstLineChars="0"/>
              <w:jc w:val="center"/>
              <w:textAlignment w:val="auto"/>
              <w:rPr>
                <w:rFonts w:ascii="Times New Roman" w:hAnsi="Times New Roman" w:eastAsia="Times New Roman" w:cs="Times New Roman"/>
                <w:sz w:val="21"/>
                <w:szCs w:val="21"/>
              </w:rPr>
            </w:pPr>
            <w:r>
              <w:rPr>
                <w:rFonts w:ascii="宋体" w:hAnsi="宋体" w:eastAsia="宋体" w:cs="宋体"/>
                <w:sz w:val="21"/>
                <w:szCs w:val="21"/>
              </w:rPr>
              <w:t>尾水入花垣河上游</w:t>
            </w:r>
            <w:r>
              <w:rPr>
                <w:rFonts w:ascii="宋体" w:hAnsi="宋体" w:eastAsia="宋体" w:cs="宋体"/>
                <w:spacing w:val="-59"/>
                <w:sz w:val="21"/>
                <w:szCs w:val="21"/>
              </w:rPr>
              <w:t xml:space="preserve"> </w:t>
            </w:r>
            <w:r>
              <w:rPr>
                <w:rFonts w:ascii="Times New Roman" w:hAnsi="Times New Roman" w:eastAsia="Times New Roman" w:cs="Times New Roman"/>
                <w:sz w:val="21"/>
                <w:szCs w:val="21"/>
              </w:rPr>
              <w:t>500m</w:t>
            </w:r>
          </w:p>
        </w:tc>
        <w:tc>
          <w:tcPr>
            <w:tcW w:w="2523" w:type="dxa"/>
            <w:gridSpan w:val="3"/>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left="201" w:right="0" w:firstLine="0" w:firstLineChars="0"/>
              <w:jc w:val="center"/>
              <w:textAlignment w:val="auto"/>
              <w:rPr>
                <w:rFonts w:ascii="Times New Roman" w:hAnsi="Times New Roman" w:eastAsia="Times New Roman" w:cs="Times New Roman"/>
                <w:sz w:val="21"/>
                <w:szCs w:val="21"/>
              </w:rPr>
            </w:pPr>
            <w:r>
              <w:rPr>
                <w:rFonts w:ascii="宋体" w:hAnsi="宋体" w:eastAsia="宋体" w:cs="宋体"/>
                <w:sz w:val="21"/>
                <w:szCs w:val="21"/>
              </w:rPr>
              <w:t>尾水入花垣河下游</w:t>
            </w:r>
            <w:r>
              <w:rPr>
                <w:rFonts w:ascii="宋体" w:hAnsi="宋体" w:eastAsia="宋体" w:cs="宋体"/>
                <w:spacing w:val="-58"/>
                <w:sz w:val="21"/>
                <w:szCs w:val="21"/>
              </w:rPr>
              <w:t xml:space="preserve"> </w:t>
            </w:r>
            <w:r>
              <w:rPr>
                <w:rFonts w:ascii="Times New Roman" w:hAnsi="Times New Roman" w:eastAsia="Times New Roman" w:cs="Times New Roman"/>
                <w:sz w:val="21"/>
                <w:szCs w:val="21"/>
              </w:rPr>
              <w:t>1000m</w:t>
            </w:r>
          </w:p>
        </w:tc>
        <w:tc>
          <w:tcPr>
            <w:tcW w:w="581"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ind w:firstLine="0" w:firstLineChars="0"/>
              <w:jc w:val="center"/>
              <w:textAlignment w:val="auto"/>
            </w:pPr>
          </w:p>
        </w:tc>
        <w:tc>
          <w:tcPr>
            <w:tcW w:w="581"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ind w:firstLine="0" w:firstLineChars="0"/>
              <w:jc w:val="center"/>
              <w:textAlignment w:val="auto"/>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651" w:hRule="exact"/>
          <w:jc w:val="center"/>
        </w:trPr>
        <w:tc>
          <w:tcPr>
            <w:tcW w:w="1144"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ind w:firstLine="0" w:firstLineChars="0"/>
              <w:jc w:val="center"/>
              <w:textAlignment w:val="auto"/>
            </w:pPr>
          </w:p>
        </w:tc>
        <w:tc>
          <w:tcPr>
            <w:tcW w:w="848"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ind w:firstLine="0" w:firstLineChars="0"/>
              <w:jc w:val="center"/>
              <w:textAlignment w:val="auto"/>
            </w:pP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35" w:line="281" w:lineRule="exact"/>
              <w:ind w:right="0"/>
              <w:jc w:val="center"/>
              <w:textAlignment w:val="auto"/>
              <w:rPr>
                <w:rFonts w:ascii="宋体" w:hAnsi="宋体" w:eastAsia="宋体" w:cs="宋体"/>
                <w:sz w:val="21"/>
                <w:szCs w:val="21"/>
              </w:rPr>
            </w:pPr>
            <w:r>
              <w:rPr>
                <w:rFonts w:ascii="Times New Roman" w:hAnsi="Times New Roman" w:eastAsia="Times New Roman" w:cs="Times New Roman"/>
                <w:sz w:val="21"/>
                <w:szCs w:val="21"/>
              </w:rPr>
              <w:t>03</w:t>
            </w:r>
            <w:r>
              <w:rPr>
                <w:rFonts w:ascii="宋体" w:hAnsi="宋体" w:eastAsia="宋体" w:cs="宋体"/>
                <w:sz w:val="21"/>
                <w:szCs w:val="21"/>
              </w:rPr>
              <w:t>月</w:t>
            </w:r>
            <w:r>
              <w:rPr>
                <w:rFonts w:ascii="Times New Roman" w:hAnsi="Times New Roman" w:eastAsia="Times New Roman" w:cs="Times New Roman"/>
                <w:sz w:val="21"/>
                <w:szCs w:val="21"/>
              </w:rPr>
              <w:t>08</w:t>
            </w:r>
            <w:r>
              <w:rPr>
                <w:rFonts w:ascii="宋体" w:hAnsi="宋体" w:eastAsia="宋体" w:cs="宋体"/>
                <w:sz w:val="21"/>
                <w:szCs w:val="21"/>
              </w:rPr>
              <w:t>日</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35" w:line="281" w:lineRule="exact"/>
              <w:ind w:right="0"/>
              <w:jc w:val="center"/>
              <w:textAlignment w:val="auto"/>
              <w:rPr>
                <w:rFonts w:ascii="宋体" w:hAnsi="宋体" w:eastAsia="宋体" w:cs="宋体"/>
                <w:sz w:val="21"/>
                <w:szCs w:val="21"/>
              </w:rPr>
            </w:pPr>
            <w:r>
              <w:rPr>
                <w:rFonts w:ascii="Times New Roman" w:hAnsi="Times New Roman" w:eastAsia="Times New Roman" w:cs="Times New Roman"/>
                <w:sz w:val="21"/>
                <w:szCs w:val="21"/>
              </w:rPr>
              <w:t>03</w:t>
            </w:r>
            <w:r>
              <w:rPr>
                <w:rFonts w:ascii="宋体" w:hAnsi="宋体" w:eastAsia="宋体" w:cs="宋体"/>
                <w:sz w:val="21"/>
                <w:szCs w:val="21"/>
              </w:rPr>
              <w:t>月</w:t>
            </w:r>
            <w:r>
              <w:rPr>
                <w:rFonts w:ascii="Times New Roman" w:hAnsi="Times New Roman" w:eastAsia="Times New Roman" w:cs="Times New Roman"/>
                <w:sz w:val="21"/>
                <w:szCs w:val="21"/>
              </w:rPr>
              <w:t>09</w:t>
            </w:r>
            <w:r>
              <w:rPr>
                <w:rFonts w:ascii="宋体" w:hAnsi="宋体" w:eastAsia="宋体" w:cs="宋体"/>
                <w:sz w:val="21"/>
                <w:szCs w:val="21"/>
              </w:rPr>
              <w:t>日</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35" w:line="281" w:lineRule="exact"/>
              <w:ind w:right="0"/>
              <w:jc w:val="center"/>
              <w:textAlignment w:val="auto"/>
              <w:rPr>
                <w:rFonts w:ascii="宋体" w:hAnsi="宋体" w:eastAsia="宋体" w:cs="宋体"/>
                <w:sz w:val="21"/>
                <w:szCs w:val="21"/>
              </w:rPr>
            </w:pPr>
            <w:r>
              <w:rPr>
                <w:rFonts w:ascii="Times New Roman" w:hAnsi="Times New Roman" w:eastAsia="Times New Roman" w:cs="Times New Roman"/>
                <w:sz w:val="21"/>
                <w:szCs w:val="21"/>
              </w:rPr>
              <w:t>03</w:t>
            </w:r>
            <w:r>
              <w:rPr>
                <w:rFonts w:ascii="宋体" w:hAnsi="宋体" w:eastAsia="宋体" w:cs="宋体"/>
                <w:sz w:val="21"/>
                <w:szCs w:val="21"/>
              </w:rPr>
              <w:t>月</w:t>
            </w:r>
            <w:r>
              <w:rPr>
                <w:rFonts w:ascii="Times New Roman" w:hAnsi="Times New Roman" w:eastAsia="Times New Roman" w:cs="Times New Roman"/>
                <w:sz w:val="21"/>
                <w:szCs w:val="21"/>
              </w:rPr>
              <w:t>10</w:t>
            </w:r>
            <w:r>
              <w:rPr>
                <w:rFonts w:ascii="宋体" w:hAnsi="宋体" w:eastAsia="宋体" w:cs="宋体"/>
                <w:sz w:val="21"/>
                <w:szCs w:val="21"/>
              </w:rPr>
              <w:t>日</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35" w:line="281" w:lineRule="exact"/>
              <w:ind w:right="0"/>
              <w:jc w:val="center"/>
              <w:textAlignment w:val="auto"/>
              <w:rPr>
                <w:rFonts w:ascii="宋体" w:hAnsi="宋体" w:eastAsia="宋体" w:cs="宋体"/>
                <w:sz w:val="21"/>
                <w:szCs w:val="21"/>
              </w:rPr>
            </w:pPr>
            <w:r>
              <w:rPr>
                <w:rFonts w:ascii="Times New Roman" w:hAnsi="Times New Roman" w:eastAsia="Times New Roman" w:cs="Times New Roman"/>
                <w:sz w:val="21"/>
                <w:szCs w:val="21"/>
              </w:rPr>
              <w:t>03</w:t>
            </w:r>
            <w:r>
              <w:rPr>
                <w:rFonts w:ascii="宋体" w:hAnsi="宋体" w:eastAsia="宋体" w:cs="宋体"/>
                <w:sz w:val="21"/>
                <w:szCs w:val="21"/>
              </w:rPr>
              <w:t>月</w:t>
            </w:r>
            <w:r>
              <w:rPr>
                <w:rFonts w:ascii="Times New Roman" w:hAnsi="Times New Roman" w:eastAsia="Times New Roman" w:cs="Times New Roman"/>
                <w:sz w:val="21"/>
                <w:szCs w:val="21"/>
              </w:rPr>
              <w:t>08</w:t>
            </w:r>
            <w:r>
              <w:rPr>
                <w:rFonts w:ascii="宋体" w:hAnsi="宋体" w:eastAsia="宋体" w:cs="宋体"/>
                <w:sz w:val="21"/>
                <w:szCs w:val="21"/>
              </w:rPr>
              <w:t>日</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35" w:line="281" w:lineRule="exact"/>
              <w:ind w:right="0" w:firstLine="0" w:firstLineChars="0"/>
              <w:jc w:val="center"/>
              <w:textAlignment w:val="auto"/>
              <w:rPr>
                <w:rFonts w:ascii="宋体" w:hAnsi="宋体" w:eastAsia="宋体" w:cs="宋体"/>
                <w:sz w:val="21"/>
                <w:szCs w:val="21"/>
              </w:rPr>
            </w:pPr>
            <w:r>
              <w:rPr>
                <w:rFonts w:ascii="Times New Roman" w:hAnsi="Times New Roman" w:eastAsia="Times New Roman" w:cs="Times New Roman"/>
                <w:sz w:val="21"/>
                <w:szCs w:val="21"/>
              </w:rPr>
              <w:t>03</w:t>
            </w:r>
            <w:r>
              <w:rPr>
                <w:rFonts w:ascii="宋体" w:hAnsi="宋体" w:eastAsia="宋体" w:cs="宋体"/>
                <w:sz w:val="21"/>
                <w:szCs w:val="21"/>
              </w:rPr>
              <w:t>月</w:t>
            </w:r>
            <w:r>
              <w:rPr>
                <w:rFonts w:ascii="宋体" w:hAnsi="宋体" w:eastAsia="宋体" w:cs="宋体"/>
                <w:spacing w:val="-73"/>
                <w:sz w:val="21"/>
                <w:szCs w:val="21"/>
              </w:rPr>
              <w:t xml:space="preserve"> </w:t>
            </w:r>
            <w:r>
              <w:rPr>
                <w:rFonts w:ascii="Times New Roman" w:hAnsi="Times New Roman" w:eastAsia="Times New Roman" w:cs="Times New Roman"/>
                <w:sz w:val="21"/>
                <w:szCs w:val="21"/>
              </w:rPr>
              <w:t>09</w:t>
            </w:r>
            <w:r>
              <w:rPr>
                <w:rFonts w:ascii="宋体" w:hAnsi="宋体" w:eastAsia="宋体" w:cs="宋体"/>
                <w:w w:val="99"/>
                <w:sz w:val="21"/>
                <w:szCs w:val="21"/>
              </w:rPr>
              <w:t>日</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35" w:line="281" w:lineRule="exact"/>
              <w:ind w:right="44" w:firstLine="0" w:firstLineChars="0"/>
              <w:jc w:val="center"/>
              <w:textAlignment w:val="auto"/>
              <w:rPr>
                <w:rFonts w:ascii="宋体" w:hAnsi="宋体" w:eastAsia="宋体" w:cs="宋体"/>
                <w:sz w:val="21"/>
                <w:szCs w:val="21"/>
              </w:rPr>
            </w:pPr>
            <w:r>
              <w:rPr>
                <w:rFonts w:ascii="Times New Roman" w:hAnsi="Times New Roman" w:eastAsia="Times New Roman" w:cs="Times New Roman"/>
                <w:sz w:val="21"/>
                <w:szCs w:val="21"/>
              </w:rPr>
              <w:t>03</w:t>
            </w:r>
            <w:r>
              <w:rPr>
                <w:rFonts w:ascii="宋体" w:hAnsi="宋体" w:eastAsia="宋体" w:cs="宋体"/>
                <w:sz w:val="21"/>
                <w:szCs w:val="21"/>
              </w:rPr>
              <w:t>月</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10</w:t>
            </w:r>
            <w:r>
              <w:rPr>
                <w:rFonts w:ascii="宋体" w:hAnsi="宋体" w:eastAsia="宋体" w:cs="宋体"/>
                <w:w w:val="99"/>
                <w:sz w:val="21"/>
                <w:szCs w:val="21"/>
              </w:rPr>
              <w:t>日</w:t>
            </w:r>
          </w:p>
        </w:tc>
        <w:tc>
          <w:tcPr>
            <w:tcW w:w="581"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ind w:firstLine="0" w:firstLineChars="0"/>
              <w:jc w:val="center"/>
              <w:textAlignment w:val="auto"/>
            </w:pPr>
          </w:p>
        </w:tc>
        <w:tc>
          <w:tcPr>
            <w:tcW w:w="581"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ind w:firstLine="0" w:firstLineChars="0"/>
              <w:jc w:val="center"/>
              <w:textAlignment w:val="auto"/>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5" w:firstLine="0" w:firstLineChars="0"/>
              <w:jc w:val="center"/>
              <w:textAlignment w:val="auto"/>
              <w:rPr>
                <w:rFonts w:ascii="Times New Roman" w:hAnsi="Times New Roman" w:eastAsia="Times New Roman" w:cs="Times New Roman"/>
                <w:sz w:val="21"/>
                <w:szCs w:val="21"/>
              </w:rPr>
            </w:pPr>
            <w:r>
              <w:rPr>
                <w:rFonts w:ascii="Times New Roman"/>
                <w:sz w:val="21"/>
              </w:rPr>
              <w:t>pH</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left="141" w:right="0" w:firstLine="0" w:firstLineChars="0"/>
              <w:jc w:val="center"/>
              <w:textAlignment w:val="auto"/>
              <w:rPr>
                <w:rFonts w:ascii="宋体" w:hAnsi="宋体" w:eastAsia="宋体" w:cs="宋体"/>
                <w:sz w:val="21"/>
                <w:szCs w:val="21"/>
              </w:rPr>
            </w:pPr>
            <w:r>
              <w:rPr>
                <w:rFonts w:ascii="宋体" w:hAnsi="宋体" w:eastAsia="宋体" w:cs="宋体"/>
                <w:sz w:val="21"/>
                <w:szCs w:val="21"/>
              </w:rPr>
              <w:t>无量纲</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left="228" w:right="0" w:firstLine="0" w:firstLineChars="0"/>
              <w:jc w:val="center"/>
              <w:textAlignment w:val="auto"/>
              <w:rPr>
                <w:rFonts w:ascii="Times New Roman" w:hAnsi="Times New Roman" w:eastAsia="Times New Roman" w:cs="Times New Roman"/>
                <w:sz w:val="21"/>
                <w:szCs w:val="21"/>
              </w:rPr>
            </w:pPr>
            <w:r>
              <w:rPr>
                <w:rFonts w:ascii="Times New Roman"/>
                <w:sz w:val="21"/>
              </w:rPr>
              <w:t>7.89</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left="221" w:right="0" w:firstLine="0" w:firstLineChars="0"/>
              <w:jc w:val="center"/>
              <w:textAlignment w:val="auto"/>
              <w:rPr>
                <w:rFonts w:ascii="Times New Roman" w:hAnsi="Times New Roman" w:eastAsia="Times New Roman" w:cs="Times New Roman"/>
                <w:sz w:val="21"/>
                <w:szCs w:val="21"/>
              </w:rPr>
            </w:pPr>
            <w:r>
              <w:rPr>
                <w:rFonts w:ascii="Times New Roman"/>
                <w:sz w:val="21"/>
              </w:rPr>
              <w:t>7.95</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8.08</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7.98</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8.17</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8.21</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6-9</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hint="eastAsia" w:ascii="Times New Roman" w:eastAsia="宋体"/>
                <w:sz w:val="21"/>
                <w:lang w:val="en-US" w:eastAsia="zh-CN"/>
              </w:rPr>
            </w:pPr>
            <w:r>
              <w:rPr>
                <w:rFonts w:hint="eastAsia" w:ascii="Times New Roman"/>
                <w:sz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12" w:firstLine="0" w:firstLineChars="0"/>
              <w:jc w:val="center"/>
              <w:textAlignment w:val="auto"/>
              <w:rPr>
                <w:rFonts w:ascii="宋体" w:hAnsi="宋体" w:eastAsia="宋体" w:cs="宋体"/>
                <w:sz w:val="21"/>
                <w:szCs w:val="21"/>
              </w:rPr>
            </w:pPr>
            <w:r>
              <w:rPr>
                <w:rFonts w:ascii="宋体" w:hAnsi="宋体" w:eastAsia="宋体" w:cs="宋体"/>
                <w:sz w:val="21"/>
                <w:szCs w:val="21"/>
              </w:rPr>
              <w:t>氨氮</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left="176" w:right="0" w:firstLine="0" w:firstLineChars="0"/>
              <w:jc w:val="center"/>
              <w:textAlignment w:val="auto"/>
              <w:rPr>
                <w:rFonts w:ascii="Times New Roman" w:hAnsi="Times New Roman" w:eastAsia="Times New Roman" w:cs="Times New Roman"/>
                <w:sz w:val="21"/>
                <w:szCs w:val="21"/>
              </w:rPr>
            </w:pPr>
            <w:r>
              <w:rPr>
                <w:rFonts w:ascii="Times New Roman"/>
                <w:sz w:val="21"/>
              </w:rPr>
              <w:t>0.236</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left="168" w:right="0" w:firstLine="0" w:firstLineChars="0"/>
              <w:jc w:val="center"/>
              <w:textAlignment w:val="auto"/>
              <w:rPr>
                <w:rFonts w:ascii="Times New Roman" w:hAnsi="Times New Roman" w:eastAsia="Times New Roman" w:cs="Times New Roman"/>
                <w:sz w:val="21"/>
                <w:szCs w:val="21"/>
              </w:rPr>
            </w:pPr>
            <w:r>
              <w:rPr>
                <w:rFonts w:ascii="Times New Roman"/>
                <w:sz w:val="21"/>
              </w:rPr>
              <w:t>0.231</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0.242</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0.354</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0.360</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0.370</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firstLine="0" w:firstLineChars="0"/>
              <w:jc w:val="center"/>
              <w:textAlignment w:val="auto"/>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1.0</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firstLine="0" w:firstLineChars="0"/>
              <w:jc w:val="center"/>
              <w:textAlignment w:val="auto"/>
              <w:rPr>
                <w:rFonts w:hint="eastAsia" w:ascii="宋体" w:hAnsi="宋体" w:eastAsia="宋体" w:cs="宋体"/>
                <w:sz w:val="21"/>
                <w:szCs w:val="21"/>
                <w:lang w:val="en-US" w:eastAsia="zh-CN"/>
              </w:rPr>
            </w:pPr>
            <w:r>
              <w:rPr>
                <w:rFonts w:hint="eastAsia" w:eastAsia="宋体" w:cs="宋体"/>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81"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39" w:lineRule="exact"/>
              <w:ind w:right="9" w:firstLine="0" w:firstLineChars="0"/>
              <w:jc w:val="center"/>
              <w:textAlignment w:val="auto"/>
              <w:rPr>
                <w:rFonts w:ascii="宋体" w:hAnsi="宋体" w:eastAsia="宋体" w:cs="宋体"/>
                <w:sz w:val="21"/>
                <w:szCs w:val="21"/>
              </w:rPr>
            </w:pPr>
            <w:r>
              <w:rPr>
                <w:rFonts w:ascii="宋体" w:hAnsi="宋体" w:eastAsia="宋体" w:cs="宋体"/>
                <w:sz w:val="21"/>
                <w:szCs w:val="21"/>
              </w:rPr>
              <w:t>五日生化需氧量</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35" w:line="240" w:lineRule="auto"/>
              <w:ind w:right="0"/>
              <w:jc w:val="center"/>
              <w:textAlignment w:val="auto"/>
              <w:rPr>
                <w:rFonts w:ascii="Times New Roman" w:hAnsi="Times New Roman" w:eastAsia="Times New Roman" w:cs="Times New Roman"/>
                <w:sz w:val="21"/>
                <w:szCs w:val="21"/>
              </w:rPr>
            </w:pPr>
            <w:r>
              <w:rPr>
                <w:rFonts w:ascii="Times New Roman"/>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35" w:line="240" w:lineRule="auto"/>
              <w:ind w:right="1" w:firstLine="0" w:firstLineChars="0"/>
              <w:jc w:val="center"/>
              <w:textAlignment w:val="auto"/>
              <w:rPr>
                <w:rFonts w:ascii="Times New Roman" w:hAnsi="Times New Roman" w:eastAsia="Times New Roman" w:cs="Times New Roman"/>
                <w:sz w:val="21"/>
                <w:szCs w:val="21"/>
              </w:rPr>
            </w:pPr>
            <w:r>
              <w:rPr>
                <w:rFonts w:ascii="Times New Roman"/>
                <w:sz w:val="21"/>
              </w:rPr>
              <w:t>2.7</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35" w:line="240" w:lineRule="auto"/>
              <w:ind w:left="1" w:right="0" w:firstLine="0" w:firstLineChars="0"/>
              <w:jc w:val="center"/>
              <w:textAlignment w:val="auto"/>
              <w:rPr>
                <w:rFonts w:ascii="Times New Roman" w:hAnsi="Times New Roman" w:eastAsia="Times New Roman" w:cs="Times New Roman"/>
                <w:sz w:val="21"/>
                <w:szCs w:val="21"/>
              </w:rPr>
            </w:pPr>
            <w:r>
              <w:rPr>
                <w:rFonts w:ascii="Times New Roman"/>
                <w:sz w:val="21"/>
              </w:rPr>
              <w:t>2.3</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35"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2.0</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35"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3.2</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35" w:line="240" w:lineRule="auto"/>
              <w:ind w:right="0"/>
              <w:jc w:val="center"/>
              <w:textAlignment w:val="auto"/>
              <w:rPr>
                <w:rFonts w:ascii="Times New Roman" w:hAnsi="Times New Roman" w:eastAsia="Times New Roman" w:cs="Times New Roman"/>
                <w:sz w:val="21"/>
                <w:szCs w:val="21"/>
              </w:rPr>
            </w:pPr>
            <w:r>
              <w:rPr>
                <w:rFonts w:ascii="Times New Roman"/>
                <w:sz w:val="21"/>
              </w:rPr>
              <w:t>2.6</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35"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2.5</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85" w:line="240" w:lineRule="auto"/>
              <w:ind w:right="0" w:firstLine="0" w:firstLineChars="0"/>
              <w:jc w:val="center"/>
              <w:textAlignment w:val="auto"/>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4</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宋体" w:hAnsi="宋体" w:eastAsia="宋体" w:cs="宋体"/>
                <w:sz w:val="21"/>
                <w:szCs w:val="21"/>
              </w:rPr>
            </w:pPr>
            <w:r>
              <w:rPr>
                <w:rFonts w:hint="eastAsia" w:ascii="Times New Roman"/>
                <w:sz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jc w:val="center"/>
              <w:textAlignment w:val="auto"/>
              <w:rPr>
                <w:rFonts w:ascii="宋体" w:hAnsi="宋体" w:eastAsia="宋体" w:cs="宋体"/>
                <w:sz w:val="21"/>
                <w:szCs w:val="21"/>
              </w:rPr>
            </w:pPr>
            <w:r>
              <w:rPr>
                <w:rFonts w:ascii="宋体" w:hAnsi="宋体" w:eastAsia="宋体" w:cs="宋体"/>
                <w:sz w:val="21"/>
                <w:szCs w:val="21"/>
              </w:rPr>
              <w:t>化学需氧量</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Times New Roman" w:eastAsia="Times New Roman" w:cs="Times New Roman"/>
                <w:sz w:val="21"/>
                <w:szCs w:val="21"/>
              </w:rPr>
            </w:pPr>
            <w:r>
              <w:rPr>
                <w:rFonts w:ascii="Times New Roman"/>
                <w:sz w:val="21"/>
              </w:rPr>
              <w:t>12</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left="1" w:right="0" w:firstLine="0" w:firstLineChars="0"/>
              <w:jc w:val="center"/>
              <w:textAlignment w:val="auto"/>
              <w:rPr>
                <w:rFonts w:ascii="Times New Roman" w:hAnsi="Times New Roman" w:eastAsia="Times New Roman" w:cs="Times New Roman"/>
                <w:sz w:val="21"/>
                <w:szCs w:val="21"/>
              </w:rPr>
            </w:pPr>
            <w:r>
              <w:rPr>
                <w:rFonts w:ascii="Times New Roman"/>
                <w:sz w:val="21"/>
              </w:rPr>
              <w:t>10</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firstLine="0" w:firstLineChars="0"/>
              <w:jc w:val="center"/>
              <w:textAlignment w:val="auto"/>
              <w:rPr>
                <w:rFonts w:ascii="Times New Roman" w:hAnsi="Times New Roman" w:eastAsia="Times New Roman" w:cs="Times New Roman"/>
                <w:sz w:val="21"/>
                <w:szCs w:val="21"/>
              </w:rPr>
            </w:pPr>
            <w:r>
              <w:rPr>
                <w:rFonts w:ascii="Times New Roman"/>
                <w:w w:val="99"/>
                <w:sz w:val="21"/>
              </w:rPr>
              <w:t>9</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14</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12</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11</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firstLine="0" w:firstLineChars="0"/>
              <w:jc w:val="center"/>
              <w:textAlignment w:val="auto"/>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20</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宋体" w:hAnsi="宋体" w:eastAsia="宋体" w:cs="宋体"/>
                <w:sz w:val="21"/>
                <w:szCs w:val="21"/>
              </w:rPr>
            </w:pPr>
            <w:r>
              <w:rPr>
                <w:rFonts w:hint="eastAsia" w:eastAsia="宋体" w:cs="宋体"/>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jc w:val="center"/>
              <w:textAlignment w:val="auto"/>
              <w:rPr>
                <w:rFonts w:ascii="宋体" w:hAnsi="宋体" w:eastAsia="宋体" w:cs="宋体"/>
                <w:sz w:val="21"/>
                <w:szCs w:val="21"/>
              </w:rPr>
            </w:pPr>
            <w:r>
              <w:rPr>
                <w:rFonts w:ascii="宋体" w:hAnsi="宋体" w:eastAsia="宋体" w:cs="宋体"/>
                <w:sz w:val="21"/>
                <w:szCs w:val="21"/>
              </w:rPr>
              <w:t>悬浮物</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Times New Roman" w:eastAsia="Times New Roman" w:cs="Times New Roman"/>
                <w:sz w:val="21"/>
                <w:szCs w:val="21"/>
              </w:rPr>
            </w:pPr>
            <w:r>
              <w:rPr>
                <w:rFonts w:ascii="Times New Roman"/>
                <w:sz w:val="21"/>
              </w:rPr>
              <w:t>13</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left="1" w:right="0" w:firstLine="0" w:firstLineChars="0"/>
              <w:jc w:val="center"/>
              <w:textAlignment w:val="auto"/>
              <w:rPr>
                <w:rFonts w:ascii="Times New Roman" w:hAnsi="Times New Roman" w:eastAsia="Times New Roman" w:cs="Times New Roman"/>
                <w:sz w:val="21"/>
                <w:szCs w:val="21"/>
              </w:rPr>
            </w:pPr>
            <w:r>
              <w:rPr>
                <w:rFonts w:ascii="Times New Roman"/>
                <w:sz w:val="21"/>
              </w:rPr>
              <w:t>11</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10</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15</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14</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12</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firstLine="0" w:firstLineChars="0"/>
              <w:jc w:val="center"/>
              <w:textAlignment w:val="auto"/>
              <w:rPr>
                <w:rFonts w:ascii="Times New Roman" w:hAnsi="Times New Roman" w:eastAsia="Times New Roman" w:cs="Times New Roman"/>
                <w:sz w:val="21"/>
                <w:szCs w:val="21"/>
              </w:rPr>
            </w:pPr>
            <w:r>
              <w:rPr>
                <w:rFonts w:ascii="Times New Roman"/>
                <w:w w:val="99"/>
                <w:sz w:val="21"/>
              </w:rPr>
              <w:t>/</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Times New Roman"/>
                <w:w w:val="99"/>
                <w:sz w:val="21"/>
              </w:rPr>
            </w:pPr>
            <w:r>
              <w:rPr>
                <w:rFonts w:hint="eastAsia" w:ascii="Times New Roman"/>
                <w:sz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42"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59" w:line="240" w:lineRule="auto"/>
              <w:ind w:right="0"/>
              <w:jc w:val="center"/>
              <w:textAlignment w:val="auto"/>
              <w:rPr>
                <w:rFonts w:ascii="宋体" w:hAnsi="宋体" w:eastAsia="宋体" w:cs="宋体"/>
                <w:sz w:val="21"/>
                <w:szCs w:val="21"/>
              </w:rPr>
            </w:pPr>
            <w:r>
              <w:rPr>
                <w:rFonts w:ascii="宋体" w:hAnsi="宋体" w:eastAsia="宋体" w:cs="宋体"/>
                <w:sz w:val="21"/>
                <w:szCs w:val="21"/>
              </w:rPr>
              <w:t>溶解氧</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1" w:firstLine="0" w:firstLineChars="0"/>
              <w:jc w:val="center"/>
              <w:textAlignment w:val="auto"/>
              <w:rPr>
                <w:rFonts w:ascii="Times New Roman" w:hAnsi="Times New Roman" w:eastAsia="Times New Roman" w:cs="Times New Roman"/>
                <w:sz w:val="21"/>
                <w:szCs w:val="21"/>
              </w:rPr>
            </w:pPr>
            <w:r>
              <w:rPr>
                <w:rFonts w:ascii="Times New Roman"/>
                <w:sz w:val="21"/>
              </w:rPr>
              <w:t>7.5</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left="1" w:right="0" w:firstLine="0" w:firstLineChars="0"/>
              <w:jc w:val="center"/>
              <w:textAlignment w:val="auto"/>
              <w:rPr>
                <w:rFonts w:ascii="Times New Roman" w:hAnsi="Times New Roman" w:eastAsia="Times New Roman" w:cs="Times New Roman"/>
                <w:sz w:val="21"/>
                <w:szCs w:val="21"/>
              </w:rPr>
            </w:pPr>
            <w:r>
              <w:rPr>
                <w:rFonts w:ascii="Times New Roman"/>
                <w:sz w:val="21"/>
              </w:rPr>
              <w:t>7.6</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7.6</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7.3</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7.3</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7.3</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59" w:line="240" w:lineRule="auto"/>
              <w:ind w:right="0" w:firstLine="0" w:firstLineChars="0"/>
              <w:jc w:val="center"/>
              <w:textAlignment w:val="auto"/>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5</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宋体" w:hAnsi="宋体" w:eastAsia="宋体" w:cs="宋体"/>
                <w:sz w:val="21"/>
                <w:szCs w:val="21"/>
              </w:rPr>
            </w:pPr>
            <w:r>
              <w:rPr>
                <w:rFonts w:hint="eastAsia" w:eastAsia="宋体" w:cs="宋体"/>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2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51" w:line="240" w:lineRule="auto"/>
              <w:ind w:right="12" w:firstLine="0" w:firstLineChars="0"/>
              <w:jc w:val="center"/>
              <w:textAlignment w:val="auto"/>
              <w:rPr>
                <w:rFonts w:ascii="宋体" w:hAnsi="宋体" w:eastAsia="宋体" w:cs="宋体"/>
                <w:sz w:val="21"/>
                <w:szCs w:val="21"/>
              </w:rPr>
            </w:pPr>
            <w:r>
              <w:rPr>
                <w:rFonts w:ascii="宋体" w:hAnsi="宋体" w:eastAsia="宋体" w:cs="宋体"/>
                <w:sz w:val="21"/>
                <w:szCs w:val="21"/>
              </w:rPr>
              <w:t>总磷</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0" w:line="240" w:lineRule="auto"/>
              <w:ind w:right="0"/>
              <w:jc w:val="center"/>
              <w:textAlignment w:val="auto"/>
              <w:rPr>
                <w:rFonts w:ascii="Times New Roman" w:hAnsi="Times New Roman" w:eastAsia="Times New Roman" w:cs="Times New Roman"/>
                <w:sz w:val="21"/>
                <w:szCs w:val="21"/>
              </w:rPr>
            </w:pPr>
            <w:r>
              <w:rPr>
                <w:rFonts w:ascii="Times New Roman"/>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0" w:line="240" w:lineRule="auto"/>
              <w:ind w:right="0"/>
              <w:jc w:val="center"/>
              <w:textAlignment w:val="auto"/>
              <w:rPr>
                <w:rFonts w:ascii="Times New Roman" w:hAnsi="Times New Roman" w:eastAsia="Times New Roman" w:cs="Times New Roman"/>
                <w:sz w:val="21"/>
                <w:szCs w:val="21"/>
              </w:rPr>
            </w:pPr>
            <w:r>
              <w:rPr>
                <w:rFonts w:ascii="Times New Roman"/>
                <w:sz w:val="21"/>
              </w:rPr>
              <w:t>0.03</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0" w:line="240" w:lineRule="auto"/>
              <w:ind w:left="221" w:right="0" w:firstLine="0" w:firstLineChars="0"/>
              <w:jc w:val="center"/>
              <w:textAlignment w:val="auto"/>
              <w:rPr>
                <w:rFonts w:ascii="Times New Roman" w:hAnsi="Times New Roman" w:eastAsia="Times New Roman" w:cs="Times New Roman"/>
                <w:sz w:val="21"/>
                <w:szCs w:val="21"/>
              </w:rPr>
            </w:pPr>
            <w:r>
              <w:rPr>
                <w:rFonts w:ascii="Times New Roman"/>
                <w:sz w:val="21"/>
              </w:rPr>
              <w:t>0.02</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0" w:line="240" w:lineRule="auto"/>
              <w:ind w:right="0"/>
              <w:jc w:val="center"/>
              <w:textAlignment w:val="auto"/>
              <w:rPr>
                <w:rFonts w:ascii="Times New Roman" w:hAnsi="Times New Roman" w:eastAsia="Times New Roman" w:cs="Times New Roman"/>
                <w:sz w:val="21"/>
                <w:szCs w:val="21"/>
              </w:rPr>
            </w:pPr>
            <w:r>
              <w:rPr>
                <w:rFonts w:ascii="Times New Roman"/>
                <w:sz w:val="21"/>
              </w:rPr>
              <w:t>0.01</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0" w:line="240" w:lineRule="auto"/>
              <w:ind w:right="0"/>
              <w:jc w:val="center"/>
              <w:textAlignment w:val="auto"/>
              <w:rPr>
                <w:rFonts w:ascii="Times New Roman" w:hAnsi="Times New Roman" w:eastAsia="Times New Roman" w:cs="Times New Roman"/>
                <w:sz w:val="21"/>
                <w:szCs w:val="21"/>
              </w:rPr>
            </w:pPr>
            <w:r>
              <w:rPr>
                <w:rFonts w:ascii="Times New Roman"/>
                <w:sz w:val="21"/>
              </w:rPr>
              <w:t>0.05</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0" w:line="240" w:lineRule="auto"/>
              <w:ind w:right="0"/>
              <w:jc w:val="center"/>
              <w:textAlignment w:val="auto"/>
              <w:rPr>
                <w:rFonts w:ascii="Times New Roman" w:hAnsi="Times New Roman" w:eastAsia="Times New Roman" w:cs="Times New Roman"/>
                <w:sz w:val="21"/>
                <w:szCs w:val="21"/>
              </w:rPr>
            </w:pPr>
            <w:r>
              <w:rPr>
                <w:rFonts w:ascii="Times New Roman"/>
                <w:sz w:val="21"/>
              </w:rPr>
              <w:t>0.03</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0"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0.03</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51" w:line="240" w:lineRule="auto"/>
              <w:ind w:right="0" w:firstLine="0" w:firstLineChars="0"/>
              <w:jc w:val="center"/>
              <w:textAlignment w:val="auto"/>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0.2</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宋体" w:hAnsi="宋体" w:eastAsia="宋体" w:cs="宋体"/>
                <w:sz w:val="21"/>
                <w:szCs w:val="21"/>
              </w:rPr>
            </w:pPr>
            <w:r>
              <w:rPr>
                <w:rFonts w:hint="eastAsia" w:ascii="Times New Roman"/>
                <w:sz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12" w:firstLine="0" w:firstLineChars="0"/>
              <w:jc w:val="center"/>
              <w:textAlignment w:val="auto"/>
              <w:rPr>
                <w:rFonts w:ascii="宋体" w:hAnsi="宋体" w:eastAsia="宋体" w:cs="宋体"/>
                <w:sz w:val="21"/>
                <w:szCs w:val="21"/>
              </w:rPr>
            </w:pPr>
            <w:r>
              <w:rPr>
                <w:rFonts w:ascii="宋体" w:hAnsi="宋体" w:eastAsia="宋体" w:cs="宋体"/>
                <w:sz w:val="21"/>
                <w:szCs w:val="21"/>
              </w:rPr>
              <w:t>总氮</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0.45</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left="221" w:right="0" w:firstLine="0" w:firstLineChars="0"/>
              <w:jc w:val="center"/>
              <w:textAlignment w:val="auto"/>
              <w:rPr>
                <w:rFonts w:ascii="Times New Roman" w:hAnsi="Times New Roman" w:eastAsia="Times New Roman" w:cs="Times New Roman"/>
                <w:sz w:val="21"/>
                <w:szCs w:val="21"/>
              </w:rPr>
            </w:pPr>
            <w:r>
              <w:rPr>
                <w:rFonts w:ascii="Times New Roman"/>
                <w:sz w:val="21"/>
              </w:rPr>
              <w:t>0.52</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0.47</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0.59</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0.67</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0.62</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firstLine="0" w:firstLineChars="0"/>
              <w:jc w:val="center"/>
              <w:textAlignment w:val="auto"/>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1.0</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宋体" w:hAnsi="宋体" w:eastAsia="宋体" w:cs="宋体"/>
                <w:sz w:val="21"/>
                <w:szCs w:val="21"/>
              </w:rPr>
            </w:pPr>
            <w:r>
              <w:rPr>
                <w:rFonts w:hint="eastAsia" w:eastAsia="宋体" w:cs="宋体"/>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59" w:line="240" w:lineRule="auto"/>
              <w:ind w:right="0"/>
              <w:jc w:val="center"/>
              <w:textAlignment w:val="auto"/>
              <w:rPr>
                <w:rFonts w:ascii="宋体" w:hAnsi="宋体" w:eastAsia="宋体" w:cs="宋体"/>
                <w:sz w:val="21"/>
                <w:szCs w:val="21"/>
              </w:rPr>
            </w:pPr>
            <w:r>
              <w:rPr>
                <w:rFonts w:ascii="宋体" w:hAnsi="宋体" w:eastAsia="宋体" w:cs="宋体"/>
                <w:sz w:val="21"/>
                <w:szCs w:val="21"/>
              </w:rPr>
              <w:t>石油类</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ND</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59" w:line="240" w:lineRule="auto"/>
              <w:ind w:right="0" w:firstLine="0" w:firstLineChars="0"/>
              <w:jc w:val="center"/>
              <w:textAlignment w:val="auto"/>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0.05</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宋体" w:hAnsi="宋体" w:eastAsia="宋体" w:cs="宋体"/>
                <w:sz w:val="21"/>
                <w:szCs w:val="21"/>
              </w:rPr>
            </w:pPr>
            <w:r>
              <w:rPr>
                <w:rFonts w:hint="eastAsia" w:ascii="Times New Roman"/>
                <w:sz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607"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45" w:line="272" w:lineRule="exact"/>
              <w:ind w:right="153"/>
              <w:jc w:val="center"/>
              <w:textAlignment w:val="auto"/>
              <w:rPr>
                <w:rFonts w:ascii="宋体" w:hAnsi="宋体" w:eastAsia="宋体" w:cs="宋体"/>
                <w:sz w:val="21"/>
                <w:szCs w:val="21"/>
              </w:rPr>
            </w:pPr>
            <w:r>
              <w:rPr>
                <w:rFonts w:ascii="宋体" w:hAnsi="宋体" w:eastAsia="宋体" w:cs="宋体"/>
                <w:sz w:val="21"/>
                <w:szCs w:val="21"/>
              </w:rPr>
              <w:t>阴离子表面活性剂</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0" w:lineRule="auto"/>
              <w:ind w:right="0"/>
              <w:jc w:val="center"/>
              <w:textAlignment w:val="auto"/>
              <w:rPr>
                <w:rFonts w:ascii="Times New Roman" w:hAnsi="Times New Roman" w:eastAsia="Times New Roman" w:cs="Times New Roman"/>
                <w:sz w:val="21"/>
                <w:szCs w:val="21"/>
              </w:rPr>
            </w:pPr>
            <w:r>
              <w:rPr>
                <w:rFonts w:ascii="Times New Roman"/>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ND</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54" w:line="240" w:lineRule="auto"/>
              <w:ind w:right="0" w:firstLine="0" w:firstLineChars="0"/>
              <w:jc w:val="center"/>
              <w:textAlignment w:val="auto"/>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0.2</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宋体" w:hAnsi="宋体" w:eastAsia="宋体" w:cs="宋体"/>
                <w:sz w:val="21"/>
                <w:szCs w:val="21"/>
              </w:rPr>
            </w:pPr>
            <w:r>
              <w:rPr>
                <w:rFonts w:hint="eastAsia" w:eastAsia="宋体" w:cs="宋体"/>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1" w:line="240" w:lineRule="auto"/>
              <w:ind w:right="0"/>
              <w:jc w:val="center"/>
              <w:textAlignment w:val="auto"/>
              <w:rPr>
                <w:rFonts w:ascii="宋体" w:hAnsi="宋体" w:eastAsia="宋体" w:cs="宋体"/>
                <w:sz w:val="21"/>
                <w:szCs w:val="21"/>
              </w:rPr>
            </w:pPr>
            <w:r>
              <w:rPr>
                <w:rFonts w:ascii="宋体" w:hAnsi="宋体" w:eastAsia="宋体" w:cs="宋体"/>
                <w:sz w:val="21"/>
                <w:szCs w:val="21"/>
              </w:rPr>
              <w:t>挥发酚</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0" w:line="240" w:lineRule="auto"/>
              <w:ind w:right="0"/>
              <w:jc w:val="center"/>
              <w:textAlignment w:val="auto"/>
              <w:rPr>
                <w:rFonts w:ascii="Times New Roman" w:hAnsi="Times New Roman" w:eastAsia="Times New Roman" w:cs="Times New Roman"/>
                <w:sz w:val="21"/>
                <w:szCs w:val="21"/>
              </w:rPr>
            </w:pPr>
            <w:r>
              <w:rPr>
                <w:rFonts w:ascii="Times New Roman"/>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0" w:line="240" w:lineRule="auto"/>
              <w:ind w:left="123" w:right="0" w:firstLine="0" w:firstLineChars="0"/>
              <w:jc w:val="center"/>
              <w:textAlignment w:val="auto"/>
              <w:rPr>
                <w:rFonts w:ascii="Times New Roman" w:hAnsi="Times New Roman" w:eastAsia="Times New Roman" w:cs="Times New Roman"/>
                <w:sz w:val="21"/>
                <w:szCs w:val="21"/>
              </w:rPr>
            </w:pPr>
            <w:r>
              <w:rPr>
                <w:rFonts w:ascii="Times New Roman"/>
                <w:sz w:val="21"/>
              </w:rPr>
              <w:t>0.0011</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0" w:line="240" w:lineRule="auto"/>
              <w:ind w:left="115" w:right="0" w:firstLine="0" w:firstLineChars="0"/>
              <w:jc w:val="center"/>
              <w:textAlignment w:val="auto"/>
              <w:rPr>
                <w:rFonts w:ascii="Times New Roman" w:hAnsi="Times New Roman" w:eastAsia="Times New Roman" w:cs="Times New Roman"/>
                <w:sz w:val="21"/>
                <w:szCs w:val="21"/>
              </w:rPr>
            </w:pPr>
            <w:r>
              <w:rPr>
                <w:rFonts w:ascii="Times New Roman"/>
                <w:sz w:val="21"/>
              </w:rPr>
              <w:t>0.0011</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0" w:line="240" w:lineRule="auto"/>
              <w:ind w:left="138" w:right="0" w:firstLine="0" w:firstLineChars="0"/>
              <w:jc w:val="center"/>
              <w:textAlignment w:val="auto"/>
              <w:rPr>
                <w:rFonts w:ascii="Times New Roman" w:hAnsi="Times New Roman" w:eastAsia="Times New Roman" w:cs="Times New Roman"/>
                <w:sz w:val="21"/>
                <w:szCs w:val="21"/>
              </w:rPr>
            </w:pPr>
            <w:r>
              <w:rPr>
                <w:rFonts w:ascii="Times New Roman"/>
                <w:sz w:val="21"/>
              </w:rPr>
              <w:t>0.0011</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0" w:line="240" w:lineRule="auto"/>
              <w:ind w:left="117" w:right="0" w:firstLine="0" w:firstLineChars="0"/>
              <w:jc w:val="center"/>
              <w:textAlignment w:val="auto"/>
              <w:rPr>
                <w:rFonts w:ascii="Times New Roman" w:hAnsi="Times New Roman" w:eastAsia="Times New Roman" w:cs="Times New Roman"/>
                <w:sz w:val="21"/>
                <w:szCs w:val="21"/>
              </w:rPr>
            </w:pPr>
            <w:r>
              <w:rPr>
                <w:rFonts w:ascii="Times New Roman"/>
                <w:sz w:val="21"/>
              </w:rPr>
              <w:t>0.0015</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0" w:line="240" w:lineRule="auto"/>
              <w:ind w:left="160" w:right="0" w:firstLine="0" w:firstLineChars="0"/>
              <w:jc w:val="center"/>
              <w:textAlignment w:val="auto"/>
              <w:rPr>
                <w:rFonts w:ascii="Times New Roman" w:hAnsi="Times New Roman" w:eastAsia="Times New Roman" w:cs="Times New Roman"/>
                <w:sz w:val="21"/>
                <w:szCs w:val="21"/>
              </w:rPr>
            </w:pPr>
            <w:r>
              <w:rPr>
                <w:rFonts w:ascii="Times New Roman"/>
                <w:sz w:val="21"/>
              </w:rPr>
              <w:t>0.0016</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0" w:line="240" w:lineRule="auto"/>
              <w:ind w:left="203" w:right="0" w:firstLine="0" w:firstLineChars="0"/>
              <w:jc w:val="center"/>
              <w:textAlignment w:val="auto"/>
              <w:rPr>
                <w:rFonts w:ascii="Times New Roman" w:hAnsi="Times New Roman" w:eastAsia="Times New Roman" w:cs="Times New Roman"/>
                <w:sz w:val="21"/>
                <w:szCs w:val="21"/>
              </w:rPr>
            </w:pPr>
            <w:r>
              <w:rPr>
                <w:rFonts w:ascii="Times New Roman"/>
                <w:sz w:val="21"/>
              </w:rPr>
              <w:t>0.0016</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1" w:line="240" w:lineRule="auto"/>
              <w:ind w:right="0"/>
              <w:jc w:val="center"/>
              <w:textAlignment w:val="auto"/>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0.005</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宋体" w:hAnsi="宋体" w:eastAsia="宋体" w:cs="宋体"/>
                <w:sz w:val="21"/>
                <w:szCs w:val="21"/>
              </w:rPr>
            </w:pPr>
            <w:r>
              <w:rPr>
                <w:rFonts w:hint="eastAsia" w:ascii="Times New Roman"/>
                <w:sz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jc w:val="center"/>
              <w:textAlignment w:val="auto"/>
              <w:rPr>
                <w:rFonts w:ascii="宋体" w:hAnsi="宋体" w:eastAsia="宋体" w:cs="宋体"/>
                <w:sz w:val="21"/>
                <w:szCs w:val="21"/>
              </w:rPr>
            </w:pPr>
            <w:r>
              <w:rPr>
                <w:rFonts w:ascii="宋体" w:hAnsi="宋体" w:eastAsia="宋体" w:cs="宋体"/>
                <w:sz w:val="21"/>
                <w:szCs w:val="21"/>
              </w:rPr>
              <w:t>粪大肠菌群</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left="136" w:right="0" w:firstLine="0" w:firstLineChars="0"/>
              <w:jc w:val="center"/>
              <w:textAlignment w:val="auto"/>
              <w:rPr>
                <w:rFonts w:ascii="Times New Roman" w:hAnsi="Times New Roman" w:eastAsia="Times New Roman" w:cs="Times New Roman"/>
                <w:sz w:val="21"/>
                <w:szCs w:val="21"/>
              </w:rPr>
            </w:pPr>
            <w:r>
              <w:rPr>
                <w:rFonts w:ascii="Times New Roman"/>
                <w:sz w:val="21"/>
              </w:rPr>
              <w:t>MPN/L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1200</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left="195" w:right="0" w:firstLine="0" w:firstLineChars="0"/>
              <w:jc w:val="center"/>
              <w:textAlignment w:val="auto"/>
              <w:rPr>
                <w:rFonts w:ascii="Times New Roman" w:hAnsi="Times New Roman" w:eastAsia="Times New Roman" w:cs="Times New Roman"/>
                <w:sz w:val="21"/>
                <w:szCs w:val="21"/>
              </w:rPr>
            </w:pPr>
            <w:r>
              <w:rPr>
                <w:rFonts w:ascii="Times New Roman"/>
                <w:sz w:val="21"/>
              </w:rPr>
              <w:t>1400</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left="217" w:right="0" w:firstLine="0" w:firstLineChars="0"/>
              <w:jc w:val="center"/>
              <w:textAlignment w:val="auto"/>
              <w:rPr>
                <w:rFonts w:ascii="Times New Roman" w:hAnsi="Times New Roman" w:eastAsia="Times New Roman" w:cs="Times New Roman"/>
                <w:sz w:val="21"/>
                <w:szCs w:val="21"/>
              </w:rPr>
            </w:pPr>
            <w:r>
              <w:rPr>
                <w:rFonts w:ascii="Times New Roman"/>
                <w:sz w:val="21"/>
              </w:rPr>
              <w:t>1300</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left="196" w:right="0" w:firstLine="0" w:firstLineChars="0"/>
              <w:jc w:val="center"/>
              <w:textAlignment w:val="auto"/>
              <w:rPr>
                <w:rFonts w:ascii="Times New Roman" w:hAnsi="Times New Roman" w:eastAsia="Times New Roman" w:cs="Times New Roman"/>
                <w:sz w:val="21"/>
                <w:szCs w:val="21"/>
              </w:rPr>
            </w:pPr>
            <w:r>
              <w:rPr>
                <w:rFonts w:ascii="Times New Roman"/>
                <w:sz w:val="21"/>
              </w:rPr>
              <w:t>1500</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left="239" w:right="0" w:firstLine="0" w:firstLineChars="0"/>
              <w:jc w:val="center"/>
              <w:textAlignment w:val="auto"/>
              <w:rPr>
                <w:rFonts w:ascii="Times New Roman" w:hAnsi="Times New Roman" w:eastAsia="Times New Roman" w:cs="Times New Roman"/>
                <w:sz w:val="21"/>
                <w:szCs w:val="21"/>
              </w:rPr>
            </w:pPr>
            <w:r>
              <w:rPr>
                <w:rFonts w:ascii="Times New Roman"/>
                <w:sz w:val="21"/>
              </w:rPr>
              <w:t>1700</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left="282" w:right="0" w:firstLine="0" w:firstLineChars="0"/>
              <w:jc w:val="center"/>
              <w:textAlignment w:val="auto"/>
              <w:rPr>
                <w:rFonts w:ascii="Times New Roman" w:hAnsi="Times New Roman" w:eastAsia="Times New Roman" w:cs="Times New Roman"/>
                <w:sz w:val="21"/>
                <w:szCs w:val="21"/>
              </w:rPr>
            </w:pPr>
            <w:r>
              <w:rPr>
                <w:rFonts w:ascii="Times New Roman"/>
                <w:sz w:val="21"/>
              </w:rPr>
              <w:t>1700</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jc w:val="center"/>
              <w:textAlignment w:val="auto"/>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10000</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宋体" w:hAnsi="宋体" w:eastAsia="宋体" w:cs="宋体"/>
                <w:sz w:val="21"/>
                <w:szCs w:val="21"/>
              </w:rPr>
            </w:pPr>
            <w:r>
              <w:rPr>
                <w:rFonts w:hint="eastAsia" w:eastAsia="宋体" w:cs="宋体"/>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11"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1" w:line="240" w:lineRule="auto"/>
              <w:ind w:right="0"/>
              <w:jc w:val="center"/>
              <w:textAlignment w:val="auto"/>
              <w:rPr>
                <w:rFonts w:ascii="宋体" w:hAnsi="宋体" w:eastAsia="宋体" w:cs="宋体"/>
                <w:sz w:val="21"/>
                <w:szCs w:val="21"/>
              </w:rPr>
            </w:pPr>
            <w:r>
              <w:rPr>
                <w:rFonts w:ascii="宋体" w:hAnsi="宋体" w:eastAsia="宋体" w:cs="宋体"/>
                <w:sz w:val="21"/>
                <w:szCs w:val="21"/>
              </w:rPr>
              <w:t>砷</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97" w:line="240" w:lineRule="auto"/>
              <w:ind w:right="0"/>
              <w:jc w:val="center"/>
              <w:textAlignment w:val="auto"/>
              <w:rPr>
                <w:rFonts w:ascii="Times New Roman" w:hAnsi="Times New Roman" w:eastAsia="Times New Roman" w:cs="Times New Roman"/>
                <w:sz w:val="21"/>
                <w:szCs w:val="21"/>
              </w:rPr>
            </w:pPr>
            <w:r>
              <w:rPr>
                <w:rFonts w:ascii="Times New Roman"/>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97"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97"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97"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97"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97"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97"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ND</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48" w:line="240" w:lineRule="auto"/>
              <w:ind w:right="0"/>
              <w:jc w:val="center"/>
              <w:textAlignment w:val="auto"/>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0.05</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宋体" w:hAnsi="宋体" w:eastAsia="宋体" w:cs="宋体"/>
                <w:sz w:val="21"/>
                <w:szCs w:val="21"/>
              </w:rPr>
            </w:pPr>
            <w:r>
              <w:rPr>
                <w:rFonts w:hint="eastAsia" w:ascii="Times New Roman"/>
                <w:sz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08"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1" w:line="240" w:lineRule="auto"/>
              <w:ind w:right="0"/>
              <w:jc w:val="center"/>
              <w:textAlignment w:val="auto"/>
              <w:rPr>
                <w:rFonts w:ascii="宋体" w:hAnsi="宋体" w:eastAsia="宋体" w:cs="宋体"/>
                <w:sz w:val="21"/>
                <w:szCs w:val="21"/>
              </w:rPr>
            </w:pPr>
            <w:r>
              <w:rPr>
                <w:rFonts w:ascii="宋体" w:hAnsi="宋体" w:eastAsia="宋体" w:cs="宋体"/>
                <w:sz w:val="21"/>
                <w:szCs w:val="21"/>
              </w:rPr>
              <w:t>锌</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95" w:line="240" w:lineRule="auto"/>
              <w:ind w:right="0"/>
              <w:jc w:val="center"/>
              <w:textAlignment w:val="auto"/>
              <w:rPr>
                <w:rFonts w:ascii="Times New Roman" w:hAnsi="Times New Roman" w:eastAsia="Times New Roman" w:cs="Times New Roman"/>
                <w:sz w:val="21"/>
                <w:szCs w:val="21"/>
              </w:rPr>
            </w:pPr>
            <w:r>
              <w:rPr>
                <w:rFonts w:ascii="Times New Roman"/>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95"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95"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95"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95"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95"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95"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ND</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46" w:line="240" w:lineRule="auto"/>
              <w:ind w:right="0"/>
              <w:jc w:val="center"/>
              <w:textAlignment w:val="auto"/>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1.0</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宋体" w:hAnsi="宋体" w:eastAsia="宋体" w:cs="宋体"/>
                <w:sz w:val="21"/>
                <w:szCs w:val="21"/>
              </w:rPr>
            </w:pPr>
            <w:r>
              <w:rPr>
                <w:rFonts w:hint="eastAsia" w:eastAsia="宋体" w:cs="宋体"/>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1" w:line="240" w:lineRule="auto"/>
              <w:ind w:right="0"/>
              <w:jc w:val="center"/>
              <w:textAlignment w:val="auto"/>
              <w:rPr>
                <w:rFonts w:ascii="宋体" w:hAnsi="宋体" w:eastAsia="宋体" w:cs="宋体"/>
                <w:sz w:val="21"/>
                <w:szCs w:val="21"/>
              </w:rPr>
            </w:pPr>
            <w:r>
              <w:rPr>
                <w:rFonts w:ascii="宋体" w:hAnsi="宋体" w:eastAsia="宋体" w:cs="宋体"/>
                <w:sz w:val="21"/>
                <w:szCs w:val="21"/>
              </w:rPr>
              <w:t>锰</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ND</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left="7" w:right="0" w:firstLine="0" w:firstLineChars="0"/>
              <w:jc w:val="center"/>
              <w:textAlignment w:val="auto"/>
              <w:rPr>
                <w:rFonts w:ascii="Times New Roman" w:hAnsi="Times New Roman" w:eastAsia="Times New Roman" w:cs="Times New Roman"/>
                <w:sz w:val="21"/>
                <w:szCs w:val="21"/>
              </w:rPr>
            </w:pPr>
            <w:r>
              <w:rPr>
                <w:rFonts w:ascii="Times New Roman"/>
                <w:w w:val="99"/>
                <w:sz w:val="21"/>
              </w:rPr>
              <w:t>/</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Times New Roman"/>
                <w:w w:val="99"/>
                <w:sz w:val="21"/>
              </w:rPr>
            </w:pPr>
            <w:r>
              <w:rPr>
                <w:rFonts w:hint="eastAsia" w:ascii="Times New Roman"/>
                <w:sz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1" w:line="240" w:lineRule="auto"/>
              <w:ind w:right="0"/>
              <w:jc w:val="center"/>
              <w:textAlignment w:val="auto"/>
              <w:rPr>
                <w:rFonts w:ascii="宋体" w:hAnsi="宋体" w:eastAsia="宋体" w:cs="宋体"/>
                <w:sz w:val="21"/>
                <w:szCs w:val="21"/>
              </w:rPr>
            </w:pPr>
            <w:r>
              <w:rPr>
                <w:rFonts w:ascii="宋体" w:hAnsi="宋体" w:eastAsia="宋体" w:cs="宋体"/>
                <w:sz w:val="21"/>
                <w:szCs w:val="21"/>
              </w:rPr>
              <w:t>六价铬</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0" w:line="240" w:lineRule="auto"/>
              <w:ind w:right="0"/>
              <w:jc w:val="center"/>
              <w:textAlignment w:val="auto"/>
              <w:rPr>
                <w:rFonts w:ascii="Times New Roman" w:hAnsi="Times New Roman" w:eastAsia="Times New Roman" w:cs="Times New Roman"/>
                <w:sz w:val="21"/>
                <w:szCs w:val="21"/>
              </w:rPr>
            </w:pPr>
            <w:r>
              <w:rPr>
                <w:rFonts w:ascii="Times New Roman"/>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0"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0"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0"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0"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0"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0"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ND</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8" w:line="240" w:lineRule="auto"/>
              <w:ind w:right="0"/>
              <w:jc w:val="center"/>
              <w:textAlignment w:val="auto"/>
              <w:rPr>
                <w:rFonts w:ascii="Times New Roman" w:hAnsi="Times New Roman" w:eastAsia="Times New Roman" w:cs="Times New Roman"/>
                <w:sz w:val="24"/>
                <w:szCs w:val="24"/>
              </w:rPr>
            </w:pPr>
            <w:r>
              <w:rPr>
                <w:rFonts w:ascii="宋体" w:hAnsi="宋体" w:eastAsia="宋体" w:cs="宋体"/>
                <w:sz w:val="21"/>
                <w:szCs w:val="21"/>
              </w:rPr>
              <w:t>≤</w:t>
            </w:r>
            <w:r>
              <w:rPr>
                <w:rFonts w:ascii="Times New Roman" w:hAnsi="Times New Roman" w:eastAsia="Times New Roman" w:cs="Times New Roman"/>
                <w:sz w:val="24"/>
                <w:szCs w:val="24"/>
              </w:rPr>
              <w:t>0.05</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宋体" w:hAnsi="宋体" w:eastAsia="宋体" w:cs="宋体"/>
                <w:sz w:val="21"/>
                <w:szCs w:val="21"/>
              </w:rPr>
            </w:pPr>
            <w:r>
              <w:rPr>
                <w:rFonts w:hint="eastAsia" w:eastAsia="宋体" w:cs="宋体"/>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1" w:line="240" w:lineRule="auto"/>
              <w:ind w:right="0"/>
              <w:jc w:val="center"/>
              <w:textAlignment w:val="auto"/>
              <w:rPr>
                <w:rFonts w:ascii="宋体" w:hAnsi="宋体" w:eastAsia="宋体" w:cs="宋体"/>
                <w:sz w:val="21"/>
                <w:szCs w:val="21"/>
              </w:rPr>
            </w:pPr>
            <w:r>
              <w:rPr>
                <w:rFonts w:ascii="宋体" w:hAnsi="宋体" w:eastAsia="宋体" w:cs="宋体"/>
                <w:sz w:val="21"/>
                <w:szCs w:val="21"/>
              </w:rPr>
              <w:t>铅</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ND</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jc w:val="center"/>
              <w:textAlignment w:val="auto"/>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0.05</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宋体" w:hAnsi="宋体" w:eastAsia="宋体" w:cs="宋体"/>
                <w:sz w:val="21"/>
                <w:szCs w:val="21"/>
              </w:rPr>
            </w:pPr>
            <w:r>
              <w:rPr>
                <w:rFonts w:hint="eastAsia" w:ascii="Times New Roman"/>
                <w:sz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1" w:line="240" w:lineRule="auto"/>
              <w:ind w:right="0"/>
              <w:jc w:val="center"/>
              <w:textAlignment w:val="auto"/>
              <w:rPr>
                <w:rFonts w:ascii="宋体" w:hAnsi="宋体" w:eastAsia="宋体" w:cs="宋体"/>
                <w:sz w:val="21"/>
                <w:szCs w:val="21"/>
              </w:rPr>
            </w:pPr>
            <w:r>
              <w:rPr>
                <w:rFonts w:ascii="宋体" w:hAnsi="宋体" w:eastAsia="宋体" w:cs="宋体"/>
                <w:sz w:val="21"/>
                <w:szCs w:val="21"/>
              </w:rPr>
              <w:t>镉</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ND</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59" w:line="240" w:lineRule="auto"/>
              <w:ind w:right="0"/>
              <w:jc w:val="center"/>
              <w:textAlignment w:val="auto"/>
              <w:rPr>
                <w:rFonts w:ascii="Times New Roman" w:hAnsi="Times New Roman" w:eastAsia="Times New Roman" w:cs="Times New Roman"/>
                <w:sz w:val="21"/>
                <w:szCs w:val="21"/>
              </w:rPr>
            </w:pPr>
            <w:r>
              <w:rPr>
                <w:rFonts w:ascii="宋体" w:hAnsi="宋体" w:eastAsia="宋体" w:cs="宋体"/>
                <w:sz w:val="21"/>
                <w:szCs w:val="21"/>
              </w:rPr>
              <w:t>≤</w:t>
            </w:r>
            <w:r>
              <w:rPr>
                <w:rFonts w:ascii="Times New Roman" w:hAnsi="Times New Roman" w:eastAsia="Times New Roman" w:cs="Times New Roman"/>
                <w:sz w:val="21"/>
                <w:szCs w:val="21"/>
              </w:rPr>
              <w:t>0.005</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宋体" w:hAnsi="宋体" w:eastAsia="宋体" w:cs="宋体"/>
                <w:sz w:val="21"/>
                <w:szCs w:val="21"/>
              </w:rPr>
            </w:pPr>
            <w:r>
              <w:rPr>
                <w:rFonts w:hint="eastAsia" w:eastAsia="宋体" w:cs="宋体"/>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1" w:line="240" w:lineRule="auto"/>
              <w:ind w:right="0"/>
              <w:jc w:val="center"/>
              <w:textAlignment w:val="auto"/>
              <w:rPr>
                <w:rFonts w:ascii="宋体" w:hAnsi="宋体" w:eastAsia="宋体" w:cs="宋体"/>
                <w:sz w:val="21"/>
                <w:szCs w:val="21"/>
              </w:rPr>
            </w:pPr>
            <w:r>
              <w:rPr>
                <w:rFonts w:ascii="宋体" w:hAnsi="宋体" w:eastAsia="宋体" w:cs="宋体"/>
                <w:sz w:val="21"/>
                <w:szCs w:val="21"/>
              </w:rPr>
              <w:t>总铬</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ND</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8" w:line="240" w:lineRule="auto"/>
              <w:ind w:left="7" w:right="0" w:firstLine="0" w:firstLineChars="0"/>
              <w:jc w:val="center"/>
              <w:textAlignment w:val="auto"/>
              <w:rPr>
                <w:rFonts w:ascii="Times New Roman" w:hAnsi="Times New Roman" w:eastAsia="Times New Roman" w:cs="Times New Roman"/>
                <w:sz w:val="21"/>
                <w:szCs w:val="21"/>
              </w:rPr>
            </w:pPr>
            <w:r>
              <w:rPr>
                <w:rFonts w:ascii="Times New Roman"/>
                <w:w w:val="99"/>
                <w:sz w:val="21"/>
              </w:rPr>
              <w:t>/</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Times New Roman"/>
                <w:w w:val="99"/>
                <w:sz w:val="21"/>
              </w:rPr>
            </w:pPr>
            <w:r>
              <w:rPr>
                <w:rFonts w:hint="eastAsia" w:ascii="Times New Roman"/>
                <w:sz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4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1" w:line="240" w:lineRule="auto"/>
              <w:ind w:right="0"/>
              <w:jc w:val="center"/>
              <w:textAlignment w:val="auto"/>
              <w:rPr>
                <w:rFonts w:ascii="宋体" w:hAnsi="宋体" w:eastAsia="宋体" w:cs="宋体"/>
                <w:sz w:val="21"/>
                <w:szCs w:val="21"/>
              </w:rPr>
            </w:pPr>
            <w:r>
              <w:rPr>
                <w:rFonts w:ascii="宋体" w:hAnsi="宋体" w:eastAsia="宋体" w:cs="宋体"/>
                <w:sz w:val="21"/>
                <w:szCs w:val="21"/>
              </w:rPr>
              <w:t>总钒</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4" w:line="240" w:lineRule="auto"/>
              <w:ind w:right="0"/>
              <w:jc w:val="center"/>
              <w:textAlignment w:val="auto"/>
              <w:rPr>
                <w:rFonts w:ascii="Times New Roman" w:hAnsi="Times New Roman" w:eastAsia="Times New Roman" w:cs="Times New Roman"/>
                <w:sz w:val="21"/>
                <w:szCs w:val="21"/>
              </w:rPr>
            </w:pPr>
            <w:r>
              <w:rPr>
                <w:rFonts w:ascii="Times New Roman"/>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4"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4"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4"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4"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4" w:line="240" w:lineRule="auto"/>
              <w:ind w:right="0"/>
              <w:jc w:val="center"/>
              <w:textAlignment w:val="auto"/>
              <w:rPr>
                <w:rFonts w:ascii="Times New Roman" w:hAnsi="Times New Roman" w:eastAsia="Times New Roman" w:cs="Times New Roman"/>
                <w:sz w:val="21"/>
                <w:szCs w:val="21"/>
              </w:rPr>
            </w:pPr>
            <w:r>
              <w:rPr>
                <w:rFonts w:ascii="Times New Roman"/>
                <w:sz w:val="21"/>
              </w:rPr>
              <w:t>ND</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4" w:line="240" w:lineRule="auto"/>
              <w:ind w:right="0" w:firstLine="0" w:firstLineChars="0"/>
              <w:jc w:val="center"/>
              <w:textAlignment w:val="auto"/>
              <w:rPr>
                <w:rFonts w:ascii="Times New Roman" w:hAnsi="Times New Roman" w:eastAsia="Times New Roman" w:cs="Times New Roman"/>
                <w:sz w:val="21"/>
                <w:szCs w:val="21"/>
              </w:rPr>
            </w:pPr>
            <w:r>
              <w:rPr>
                <w:rFonts w:ascii="Times New Roman"/>
                <w:sz w:val="21"/>
              </w:rPr>
              <w:t>ND</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14" w:line="240" w:lineRule="auto"/>
              <w:ind w:left="7" w:right="0" w:firstLine="0" w:firstLineChars="0"/>
              <w:jc w:val="center"/>
              <w:textAlignment w:val="auto"/>
              <w:rPr>
                <w:rFonts w:ascii="Times New Roman" w:hAnsi="Times New Roman" w:eastAsia="Times New Roman" w:cs="Times New Roman"/>
                <w:sz w:val="21"/>
                <w:szCs w:val="21"/>
              </w:rPr>
            </w:pPr>
            <w:r>
              <w:rPr>
                <w:rFonts w:ascii="Times New Roman"/>
                <w:w w:val="99"/>
                <w:sz w:val="21"/>
              </w:rPr>
              <w:t>/</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Times New Roman"/>
                <w:w w:val="99"/>
                <w:sz w:val="21"/>
              </w:rPr>
            </w:pPr>
            <w:r>
              <w:rPr>
                <w:rFonts w:hint="eastAsia" w:eastAsia="宋体" w:cs="宋体"/>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325" w:hRule="exact"/>
          <w:jc w:val="center"/>
        </w:trPr>
        <w:tc>
          <w:tcPr>
            <w:tcW w:w="1144" w:type="dxa"/>
            <w:vMerge w:val="restart"/>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0" w:lineRule="auto"/>
              <w:ind w:right="0"/>
              <w:jc w:val="center"/>
              <w:textAlignment w:val="auto"/>
              <w:rPr>
                <w:rFonts w:ascii="宋体" w:hAnsi="宋体" w:eastAsia="宋体" w:cs="宋体"/>
                <w:sz w:val="21"/>
                <w:szCs w:val="21"/>
              </w:rPr>
            </w:pPr>
            <w:r>
              <w:rPr>
                <w:rFonts w:ascii="宋体" w:hAnsi="宋体" w:eastAsia="宋体" w:cs="宋体"/>
                <w:sz w:val="21"/>
                <w:szCs w:val="21"/>
              </w:rPr>
              <w:t>检测项目</w:t>
            </w:r>
          </w:p>
        </w:tc>
        <w:tc>
          <w:tcPr>
            <w:tcW w:w="848" w:type="dxa"/>
            <w:vMerge w:val="restart"/>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0" w:lineRule="auto"/>
              <w:ind w:right="0"/>
              <w:jc w:val="center"/>
              <w:textAlignment w:val="auto"/>
              <w:rPr>
                <w:rFonts w:ascii="宋体" w:hAnsi="宋体" w:eastAsia="宋体" w:cs="宋体"/>
                <w:sz w:val="21"/>
                <w:szCs w:val="21"/>
              </w:rPr>
            </w:pPr>
            <w:r>
              <w:rPr>
                <w:rFonts w:ascii="宋体" w:hAnsi="宋体" w:eastAsia="宋体" w:cs="宋体"/>
                <w:sz w:val="21"/>
                <w:szCs w:val="21"/>
              </w:rPr>
              <w:t>单位</w:t>
            </w:r>
          </w:p>
        </w:tc>
        <w:tc>
          <w:tcPr>
            <w:tcW w:w="5084" w:type="dxa"/>
            <w:gridSpan w:val="6"/>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 w:line="240" w:lineRule="auto"/>
              <w:ind w:right="2" w:firstLine="0" w:firstLineChars="0"/>
              <w:jc w:val="center"/>
              <w:textAlignment w:val="auto"/>
              <w:rPr>
                <w:rFonts w:ascii="宋体" w:hAnsi="宋体" w:eastAsia="宋体" w:cs="宋体"/>
                <w:sz w:val="21"/>
                <w:szCs w:val="21"/>
              </w:rPr>
            </w:pPr>
            <w:r>
              <w:rPr>
                <w:rFonts w:ascii="宋体" w:hAnsi="宋体" w:eastAsia="宋体" w:cs="宋体"/>
                <w:sz w:val="21"/>
                <w:szCs w:val="21"/>
              </w:rPr>
              <w:t>检测结果</w:t>
            </w:r>
          </w:p>
        </w:tc>
        <w:tc>
          <w:tcPr>
            <w:tcW w:w="581" w:type="dxa"/>
            <w:vMerge w:val="restart"/>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line="240" w:lineRule="auto"/>
              <w:ind w:right="0"/>
              <w:jc w:val="center"/>
              <w:textAlignment w:val="auto"/>
              <w:rPr>
                <w:rFonts w:ascii="宋体" w:hAnsi="宋体" w:eastAsia="宋体" w:cs="宋体"/>
                <w:sz w:val="21"/>
                <w:szCs w:val="21"/>
              </w:rPr>
            </w:pPr>
            <w:r>
              <w:rPr>
                <w:rFonts w:ascii="宋体" w:hAnsi="宋体" w:eastAsia="宋体" w:cs="宋体"/>
                <w:sz w:val="21"/>
                <w:szCs w:val="21"/>
              </w:rPr>
              <w:t>限值</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宋体" w:hAnsi="宋体" w:eastAsia="宋体" w:cs="宋体"/>
                <w:sz w:val="21"/>
                <w:szCs w:val="21"/>
              </w:rPr>
            </w:pPr>
            <w:r>
              <w:rPr>
                <w:rFonts w:hint="eastAsia" w:ascii="Times New Roman"/>
                <w:sz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340" w:hRule="exact"/>
          <w:jc w:val="center"/>
        </w:trPr>
        <w:tc>
          <w:tcPr>
            <w:tcW w:w="1144"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ind w:firstLine="0" w:firstLineChars="0"/>
              <w:jc w:val="center"/>
              <w:textAlignment w:val="auto"/>
            </w:pPr>
          </w:p>
        </w:tc>
        <w:tc>
          <w:tcPr>
            <w:tcW w:w="848"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ind w:firstLine="0" w:firstLineChars="0"/>
              <w:jc w:val="center"/>
              <w:textAlignment w:val="auto"/>
            </w:pPr>
          </w:p>
        </w:tc>
        <w:tc>
          <w:tcPr>
            <w:tcW w:w="2561" w:type="dxa"/>
            <w:gridSpan w:val="3"/>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40" w:line="240" w:lineRule="auto"/>
              <w:ind w:right="0"/>
              <w:jc w:val="center"/>
              <w:textAlignment w:val="auto"/>
              <w:rPr>
                <w:rFonts w:ascii="宋体" w:hAnsi="宋体" w:eastAsia="宋体" w:cs="宋体"/>
                <w:sz w:val="21"/>
                <w:szCs w:val="21"/>
              </w:rPr>
            </w:pPr>
            <w:r>
              <w:rPr>
                <w:rFonts w:ascii="宋体" w:hAnsi="宋体" w:eastAsia="宋体" w:cs="宋体"/>
                <w:sz w:val="21"/>
                <w:szCs w:val="21"/>
              </w:rPr>
              <w:t>竹篙滩水电站</w:t>
            </w:r>
          </w:p>
        </w:tc>
        <w:tc>
          <w:tcPr>
            <w:tcW w:w="2523" w:type="dxa"/>
            <w:gridSpan w:val="3"/>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40" w:line="240" w:lineRule="auto"/>
              <w:ind w:right="0"/>
              <w:jc w:val="center"/>
              <w:textAlignment w:val="auto"/>
              <w:rPr>
                <w:rFonts w:ascii="Times New Roman" w:hAnsi="Times New Roman" w:eastAsia="Times New Roman" w:cs="Times New Roman"/>
                <w:sz w:val="21"/>
                <w:szCs w:val="21"/>
              </w:rPr>
            </w:pPr>
            <w:r>
              <w:rPr>
                <w:rFonts w:ascii="宋体" w:hAnsi="宋体" w:eastAsia="宋体" w:cs="宋体"/>
                <w:sz w:val="21"/>
                <w:szCs w:val="21"/>
              </w:rPr>
              <w:t>竹篙滩水电站下游</w:t>
            </w:r>
            <w:r>
              <w:rPr>
                <w:rFonts w:ascii="宋体" w:hAnsi="宋体" w:eastAsia="宋体" w:cs="宋体"/>
                <w:spacing w:val="-58"/>
                <w:sz w:val="21"/>
                <w:szCs w:val="21"/>
              </w:rPr>
              <w:t xml:space="preserve"> </w:t>
            </w:r>
            <w:r>
              <w:rPr>
                <w:rFonts w:ascii="Times New Roman" w:hAnsi="Times New Roman" w:eastAsia="Times New Roman" w:cs="Times New Roman"/>
                <w:sz w:val="21"/>
                <w:szCs w:val="21"/>
              </w:rPr>
              <w:t>1000m</w:t>
            </w:r>
          </w:p>
        </w:tc>
        <w:tc>
          <w:tcPr>
            <w:tcW w:w="581"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ind w:firstLine="0" w:firstLineChars="0"/>
              <w:jc w:val="center"/>
              <w:textAlignment w:val="auto"/>
            </w:pP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pPr>
            <w:r>
              <w:rPr>
                <w:rFonts w:hint="eastAsia" w:eastAsia="宋体" w:cs="宋体"/>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301" w:hRule="exact"/>
          <w:jc w:val="center"/>
        </w:trPr>
        <w:tc>
          <w:tcPr>
            <w:tcW w:w="1144"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ind w:firstLine="0" w:firstLineChars="0"/>
              <w:jc w:val="center"/>
              <w:textAlignment w:val="auto"/>
            </w:pPr>
          </w:p>
        </w:tc>
        <w:tc>
          <w:tcPr>
            <w:tcW w:w="848"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ind w:firstLine="0" w:firstLineChars="0"/>
              <w:jc w:val="center"/>
              <w:textAlignment w:val="auto"/>
            </w:pP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34" w:line="281" w:lineRule="exact"/>
              <w:ind w:right="0"/>
              <w:jc w:val="center"/>
              <w:textAlignment w:val="auto"/>
              <w:rPr>
                <w:rFonts w:ascii="宋体" w:hAnsi="宋体" w:eastAsia="宋体" w:cs="宋体"/>
                <w:sz w:val="21"/>
                <w:szCs w:val="21"/>
              </w:rPr>
            </w:pPr>
            <w:r>
              <w:rPr>
                <w:rFonts w:ascii="Times New Roman" w:hAnsi="Times New Roman" w:eastAsia="Times New Roman" w:cs="Times New Roman"/>
                <w:sz w:val="21"/>
                <w:szCs w:val="21"/>
              </w:rPr>
              <w:t>03</w:t>
            </w:r>
            <w:r>
              <w:rPr>
                <w:rFonts w:ascii="宋体" w:hAnsi="宋体" w:eastAsia="宋体" w:cs="宋体"/>
                <w:sz w:val="21"/>
                <w:szCs w:val="21"/>
              </w:rPr>
              <w:t>月</w:t>
            </w:r>
            <w:r>
              <w:rPr>
                <w:rFonts w:ascii="Times New Roman" w:hAnsi="Times New Roman" w:eastAsia="Times New Roman" w:cs="Times New Roman"/>
                <w:sz w:val="21"/>
                <w:szCs w:val="21"/>
              </w:rPr>
              <w:t>08</w:t>
            </w:r>
            <w:r>
              <w:rPr>
                <w:rFonts w:ascii="宋体" w:hAnsi="宋体" w:eastAsia="宋体" w:cs="宋体"/>
                <w:sz w:val="21"/>
                <w:szCs w:val="21"/>
              </w:rPr>
              <w:t>日</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34" w:line="281" w:lineRule="exact"/>
              <w:ind w:right="0"/>
              <w:jc w:val="center"/>
              <w:textAlignment w:val="auto"/>
              <w:rPr>
                <w:rFonts w:ascii="宋体" w:hAnsi="宋体" w:eastAsia="宋体" w:cs="宋体"/>
                <w:sz w:val="21"/>
                <w:szCs w:val="21"/>
              </w:rPr>
            </w:pPr>
            <w:r>
              <w:rPr>
                <w:rFonts w:ascii="Times New Roman" w:hAnsi="Times New Roman" w:eastAsia="Times New Roman" w:cs="Times New Roman"/>
                <w:sz w:val="21"/>
                <w:szCs w:val="21"/>
              </w:rPr>
              <w:t>03</w:t>
            </w:r>
            <w:r>
              <w:rPr>
                <w:rFonts w:ascii="宋体" w:hAnsi="宋体" w:eastAsia="宋体" w:cs="宋体"/>
                <w:sz w:val="21"/>
                <w:szCs w:val="21"/>
              </w:rPr>
              <w:t>月</w:t>
            </w:r>
            <w:r>
              <w:rPr>
                <w:rFonts w:ascii="Times New Roman" w:hAnsi="Times New Roman" w:eastAsia="Times New Roman" w:cs="Times New Roman"/>
                <w:sz w:val="21"/>
                <w:szCs w:val="21"/>
              </w:rPr>
              <w:t>09</w:t>
            </w:r>
            <w:r>
              <w:rPr>
                <w:rFonts w:ascii="宋体" w:hAnsi="宋体" w:eastAsia="宋体" w:cs="宋体"/>
                <w:sz w:val="21"/>
                <w:szCs w:val="21"/>
              </w:rPr>
              <w:t>日</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34" w:line="281" w:lineRule="exact"/>
              <w:ind w:right="0"/>
              <w:jc w:val="center"/>
              <w:textAlignment w:val="auto"/>
              <w:rPr>
                <w:rFonts w:ascii="宋体" w:hAnsi="宋体" w:eastAsia="宋体" w:cs="宋体"/>
                <w:sz w:val="21"/>
                <w:szCs w:val="21"/>
              </w:rPr>
            </w:pPr>
            <w:r>
              <w:rPr>
                <w:rFonts w:ascii="Times New Roman" w:hAnsi="Times New Roman" w:eastAsia="Times New Roman" w:cs="Times New Roman"/>
                <w:sz w:val="21"/>
                <w:szCs w:val="21"/>
              </w:rPr>
              <w:t>03</w:t>
            </w:r>
            <w:r>
              <w:rPr>
                <w:rFonts w:ascii="宋体" w:hAnsi="宋体" w:eastAsia="宋体" w:cs="宋体"/>
                <w:sz w:val="21"/>
                <w:szCs w:val="21"/>
              </w:rPr>
              <w:t>月</w:t>
            </w:r>
            <w:r>
              <w:rPr>
                <w:rFonts w:ascii="Times New Roman" w:hAnsi="Times New Roman" w:eastAsia="Times New Roman" w:cs="Times New Roman"/>
                <w:sz w:val="21"/>
                <w:szCs w:val="21"/>
              </w:rPr>
              <w:t xml:space="preserve">10 </w:t>
            </w:r>
            <w:r>
              <w:rPr>
                <w:rFonts w:ascii="宋体" w:hAnsi="宋体" w:eastAsia="宋体" w:cs="宋体"/>
                <w:sz w:val="21"/>
                <w:szCs w:val="21"/>
              </w:rPr>
              <w:t>日</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34" w:line="281" w:lineRule="exact"/>
              <w:ind w:right="0"/>
              <w:jc w:val="center"/>
              <w:textAlignment w:val="auto"/>
              <w:rPr>
                <w:rFonts w:ascii="宋体" w:hAnsi="宋体" w:eastAsia="宋体" w:cs="宋体"/>
                <w:sz w:val="21"/>
                <w:szCs w:val="21"/>
              </w:rPr>
            </w:pPr>
            <w:r>
              <w:rPr>
                <w:rFonts w:ascii="Times New Roman" w:hAnsi="Times New Roman" w:eastAsia="Times New Roman" w:cs="Times New Roman"/>
                <w:sz w:val="21"/>
                <w:szCs w:val="21"/>
              </w:rPr>
              <w:t>03</w:t>
            </w:r>
            <w:r>
              <w:rPr>
                <w:rFonts w:ascii="宋体" w:hAnsi="宋体" w:eastAsia="宋体" w:cs="宋体"/>
                <w:sz w:val="21"/>
                <w:szCs w:val="21"/>
              </w:rPr>
              <w:t>月</w:t>
            </w:r>
            <w:r>
              <w:rPr>
                <w:rFonts w:ascii="Times New Roman" w:hAnsi="Times New Roman" w:eastAsia="Times New Roman" w:cs="Times New Roman"/>
                <w:sz w:val="21"/>
                <w:szCs w:val="21"/>
              </w:rPr>
              <w:t>08</w:t>
            </w:r>
            <w:r>
              <w:rPr>
                <w:rFonts w:ascii="Times New Roman" w:hAnsi="Times New Roman" w:eastAsia="Times New Roman" w:cs="Times New Roman"/>
                <w:spacing w:val="-2"/>
                <w:sz w:val="21"/>
                <w:szCs w:val="21"/>
              </w:rPr>
              <w:t xml:space="preserve"> </w:t>
            </w:r>
            <w:r>
              <w:rPr>
                <w:rFonts w:ascii="宋体" w:hAnsi="宋体" w:eastAsia="宋体" w:cs="宋体"/>
                <w:sz w:val="21"/>
                <w:szCs w:val="21"/>
              </w:rPr>
              <w:t>日</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34" w:line="281" w:lineRule="exact"/>
              <w:ind w:right="0" w:firstLine="0" w:firstLineChars="0"/>
              <w:jc w:val="center"/>
              <w:textAlignment w:val="auto"/>
              <w:rPr>
                <w:rFonts w:ascii="宋体" w:hAnsi="宋体" w:eastAsia="宋体" w:cs="宋体"/>
                <w:sz w:val="21"/>
                <w:szCs w:val="21"/>
              </w:rPr>
            </w:pPr>
            <w:r>
              <w:rPr>
                <w:rFonts w:ascii="Times New Roman" w:hAnsi="Times New Roman" w:eastAsia="Times New Roman" w:cs="Times New Roman"/>
                <w:sz w:val="21"/>
                <w:szCs w:val="21"/>
              </w:rPr>
              <w:t>03</w:t>
            </w:r>
            <w:r>
              <w:rPr>
                <w:rFonts w:ascii="宋体" w:hAnsi="宋体" w:eastAsia="宋体" w:cs="宋体"/>
                <w:sz w:val="21"/>
                <w:szCs w:val="21"/>
              </w:rPr>
              <w:t>月</w:t>
            </w:r>
            <w:r>
              <w:rPr>
                <w:rFonts w:ascii="宋体" w:hAnsi="宋体" w:eastAsia="宋体" w:cs="宋体"/>
                <w:spacing w:val="-73"/>
                <w:sz w:val="21"/>
                <w:szCs w:val="21"/>
              </w:rPr>
              <w:t xml:space="preserve"> </w:t>
            </w:r>
            <w:r>
              <w:rPr>
                <w:rFonts w:ascii="Times New Roman" w:hAnsi="Times New Roman" w:eastAsia="Times New Roman" w:cs="Times New Roman"/>
                <w:sz w:val="21"/>
                <w:szCs w:val="21"/>
              </w:rPr>
              <w:t>09</w:t>
            </w:r>
            <w:r>
              <w:rPr>
                <w:rFonts w:ascii="宋体" w:hAnsi="宋体" w:eastAsia="宋体" w:cs="宋体"/>
                <w:w w:val="99"/>
                <w:sz w:val="21"/>
                <w:szCs w:val="21"/>
              </w:rPr>
              <w:t>日</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34" w:line="281" w:lineRule="exact"/>
              <w:ind w:right="44" w:firstLine="0" w:firstLineChars="0"/>
              <w:jc w:val="center"/>
              <w:textAlignment w:val="auto"/>
              <w:rPr>
                <w:rFonts w:ascii="宋体" w:hAnsi="宋体" w:eastAsia="宋体" w:cs="宋体"/>
                <w:sz w:val="21"/>
                <w:szCs w:val="21"/>
              </w:rPr>
            </w:pPr>
            <w:r>
              <w:rPr>
                <w:rFonts w:ascii="Times New Roman" w:hAnsi="Times New Roman" w:eastAsia="Times New Roman" w:cs="Times New Roman"/>
                <w:sz w:val="21"/>
                <w:szCs w:val="21"/>
              </w:rPr>
              <w:t>03</w:t>
            </w:r>
            <w:r>
              <w:rPr>
                <w:rFonts w:ascii="宋体" w:hAnsi="宋体" w:eastAsia="宋体" w:cs="宋体"/>
                <w:sz w:val="21"/>
                <w:szCs w:val="21"/>
              </w:rPr>
              <w:t>月</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10</w:t>
            </w:r>
            <w:r>
              <w:rPr>
                <w:rFonts w:ascii="宋体" w:hAnsi="宋体" w:eastAsia="宋体" w:cs="宋体"/>
                <w:w w:val="99"/>
                <w:sz w:val="21"/>
                <w:szCs w:val="21"/>
              </w:rPr>
              <w:t>日</w:t>
            </w:r>
          </w:p>
        </w:tc>
        <w:tc>
          <w:tcPr>
            <w:tcW w:w="581" w:type="dxa"/>
            <w:vMerge w:val="continue"/>
            <w:tcBorders>
              <w:tl2br w:val="nil"/>
              <w:tr2bl w:val="nil"/>
            </w:tcBorders>
            <w:noWrap w:val="0"/>
            <w:vAlign w:val="center"/>
          </w:tcPr>
          <w:p>
            <w:pPr>
              <w:keepNext w:val="0"/>
              <w:keepLines w:val="0"/>
              <w:pageBreakBefore w:val="0"/>
              <w:widowControl/>
              <w:kinsoku/>
              <w:wordWrap/>
              <w:overflowPunct/>
              <w:topLinePunct w:val="0"/>
              <w:bidi w:val="0"/>
              <w:adjustRightInd/>
              <w:snapToGrid/>
              <w:ind w:firstLine="0" w:firstLineChars="0"/>
              <w:jc w:val="center"/>
              <w:textAlignment w:val="auto"/>
            </w:pP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pPr>
            <w:r>
              <w:rPr>
                <w:rFonts w:hint="eastAsia" w:ascii="Times New Roman"/>
                <w:sz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pH</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无量纲</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8.02</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8.10</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8.14</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8.01</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8.15</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8.21</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6-9</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Times New Roman" w:hAnsi="宋体" w:cs="宋体"/>
                <w:sz w:val="21"/>
              </w:rPr>
            </w:pPr>
            <w:r>
              <w:rPr>
                <w:rFonts w:hint="eastAsia" w:eastAsia="宋体" w:cs="宋体"/>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氨氮</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0.426</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0.431</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0.436</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0.534</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0.539</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0.542</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≤1.0</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Times New Roman" w:hAnsi="宋体" w:cs="宋体"/>
                <w:sz w:val="21"/>
              </w:rPr>
            </w:pPr>
            <w:r>
              <w:rPr>
                <w:rFonts w:hint="eastAsia" w:ascii="Times New Roman"/>
                <w:sz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81"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五日生化需</w:t>
            </w:r>
          </w:p>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氧量</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3.4</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3.1</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2.7</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3.9</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3.3</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2.9</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≤4</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Times New Roman" w:hAnsi="宋体" w:cs="宋体"/>
                <w:sz w:val="21"/>
              </w:rPr>
            </w:pPr>
            <w:r>
              <w:rPr>
                <w:rFonts w:hint="eastAsia" w:eastAsia="宋体" w:cs="宋体"/>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化学需氧量</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15</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14</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12</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17</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15</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13</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≤20</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Times New Roman" w:hAnsi="宋体" w:cs="宋体"/>
                <w:sz w:val="21"/>
              </w:rPr>
            </w:pPr>
            <w:r>
              <w:rPr>
                <w:rFonts w:hint="eastAsia" w:ascii="Times New Roman"/>
                <w:sz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悬浮物</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16</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15</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13</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18</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16</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14</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Times New Roman" w:hAnsi="宋体" w:cs="宋体"/>
                <w:sz w:val="21"/>
              </w:rPr>
            </w:pPr>
            <w:r>
              <w:rPr>
                <w:rFonts w:hint="eastAsia" w:eastAsia="宋体" w:cs="宋体"/>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05"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溶解氧</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6.5</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7.0</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6.9</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6.0</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6.5</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6.1</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≥5</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Times New Roman" w:hAnsi="宋体" w:cs="宋体"/>
                <w:sz w:val="21"/>
              </w:rPr>
            </w:pPr>
            <w:r>
              <w:rPr>
                <w:rFonts w:hint="eastAsia" w:ascii="Times New Roman"/>
                <w:sz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总磷</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0.07</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0.05</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0.05</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0.08</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0.06</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0.07</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≤0.2</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Times New Roman" w:hAnsi="宋体" w:cs="宋体"/>
                <w:sz w:val="21"/>
              </w:rPr>
            </w:pPr>
            <w:r>
              <w:rPr>
                <w:rFonts w:hint="eastAsia" w:eastAsia="宋体" w:cs="宋体"/>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总氮</w:t>
            </w:r>
          </w:p>
        </w:tc>
        <w:tc>
          <w:tcPr>
            <w:tcW w:w="84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mg/L</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0.76</w:t>
            </w:r>
          </w:p>
        </w:tc>
        <w:tc>
          <w:tcPr>
            <w:tcW w:w="825"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0.81</w:t>
            </w:r>
          </w:p>
        </w:tc>
        <w:tc>
          <w:tcPr>
            <w:tcW w:w="91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0.76</w:t>
            </w:r>
          </w:p>
        </w:tc>
        <w:tc>
          <w:tcPr>
            <w:tcW w:w="822"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0.87</w:t>
            </w:r>
          </w:p>
        </w:tc>
        <w:tc>
          <w:tcPr>
            <w:tcW w:w="893"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0.92</w:t>
            </w:r>
          </w:p>
        </w:tc>
        <w:tc>
          <w:tcPr>
            <w:tcW w:w="808"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0.88</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≤1.0</w:t>
            </w:r>
          </w:p>
        </w:tc>
        <w:tc>
          <w:tcPr>
            <w:tcW w:w="581" w:type="dxa"/>
            <w:tcBorders>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Times New Roman" w:hAnsi="宋体" w:cs="宋体"/>
                <w:sz w:val="21"/>
              </w:rPr>
            </w:pPr>
            <w:r>
              <w:rPr>
                <w:rFonts w:hint="eastAsia" w:ascii="Times New Roman"/>
                <w:sz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434" w:hRule="exact"/>
          <w:jc w:val="center"/>
        </w:trPr>
        <w:tc>
          <w:tcPr>
            <w:tcW w:w="1144" w:type="dxa"/>
            <w:tcBorders>
              <w:bottom w:val="single" w:color="000000" w:sz="8" w:space="0"/>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石油类</w:t>
            </w:r>
          </w:p>
        </w:tc>
        <w:tc>
          <w:tcPr>
            <w:tcW w:w="848" w:type="dxa"/>
            <w:tcBorders>
              <w:bottom w:val="single" w:color="000000" w:sz="8" w:space="0"/>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mg/L</w:t>
            </w:r>
          </w:p>
        </w:tc>
        <w:tc>
          <w:tcPr>
            <w:tcW w:w="825" w:type="dxa"/>
            <w:tcBorders>
              <w:bottom w:val="single" w:color="000000" w:sz="8" w:space="0"/>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5" w:type="dxa"/>
            <w:tcBorders>
              <w:bottom w:val="single" w:color="000000" w:sz="8" w:space="0"/>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911" w:type="dxa"/>
            <w:tcBorders>
              <w:bottom w:val="single" w:color="000000" w:sz="8" w:space="0"/>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2" w:type="dxa"/>
            <w:tcBorders>
              <w:bottom w:val="single" w:color="000000" w:sz="8" w:space="0"/>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93" w:type="dxa"/>
            <w:tcBorders>
              <w:bottom w:val="single" w:color="000000" w:sz="8" w:space="0"/>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08" w:type="dxa"/>
            <w:tcBorders>
              <w:bottom w:val="single" w:color="000000" w:sz="8" w:space="0"/>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581" w:type="dxa"/>
            <w:tcBorders>
              <w:bottom w:val="single" w:color="000000" w:sz="8" w:space="0"/>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≤0.05</w:t>
            </w:r>
          </w:p>
        </w:tc>
        <w:tc>
          <w:tcPr>
            <w:tcW w:w="581" w:type="dxa"/>
            <w:tcBorders>
              <w:bottom w:val="single" w:color="000000" w:sz="8" w:space="0"/>
              <w:tl2br w:val="nil"/>
              <w:tr2bl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Times New Roman" w:hAnsi="宋体" w:cs="宋体"/>
                <w:sz w:val="21"/>
              </w:rPr>
            </w:pPr>
            <w:r>
              <w:rPr>
                <w:rFonts w:hint="eastAsia" w:eastAsia="宋体" w:cs="宋体"/>
                <w:sz w:val="21"/>
                <w:szCs w:val="21"/>
                <w:lang w:val="en-US" w:eastAsia="zh-CN"/>
              </w:rPr>
              <w:t>是</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803" w:hRule="exact"/>
          <w:jc w:val="center"/>
        </w:trPr>
        <w:tc>
          <w:tcPr>
            <w:tcW w:w="1144" w:type="dxa"/>
            <w:tcBorders>
              <w:top w:val="single" w:color="000000" w:sz="8" w:space="0"/>
              <w:left w:val="nil"/>
              <w:bottom w:val="single" w:color="000000" w:sz="8"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阴离子表面活性剂</w:t>
            </w:r>
          </w:p>
        </w:tc>
        <w:tc>
          <w:tcPr>
            <w:tcW w:w="848" w:type="dxa"/>
            <w:tcBorders>
              <w:top w:val="single" w:color="000000" w:sz="8" w:space="0"/>
              <w:bottom w:val="single" w:color="000000" w:sz="8"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mg/L</w:t>
            </w:r>
          </w:p>
        </w:tc>
        <w:tc>
          <w:tcPr>
            <w:tcW w:w="825" w:type="dxa"/>
            <w:tcBorders>
              <w:top w:val="single" w:color="000000" w:sz="8" w:space="0"/>
              <w:bottom w:val="single" w:color="000000" w:sz="8"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5" w:type="dxa"/>
            <w:tcBorders>
              <w:top w:val="single" w:color="000000" w:sz="8" w:space="0"/>
              <w:bottom w:val="single" w:color="000000" w:sz="8"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911" w:type="dxa"/>
            <w:tcBorders>
              <w:top w:val="single" w:color="000000" w:sz="8" w:space="0"/>
              <w:bottom w:val="single" w:color="000000" w:sz="8"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2" w:type="dxa"/>
            <w:tcBorders>
              <w:top w:val="single" w:color="000000" w:sz="8" w:space="0"/>
              <w:bottom w:val="single" w:color="000000" w:sz="8"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93" w:type="dxa"/>
            <w:tcBorders>
              <w:top w:val="single" w:color="000000" w:sz="8" w:space="0"/>
              <w:bottom w:val="single" w:color="000000" w:sz="8"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08" w:type="dxa"/>
            <w:tcBorders>
              <w:top w:val="single" w:color="000000" w:sz="8" w:space="0"/>
              <w:bottom w:val="single" w:color="000000" w:sz="8"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581" w:type="dxa"/>
            <w:tcBorders>
              <w:top w:val="single" w:color="000000" w:sz="8"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≤0.2</w:t>
            </w:r>
          </w:p>
        </w:tc>
        <w:tc>
          <w:tcPr>
            <w:tcW w:w="581" w:type="dxa"/>
            <w:tcBorders>
              <w:top w:val="single" w:color="000000" w:sz="8"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Times New Roman" w:hAnsi="宋体" w:cs="宋体"/>
                <w:sz w:val="21"/>
              </w:rPr>
            </w:pPr>
            <w:r>
              <w:rPr>
                <w:rFonts w:hint="eastAsia" w:ascii="Times New Roman"/>
                <w:sz w:val="21"/>
                <w:lang w:val="en-US" w:eastAsia="zh-CN"/>
              </w:rPr>
              <w:t>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PrEx>
        <w:trPr>
          <w:trHeight w:val="424" w:hRule="exact"/>
          <w:jc w:val="center"/>
        </w:trPr>
        <w:tc>
          <w:tcPr>
            <w:tcW w:w="1144" w:type="dxa"/>
            <w:tcBorders>
              <w:top w:val="single" w:color="000000" w:sz="8" w:space="0"/>
              <w:left w:val="nil"/>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挥发酚</w:t>
            </w:r>
          </w:p>
        </w:tc>
        <w:tc>
          <w:tcPr>
            <w:tcW w:w="848"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mg/L</w:t>
            </w:r>
          </w:p>
        </w:tc>
        <w:tc>
          <w:tcPr>
            <w:tcW w:w="825"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0.0016</w:t>
            </w:r>
          </w:p>
        </w:tc>
        <w:tc>
          <w:tcPr>
            <w:tcW w:w="825"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0.0016</w:t>
            </w:r>
          </w:p>
        </w:tc>
        <w:tc>
          <w:tcPr>
            <w:tcW w:w="911"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0.0016</w:t>
            </w:r>
          </w:p>
        </w:tc>
        <w:tc>
          <w:tcPr>
            <w:tcW w:w="822"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0.0017</w:t>
            </w:r>
          </w:p>
        </w:tc>
        <w:tc>
          <w:tcPr>
            <w:tcW w:w="893"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0.0018</w:t>
            </w:r>
          </w:p>
        </w:tc>
        <w:tc>
          <w:tcPr>
            <w:tcW w:w="808"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0.0018</w:t>
            </w:r>
          </w:p>
        </w:tc>
        <w:tc>
          <w:tcPr>
            <w:tcW w:w="581" w:type="dxa"/>
            <w:tcBorders>
              <w:top w:val="single" w:color="000000" w:sz="8" w:space="0"/>
              <w:left w:val="single" w:color="000000" w:sz="4"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≤0.005</w:t>
            </w:r>
          </w:p>
        </w:tc>
        <w:tc>
          <w:tcPr>
            <w:tcW w:w="581" w:type="dxa"/>
            <w:tcBorders>
              <w:top w:val="single" w:color="000000" w:sz="8" w:space="0"/>
              <w:left w:val="single" w:color="000000" w:sz="4"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Times New Roman" w:hAnsi="宋体" w:cs="宋体"/>
                <w:sz w:val="21"/>
              </w:rPr>
            </w:pPr>
            <w:r>
              <w:rPr>
                <w:rFonts w:hint="eastAsia" w:eastAsia="宋体" w:cs="宋体"/>
                <w:sz w:val="21"/>
                <w:szCs w:val="21"/>
                <w:lang w:val="en-US" w:eastAsia="zh-CN"/>
              </w:rPr>
              <w:t>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PrEx>
        <w:trPr>
          <w:trHeight w:val="434" w:hRule="exact"/>
          <w:jc w:val="center"/>
        </w:trPr>
        <w:tc>
          <w:tcPr>
            <w:tcW w:w="1144" w:type="dxa"/>
            <w:tcBorders>
              <w:top w:val="single" w:color="000000" w:sz="8" w:space="0"/>
              <w:left w:val="nil"/>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粪大肠菌群</w:t>
            </w:r>
          </w:p>
        </w:tc>
        <w:tc>
          <w:tcPr>
            <w:tcW w:w="848"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MPN/L</w:t>
            </w:r>
          </w:p>
        </w:tc>
        <w:tc>
          <w:tcPr>
            <w:tcW w:w="825"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2100</w:t>
            </w:r>
          </w:p>
        </w:tc>
        <w:tc>
          <w:tcPr>
            <w:tcW w:w="825"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2000</w:t>
            </w:r>
          </w:p>
        </w:tc>
        <w:tc>
          <w:tcPr>
            <w:tcW w:w="911"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2300</w:t>
            </w:r>
          </w:p>
        </w:tc>
        <w:tc>
          <w:tcPr>
            <w:tcW w:w="822"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2600</w:t>
            </w:r>
          </w:p>
        </w:tc>
        <w:tc>
          <w:tcPr>
            <w:tcW w:w="893"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2500</w:t>
            </w:r>
          </w:p>
        </w:tc>
        <w:tc>
          <w:tcPr>
            <w:tcW w:w="808"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2900</w:t>
            </w:r>
          </w:p>
        </w:tc>
        <w:tc>
          <w:tcPr>
            <w:tcW w:w="581" w:type="dxa"/>
            <w:tcBorders>
              <w:top w:val="single" w:color="000000" w:sz="8" w:space="0"/>
              <w:left w:val="single" w:color="000000" w:sz="4"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≤10000</w:t>
            </w:r>
          </w:p>
        </w:tc>
        <w:tc>
          <w:tcPr>
            <w:tcW w:w="581" w:type="dxa"/>
            <w:tcBorders>
              <w:top w:val="single" w:color="000000" w:sz="8" w:space="0"/>
              <w:left w:val="single" w:color="000000" w:sz="4"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Times New Roman" w:hAnsi="宋体" w:cs="宋体"/>
                <w:sz w:val="21"/>
              </w:rPr>
            </w:pPr>
            <w:r>
              <w:rPr>
                <w:rFonts w:hint="eastAsia" w:ascii="Times New Roman"/>
                <w:sz w:val="21"/>
                <w:lang w:val="en-US" w:eastAsia="zh-CN"/>
              </w:rPr>
              <w:t>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PrEx>
        <w:trPr>
          <w:trHeight w:val="411" w:hRule="exact"/>
          <w:jc w:val="center"/>
        </w:trPr>
        <w:tc>
          <w:tcPr>
            <w:tcW w:w="1144" w:type="dxa"/>
            <w:tcBorders>
              <w:top w:val="single" w:color="000000" w:sz="8" w:space="0"/>
              <w:left w:val="nil"/>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砷</w:t>
            </w:r>
          </w:p>
        </w:tc>
        <w:tc>
          <w:tcPr>
            <w:tcW w:w="848"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mg/L</w:t>
            </w:r>
          </w:p>
        </w:tc>
        <w:tc>
          <w:tcPr>
            <w:tcW w:w="825"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5"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911"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2"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93"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08"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581" w:type="dxa"/>
            <w:tcBorders>
              <w:top w:val="single" w:color="000000" w:sz="8" w:space="0"/>
              <w:left w:val="single" w:color="000000" w:sz="4"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≤0.05</w:t>
            </w:r>
          </w:p>
        </w:tc>
        <w:tc>
          <w:tcPr>
            <w:tcW w:w="581" w:type="dxa"/>
            <w:tcBorders>
              <w:top w:val="single" w:color="000000" w:sz="8" w:space="0"/>
              <w:left w:val="single" w:color="000000" w:sz="4"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Times New Roman" w:hAnsi="宋体" w:cs="宋体"/>
                <w:sz w:val="21"/>
              </w:rPr>
            </w:pPr>
            <w:r>
              <w:rPr>
                <w:rFonts w:hint="eastAsia" w:eastAsia="宋体" w:cs="宋体"/>
                <w:sz w:val="21"/>
                <w:szCs w:val="21"/>
                <w:lang w:val="en-US" w:eastAsia="zh-CN"/>
              </w:rPr>
              <w:t>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PrEx>
        <w:trPr>
          <w:trHeight w:val="408" w:hRule="exact"/>
          <w:jc w:val="center"/>
        </w:trPr>
        <w:tc>
          <w:tcPr>
            <w:tcW w:w="1144" w:type="dxa"/>
            <w:tcBorders>
              <w:top w:val="single" w:color="000000" w:sz="8" w:space="0"/>
              <w:left w:val="nil"/>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锌</w:t>
            </w:r>
          </w:p>
        </w:tc>
        <w:tc>
          <w:tcPr>
            <w:tcW w:w="848"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mg/L</w:t>
            </w:r>
          </w:p>
        </w:tc>
        <w:tc>
          <w:tcPr>
            <w:tcW w:w="825"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5"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911"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2"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93"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08"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581" w:type="dxa"/>
            <w:tcBorders>
              <w:top w:val="single" w:color="000000" w:sz="8" w:space="0"/>
              <w:left w:val="single" w:color="000000" w:sz="4"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≤1.0</w:t>
            </w:r>
          </w:p>
        </w:tc>
        <w:tc>
          <w:tcPr>
            <w:tcW w:w="581" w:type="dxa"/>
            <w:tcBorders>
              <w:top w:val="single" w:color="000000" w:sz="8" w:space="0"/>
              <w:left w:val="single" w:color="000000" w:sz="4"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Times New Roman" w:hAnsi="宋体" w:cs="宋体"/>
                <w:sz w:val="21"/>
              </w:rPr>
            </w:pPr>
            <w:r>
              <w:rPr>
                <w:rFonts w:hint="eastAsia" w:ascii="Times New Roman"/>
                <w:sz w:val="21"/>
                <w:lang w:val="en-US" w:eastAsia="zh-CN"/>
              </w:rPr>
              <w:t>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PrEx>
        <w:trPr>
          <w:trHeight w:val="434" w:hRule="exact"/>
          <w:jc w:val="center"/>
        </w:trPr>
        <w:tc>
          <w:tcPr>
            <w:tcW w:w="1144" w:type="dxa"/>
            <w:tcBorders>
              <w:top w:val="single" w:color="000000" w:sz="8" w:space="0"/>
              <w:left w:val="nil"/>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锰</w:t>
            </w:r>
          </w:p>
        </w:tc>
        <w:tc>
          <w:tcPr>
            <w:tcW w:w="848"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mg/L</w:t>
            </w:r>
          </w:p>
        </w:tc>
        <w:tc>
          <w:tcPr>
            <w:tcW w:w="825"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5"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911"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2"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93"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08"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581" w:type="dxa"/>
            <w:tcBorders>
              <w:top w:val="single" w:color="000000" w:sz="8" w:space="0"/>
              <w:left w:val="single" w:color="000000" w:sz="4"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w:t>
            </w:r>
          </w:p>
        </w:tc>
        <w:tc>
          <w:tcPr>
            <w:tcW w:w="581" w:type="dxa"/>
            <w:tcBorders>
              <w:top w:val="single" w:color="000000" w:sz="8" w:space="0"/>
              <w:left w:val="single" w:color="000000" w:sz="4"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Times New Roman" w:hAnsi="宋体" w:cs="宋体"/>
                <w:sz w:val="21"/>
              </w:rPr>
            </w:pPr>
            <w:r>
              <w:rPr>
                <w:rFonts w:hint="eastAsia" w:eastAsia="宋体" w:cs="宋体"/>
                <w:sz w:val="21"/>
                <w:szCs w:val="21"/>
                <w:lang w:val="en-US" w:eastAsia="zh-CN"/>
              </w:rPr>
              <w:t>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PrEx>
        <w:trPr>
          <w:trHeight w:val="434" w:hRule="exact"/>
          <w:jc w:val="center"/>
        </w:trPr>
        <w:tc>
          <w:tcPr>
            <w:tcW w:w="1144" w:type="dxa"/>
            <w:tcBorders>
              <w:top w:val="single" w:color="000000" w:sz="8" w:space="0"/>
              <w:left w:val="nil"/>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六价铬</w:t>
            </w:r>
          </w:p>
        </w:tc>
        <w:tc>
          <w:tcPr>
            <w:tcW w:w="848"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mg/L</w:t>
            </w:r>
          </w:p>
        </w:tc>
        <w:tc>
          <w:tcPr>
            <w:tcW w:w="825"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5"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911"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2"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93"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08"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581" w:type="dxa"/>
            <w:tcBorders>
              <w:top w:val="single" w:color="000000" w:sz="8" w:space="0"/>
              <w:left w:val="single" w:color="000000" w:sz="4"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≤0.05</w:t>
            </w:r>
          </w:p>
        </w:tc>
        <w:tc>
          <w:tcPr>
            <w:tcW w:w="581" w:type="dxa"/>
            <w:tcBorders>
              <w:top w:val="single" w:color="000000" w:sz="8" w:space="0"/>
              <w:left w:val="single" w:color="000000" w:sz="4"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Times New Roman" w:hAnsi="宋体" w:cs="宋体"/>
                <w:sz w:val="21"/>
              </w:rPr>
            </w:pPr>
            <w:r>
              <w:rPr>
                <w:rFonts w:hint="eastAsia" w:ascii="Times New Roman"/>
                <w:sz w:val="21"/>
                <w:lang w:val="en-US" w:eastAsia="zh-CN"/>
              </w:rPr>
              <w:t>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PrEx>
        <w:trPr>
          <w:trHeight w:val="434" w:hRule="exact"/>
          <w:jc w:val="center"/>
        </w:trPr>
        <w:tc>
          <w:tcPr>
            <w:tcW w:w="1144" w:type="dxa"/>
            <w:tcBorders>
              <w:top w:val="single" w:color="000000" w:sz="8" w:space="0"/>
              <w:left w:val="nil"/>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hint="default" w:ascii="Times New Roman" w:hAnsi="宋体" w:cs="宋体"/>
                <w:sz w:val="21"/>
              </w:rPr>
            </w:pPr>
            <w:r>
              <w:rPr>
                <w:rFonts w:hint="default" w:ascii="Times New Roman" w:hAnsi="宋体" w:cs="宋体"/>
                <w:sz w:val="21"/>
              </w:rPr>
              <w:t>铅</w:t>
            </w:r>
          </w:p>
        </w:tc>
        <w:tc>
          <w:tcPr>
            <w:tcW w:w="848"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mg/L</w:t>
            </w:r>
          </w:p>
        </w:tc>
        <w:tc>
          <w:tcPr>
            <w:tcW w:w="825"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5"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911"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2"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93"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08"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581" w:type="dxa"/>
            <w:tcBorders>
              <w:top w:val="single" w:color="000000" w:sz="8" w:space="0"/>
              <w:left w:val="single" w:color="000000" w:sz="4"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≤0.05</w:t>
            </w:r>
          </w:p>
        </w:tc>
        <w:tc>
          <w:tcPr>
            <w:tcW w:w="581" w:type="dxa"/>
            <w:tcBorders>
              <w:top w:val="single" w:color="000000" w:sz="8" w:space="0"/>
              <w:left w:val="single" w:color="000000" w:sz="4"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Times New Roman" w:hAnsi="宋体" w:cs="宋体"/>
                <w:sz w:val="21"/>
              </w:rPr>
            </w:pPr>
            <w:r>
              <w:rPr>
                <w:rFonts w:hint="eastAsia" w:eastAsia="宋体" w:cs="宋体"/>
                <w:sz w:val="21"/>
                <w:szCs w:val="21"/>
                <w:lang w:val="en-US" w:eastAsia="zh-CN"/>
              </w:rPr>
              <w:t>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PrEx>
        <w:trPr>
          <w:trHeight w:val="434" w:hRule="exact"/>
          <w:jc w:val="center"/>
        </w:trPr>
        <w:tc>
          <w:tcPr>
            <w:tcW w:w="1144" w:type="dxa"/>
            <w:tcBorders>
              <w:top w:val="single" w:color="000000" w:sz="8" w:space="0"/>
              <w:left w:val="nil"/>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hint="default" w:ascii="Times New Roman" w:hAnsi="宋体" w:cs="宋体"/>
                <w:sz w:val="21"/>
              </w:rPr>
            </w:pPr>
            <w:r>
              <w:rPr>
                <w:rFonts w:hint="default" w:ascii="Times New Roman" w:hAnsi="宋体" w:cs="宋体"/>
                <w:sz w:val="21"/>
              </w:rPr>
              <w:t>镉</w:t>
            </w:r>
          </w:p>
        </w:tc>
        <w:tc>
          <w:tcPr>
            <w:tcW w:w="848"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mg/L</w:t>
            </w:r>
          </w:p>
        </w:tc>
        <w:tc>
          <w:tcPr>
            <w:tcW w:w="825"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5"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911"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2"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93"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08"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581" w:type="dxa"/>
            <w:tcBorders>
              <w:top w:val="single" w:color="000000" w:sz="8" w:space="0"/>
              <w:left w:val="single" w:color="000000" w:sz="4"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≤0.005</w:t>
            </w:r>
          </w:p>
        </w:tc>
        <w:tc>
          <w:tcPr>
            <w:tcW w:w="581" w:type="dxa"/>
            <w:tcBorders>
              <w:top w:val="single" w:color="000000" w:sz="8" w:space="0"/>
              <w:left w:val="single" w:color="000000" w:sz="4"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Times New Roman" w:hAnsi="宋体" w:cs="宋体"/>
                <w:sz w:val="21"/>
              </w:rPr>
            </w:pPr>
            <w:r>
              <w:rPr>
                <w:rFonts w:hint="eastAsia" w:ascii="Times New Roman"/>
                <w:sz w:val="21"/>
                <w:lang w:val="en-US" w:eastAsia="zh-CN"/>
              </w:rPr>
              <w:t>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PrEx>
        <w:trPr>
          <w:trHeight w:val="434" w:hRule="exact"/>
          <w:jc w:val="center"/>
        </w:trPr>
        <w:tc>
          <w:tcPr>
            <w:tcW w:w="1144" w:type="dxa"/>
            <w:tcBorders>
              <w:top w:val="single" w:color="000000" w:sz="8" w:space="0"/>
              <w:left w:val="nil"/>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总铬</w:t>
            </w:r>
          </w:p>
        </w:tc>
        <w:tc>
          <w:tcPr>
            <w:tcW w:w="848"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mg/L</w:t>
            </w:r>
          </w:p>
        </w:tc>
        <w:tc>
          <w:tcPr>
            <w:tcW w:w="825"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5"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911"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2"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93"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08" w:type="dxa"/>
            <w:tcBorders>
              <w:top w:val="single" w:color="000000" w:sz="8" w:space="0"/>
              <w:left w:val="single" w:color="000000" w:sz="4" w:space="0"/>
              <w:bottom w:val="single" w:color="000000" w:sz="8"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581" w:type="dxa"/>
            <w:tcBorders>
              <w:top w:val="single" w:color="000000" w:sz="8" w:space="0"/>
              <w:left w:val="single" w:color="000000" w:sz="4"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w:t>
            </w:r>
          </w:p>
        </w:tc>
        <w:tc>
          <w:tcPr>
            <w:tcW w:w="581" w:type="dxa"/>
            <w:tcBorders>
              <w:top w:val="single" w:color="000000" w:sz="8" w:space="0"/>
              <w:left w:val="single" w:color="000000" w:sz="4" w:space="0"/>
              <w:bottom w:val="single" w:color="000000" w:sz="8" w:space="0"/>
              <w:right w:val="nil"/>
            </w:tcBorders>
            <w:noWrap w:val="0"/>
            <w:vAlign w:val="center"/>
          </w:tcPr>
          <w:p>
            <w:pPr>
              <w:pStyle w:val="104"/>
              <w:keepNext w:val="0"/>
              <w:keepLines w:val="0"/>
              <w:pageBreakBefore w:val="0"/>
              <w:widowControl/>
              <w:kinsoku/>
              <w:wordWrap/>
              <w:overflowPunct/>
              <w:topLinePunct w:val="0"/>
              <w:bidi w:val="0"/>
              <w:adjustRightInd/>
              <w:snapToGrid/>
              <w:spacing w:before="60" w:line="240" w:lineRule="auto"/>
              <w:ind w:right="0" w:rightChars="0" w:firstLine="0" w:firstLineChars="0"/>
              <w:jc w:val="center"/>
              <w:textAlignment w:val="auto"/>
              <w:rPr>
                <w:rFonts w:ascii="Times New Roman" w:hAnsi="宋体" w:cs="宋体"/>
                <w:sz w:val="21"/>
              </w:rPr>
            </w:pPr>
            <w:r>
              <w:rPr>
                <w:rFonts w:hint="eastAsia" w:eastAsia="宋体" w:cs="宋体"/>
                <w:sz w:val="21"/>
                <w:szCs w:val="21"/>
                <w:lang w:val="en-US" w:eastAsia="zh-CN"/>
              </w:rPr>
              <w:t>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PrEx>
        <w:trPr>
          <w:trHeight w:val="539" w:hRule="exact"/>
          <w:jc w:val="center"/>
        </w:trPr>
        <w:tc>
          <w:tcPr>
            <w:tcW w:w="1144" w:type="dxa"/>
            <w:tcBorders>
              <w:top w:val="single" w:color="000000" w:sz="8" w:space="0"/>
              <w:left w:val="nil"/>
              <w:bottom w:val="single" w:color="000000" w:sz="12"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总钒</w:t>
            </w:r>
          </w:p>
        </w:tc>
        <w:tc>
          <w:tcPr>
            <w:tcW w:w="848" w:type="dxa"/>
            <w:tcBorders>
              <w:top w:val="single" w:color="000000" w:sz="8" w:space="0"/>
              <w:left w:val="single" w:color="000000" w:sz="4" w:space="0"/>
              <w:bottom w:val="single" w:color="000000" w:sz="12"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mg/L</w:t>
            </w:r>
          </w:p>
        </w:tc>
        <w:tc>
          <w:tcPr>
            <w:tcW w:w="825" w:type="dxa"/>
            <w:tcBorders>
              <w:top w:val="single" w:color="000000" w:sz="8" w:space="0"/>
              <w:left w:val="single" w:color="000000" w:sz="4" w:space="0"/>
              <w:bottom w:val="single" w:color="000000" w:sz="12"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5" w:type="dxa"/>
            <w:tcBorders>
              <w:top w:val="single" w:color="000000" w:sz="8" w:space="0"/>
              <w:left w:val="single" w:color="000000" w:sz="4" w:space="0"/>
              <w:bottom w:val="single" w:color="000000" w:sz="12"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911" w:type="dxa"/>
            <w:tcBorders>
              <w:top w:val="single" w:color="000000" w:sz="8" w:space="0"/>
              <w:left w:val="single" w:color="000000" w:sz="4" w:space="0"/>
              <w:bottom w:val="single" w:color="000000" w:sz="12"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22" w:type="dxa"/>
            <w:tcBorders>
              <w:top w:val="single" w:color="000000" w:sz="8" w:space="0"/>
              <w:left w:val="single" w:color="000000" w:sz="4" w:space="0"/>
              <w:bottom w:val="single" w:color="000000" w:sz="12"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93" w:type="dxa"/>
            <w:tcBorders>
              <w:top w:val="single" w:color="000000" w:sz="8" w:space="0"/>
              <w:left w:val="single" w:color="000000" w:sz="4" w:space="0"/>
              <w:bottom w:val="single" w:color="000000" w:sz="12"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808" w:type="dxa"/>
            <w:tcBorders>
              <w:top w:val="single" w:color="000000" w:sz="8" w:space="0"/>
              <w:left w:val="single" w:color="000000" w:sz="4" w:space="0"/>
              <w:bottom w:val="single" w:color="000000" w:sz="12" w:space="0"/>
              <w:right w:val="single" w:color="000000" w:sz="4" w:space="0"/>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ND</w:t>
            </w:r>
          </w:p>
        </w:tc>
        <w:tc>
          <w:tcPr>
            <w:tcW w:w="581" w:type="dxa"/>
            <w:tcBorders>
              <w:top w:val="single" w:color="000000" w:sz="8" w:space="0"/>
              <w:left w:val="single" w:color="000000" w:sz="4" w:space="0"/>
              <w:bottom w:val="single" w:color="000000" w:sz="12" w:space="0"/>
              <w:right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1" w:firstLine="0" w:firstLineChars="0"/>
              <w:jc w:val="center"/>
              <w:textAlignment w:val="auto"/>
              <w:rPr>
                <w:rFonts w:ascii="Times New Roman" w:hAnsi="宋体" w:cs="宋体"/>
                <w:sz w:val="21"/>
              </w:rPr>
            </w:pPr>
            <w:r>
              <w:rPr>
                <w:rFonts w:ascii="Times New Roman" w:hAnsi="宋体" w:cs="宋体"/>
                <w:sz w:val="21"/>
              </w:rPr>
              <w:t>/</w:t>
            </w:r>
          </w:p>
        </w:tc>
        <w:tc>
          <w:tcPr>
            <w:tcW w:w="581" w:type="dxa"/>
            <w:tcBorders>
              <w:top w:val="single" w:color="000000" w:sz="8" w:space="0"/>
              <w:left w:val="single" w:color="000000" w:sz="4" w:space="0"/>
              <w:bottom w:val="single" w:color="000000" w:sz="12" w:space="0"/>
              <w:right w:val="nil"/>
            </w:tcBorders>
            <w:noWrap w:val="0"/>
            <w:vAlign w:val="center"/>
          </w:tcPr>
          <w:p>
            <w:pPr>
              <w:pStyle w:val="104"/>
              <w:keepNext w:val="0"/>
              <w:keepLines w:val="0"/>
              <w:pageBreakBefore w:val="0"/>
              <w:widowControl/>
              <w:kinsoku/>
              <w:wordWrap/>
              <w:overflowPunct/>
              <w:topLinePunct w:val="0"/>
              <w:bidi w:val="0"/>
              <w:adjustRightInd/>
              <w:snapToGrid/>
              <w:spacing w:before="109" w:line="240" w:lineRule="auto"/>
              <w:ind w:right="0" w:rightChars="0" w:firstLine="0" w:firstLineChars="0"/>
              <w:jc w:val="center"/>
              <w:textAlignment w:val="auto"/>
              <w:rPr>
                <w:rFonts w:ascii="Times New Roman" w:hAnsi="宋体" w:cs="宋体"/>
                <w:sz w:val="21"/>
              </w:rPr>
            </w:pPr>
            <w:r>
              <w:rPr>
                <w:rFonts w:hint="eastAsia" w:ascii="Times New Roman"/>
                <w:sz w:val="21"/>
                <w:lang w:val="en-US" w:eastAsia="zh-CN"/>
              </w:rPr>
              <w:t>是</w:t>
            </w:r>
          </w:p>
        </w:tc>
      </w:tr>
    </w:tbl>
    <w:p>
      <w:pPr>
        <w:ind w:firstLine="480"/>
        <w:rPr>
          <w:u w:val="none"/>
        </w:rPr>
      </w:pPr>
      <w:r>
        <w:rPr>
          <w:rFonts w:hint="eastAsia"/>
          <w:u w:val="none"/>
        </w:rPr>
        <w:t>由</w:t>
      </w:r>
      <w:r>
        <w:rPr>
          <w:rFonts w:hint="eastAsia"/>
          <w:u w:val="none"/>
          <w:lang w:eastAsia="zh-CN"/>
        </w:rPr>
        <w:t>上</w:t>
      </w:r>
      <w:r>
        <w:rPr>
          <w:rFonts w:hint="eastAsia"/>
          <w:u w:val="none"/>
        </w:rPr>
        <w:t>表</w:t>
      </w:r>
      <w:r>
        <w:rPr>
          <w:u w:val="none"/>
        </w:rPr>
        <w:t>3.</w:t>
      </w:r>
      <w:r>
        <w:rPr>
          <w:rFonts w:hint="eastAsia"/>
          <w:u w:val="none"/>
          <w:lang w:val="en-US" w:eastAsia="zh-CN"/>
        </w:rPr>
        <w:t>6</w:t>
      </w:r>
      <w:r>
        <w:rPr>
          <w:u w:val="none"/>
        </w:rPr>
        <w:t>-</w:t>
      </w:r>
      <w:r>
        <w:rPr>
          <w:rFonts w:hint="eastAsia"/>
          <w:u w:val="none"/>
          <w:lang w:val="en-US" w:eastAsia="zh-CN"/>
        </w:rPr>
        <w:t>3</w:t>
      </w:r>
      <w:r>
        <w:rPr>
          <w:rFonts w:hint="eastAsia"/>
          <w:u w:val="none"/>
        </w:rPr>
        <w:t>可知：本项目地表水</w:t>
      </w:r>
      <w:r>
        <w:rPr>
          <w:rFonts w:hint="eastAsia"/>
          <w:u w:val="none"/>
          <w:lang w:val="en-US" w:eastAsia="zh-CN"/>
        </w:rPr>
        <w:t>花垣河</w:t>
      </w:r>
      <w:r>
        <w:rPr>
          <w:rFonts w:hint="eastAsia"/>
          <w:u w:val="none"/>
        </w:rPr>
        <w:t>监测断面</w:t>
      </w:r>
      <w:r>
        <w:rPr>
          <w:rFonts w:hint="eastAsia"/>
          <w:u w:val="none"/>
          <w:lang w:eastAsia="zh-CN"/>
        </w:rPr>
        <w:t>监测因子均能达到《地表水环境质量标准》（GB3838-2002）Ⅲ类标准要求</w:t>
      </w:r>
      <w:r>
        <w:rPr>
          <w:rFonts w:hint="eastAsia"/>
          <w:u w:val="none"/>
        </w:rPr>
        <w:t>。</w:t>
      </w:r>
    </w:p>
    <w:p>
      <w:pPr>
        <w:pStyle w:val="75"/>
        <w:rPr>
          <w:rFonts w:hint="eastAsia"/>
        </w:rPr>
      </w:pPr>
      <w:r>
        <w:t>3</w:t>
      </w:r>
      <w:r>
        <w:rPr>
          <w:rFonts w:hint="eastAsia"/>
        </w:rPr>
        <w:t>.</w:t>
      </w:r>
      <w:r>
        <w:rPr>
          <w:rFonts w:hint="eastAsia"/>
          <w:lang w:val="en-US" w:eastAsia="zh-CN"/>
        </w:rPr>
        <w:t>6</w:t>
      </w:r>
      <w:r>
        <w:rPr>
          <w:rFonts w:hint="eastAsia"/>
        </w:rPr>
        <w:t>.3 地下水环境质量现状评价</w:t>
      </w:r>
    </w:p>
    <w:p>
      <w:pPr>
        <w:ind w:firstLine="600" w:firstLineChars="250"/>
        <w:rPr>
          <w:rFonts w:hint="eastAsia"/>
          <w:color w:val="000000"/>
          <w:kern w:val="0"/>
          <w:u w:val="single"/>
        </w:rPr>
      </w:pPr>
      <w:r>
        <w:rPr>
          <w:rFonts w:hint="eastAsia"/>
          <w:color w:val="000000"/>
          <w:kern w:val="0"/>
          <w:u w:val="single"/>
          <w:lang w:eastAsia="zh-CN"/>
        </w:rPr>
        <w:t>为了了解项目区域地下水环境质量现状，本次环评引用花垣工业集中区跟踪环评报告中对区域地下水的监测数据，同时新增布设</w:t>
      </w:r>
      <w:r>
        <w:rPr>
          <w:rFonts w:hint="eastAsia"/>
          <w:color w:val="000000"/>
          <w:kern w:val="0"/>
          <w:u w:val="single"/>
          <w:lang w:val="en-US" w:eastAsia="zh-CN"/>
        </w:rPr>
        <w:t>2个地下水位监测点</w:t>
      </w:r>
      <w:r>
        <w:rPr>
          <w:rFonts w:hint="eastAsia"/>
          <w:color w:val="000000"/>
          <w:kern w:val="0"/>
          <w:u w:val="single"/>
          <w:lang w:eastAsia="zh-CN"/>
        </w:rPr>
        <w:t>。</w:t>
      </w:r>
    </w:p>
    <w:p>
      <w:pPr>
        <w:keepNext w:val="0"/>
        <w:keepLines w:val="0"/>
        <w:pageBreakBefore w:val="0"/>
        <w:widowControl w:val="0"/>
        <w:kinsoku/>
        <w:wordWrap/>
        <w:topLinePunct w:val="0"/>
        <w:bidi w:val="0"/>
        <w:ind w:firstLine="480" w:firstLineChars="200"/>
        <w:jc w:val="left"/>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（1）监测点</w:t>
      </w:r>
      <w:r>
        <w:rPr>
          <w:rFonts w:hint="default" w:ascii="Times New Roman" w:hAnsi="Times New Roman" w:cs="Times New Roman"/>
          <w:color w:val="auto"/>
          <w:highlight w:val="none"/>
          <w:u w:val="single"/>
          <w:lang w:val="en-US" w:eastAsia="zh-CN"/>
        </w:rPr>
        <w:t>布设</w:t>
      </w:r>
      <w:r>
        <w:rPr>
          <w:rFonts w:hint="eastAsia" w:cs="Times New Roman"/>
          <w:color w:val="auto"/>
          <w:highlight w:val="none"/>
          <w:u w:val="single"/>
          <w:lang w:val="en-US" w:eastAsia="zh-CN"/>
        </w:rPr>
        <w:t>以及监测因子</w:t>
      </w:r>
    </w:p>
    <w:p>
      <w:pPr>
        <w:keepNext w:val="0"/>
        <w:keepLines w:val="0"/>
        <w:pageBreakBefore w:val="0"/>
        <w:widowControl w:val="0"/>
        <w:kinsoku/>
        <w:wordWrap/>
        <w:topLinePunct w:val="0"/>
        <w:bidi w:val="0"/>
        <w:ind w:firstLine="480" w:firstLineChars="200"/>
        <w:rPr>
          <w:rFonts w:hint="default" w:ascii="Times New Roman" w:hAnsi="Times New Roman" w:cs="Times New Roman"/>
          <w:color w:val="auto"/>
          <w:highlight w:val="none"/>
          <w:u w:val="single"/>
        </w:rPr>
      </w:pPr>
      <w:r>
        <w:rPr>
          <w:rFonts w:hint="default" w:ascii="Times New Roman" w:hAnsi="Times New Roman" w:cs="Times New Roman"/>
          <w:color w:val="auto"/>
          <w:highlight w:val="none"/>
          <w:u w:val="single"/>
        </w:rPr>
        <w:t>本次评价设置</w:t>
      </w:r>
      <w:r>
        <w:rPr>
          <w:rFonts w:hint="eastAsia" w:ascii="Times New Roman" w:hAnsi="Times New Roman" w:cs="Times New Roman"/>
          <w:color w:val="auto"/>
          <w:highlight w:val="none"/>
          <w:u w:val="single"/>
          <w:lang w:val="en-US" w:eastAsia="zh-CN"/>
        </w:rPr>
        <w:t>10</w:t>
      </w:r>
      <w:r>
        <w:rPr>
          <w:rFonts w:hint="default" w:ascii="Times New Roman" w:hAnsi="Times New Roman" w:cs="Times New Roman"/>
          <w:color w:val="auto"/>
          <w:highlight w:val="none"/>
          <w:u w:val="single"/>
        </w:rPr>
        <w:t>个地下水环境现状监测点，</w:t>
      </w:r>
      <w:r>
        <w:rPr>
          <w:rFonts w:hint="eastAsia" w:ascii="Times New Roman" w:hAnsi="Times New Roman" w:cs="Times New Roman"/>
          <w:color w:val="auto"/>
          <w:highlight w:val="none"/>
          <w:u w:val="single"/>
          <w:lang w:eastAsia="zh-CN"/>
        </w:rPr>
        <w:t>引用监测点位</w:t>
      </w:r>
      <w:r>
        <w:rPr>
          <w:rFonts w:hint="eastAsia" w:ascii="Times New Roman" w:hAnsi="Times New Roman" w:cs="Times New Roman"/>
          <w:color w:val="auto"/>
          <w:highlight w:val="none"/>
          <w:u w:val="single"/>
          <w:lang w:val="en-US" w:eastAsia="zh-CN"/>
        </w:rPr>
        <w:t>8个，新增2个</w:t>
      </w:r>
      <w:r>
        <w:rPr>
          <w:rFonts w:hint="default" w:ascii="Times New Roman" w:hAnsi="Times New Roman" w:cs="Times New Roman"/>
          <w:color w:val="auto"/>
          <w:highlight w:val="none"/>
          <w:u w:val="single"/>
        </w:rPr>
        <w:t>具体点位布设方式见表</w:t>
      </w:r>
      <w:r>
        <w:rPr>
          <w:rFonts w:hint="eastAsia" w:cs="Times New Roman"/>
          <w:color w:val="auto"/>
          <w:highlight w:val="none"/>
          <w:u w:val="single"/>
          <w:lang w:val="en-US" w:eastAsia="zh-CN"/>
        </w:rPr>
        <w:t>3.6</w:t>
      </w:r>
      <w:r>
        <w:rPr>
          <w:rFonts w:hint="default" w:ascii="Times New Roman" w:hAnsi="Times New Roman" w:cs="Times New Roman"/>
          <w:color w:val="auto"/>
          <w:highlight w:val="none"/>
          <w:u w:val="single"/>
        </w:rPr>
        <w:t>-</w:t>
      </w:r>
      <w:r>
        <w:rPr>
          <w:rFonts w:hint="eastAsia" w:cs="Times New Roman"/>
          <w:color w:val="auto"/>
          <w:highlight w:val="none"/>
          <w:u w:val="single"/>
          <w:lang w:val="en-US" w:eastAsia="zh-CN"/>
        </w:rPr>
        <w:t>4</w:t>
      </w:r>
      <w:r>
        <w:rPr>
          <w:rFonts w:hint="default" w:ascii="Times New Roman" w:hAnsi="Times New Roman" w:cs="Times New Roman"/>
          <w:color w:val="auto"/>
          <w:highlight w:val="none"/>
          <w:u w:val="single"/>
        </w:rPr>
        <w:t>。</w:t>
      </w:r>
    </w:p>
    <w:p>
      <w:pPr>
        <w:keepNext w:val="0"/>
        <w:keepLines w:val="0"/>
        <w:pageBreakBefore w:val="0"/>
        <w:widowControl w:val="0"/>
        <w:kinsoku/>
        <w:wordWrap/>
        <w:topLinePunct w:val="0"/>
        <w:bidi w:val="0"/>
        <w:spacing w:line="400" w:lineRule="exact"/>
        <w:jc w:val="center"/>
        <w:rPr>
          <w:rFonts w:hint="default" w:ascii="Times New Roman" w:hAnsi="Times New Roman" w:cs="Times New Roman"/>
          <w:b/>
          <w:bCs/>
          <w:color w:val="auto"/>
          <w:sz w:val="21"/>
          <w:szCs w:val="21"/>
          <w:highlight w:val="none"/>
          <w:u w:val="single"/>
        </w:rPr>
      </w:pPr>
      <w:r>
        <w:rPr>
          <w:rFonts w:hint="default" w:ascii="Times New Roman" w:hAnsi="Times New Roman" w:cs="Times New Roman"/>
          <w:b/>
          <w:bCs/>
          <w:color w:val="auto"/>
          <w:sz w:val="21"/>
          <w:szCs w:val="21"/>
          <w:highlight w:val="none"/>
          <w:u w:val="single"/>
        </w:rPr>
        <w:t>表</w:t>
      </w:r>
      <w:r>
        <w:rPr>
          <w:rFonts w:hint="eastAsia" w:cs="Times New Roman"/>
          <w:b/>
          <w:bCs/>
          <w:color w:val="auto"/>
          <w:sz w:val="21"/>
          <w:szCs w:val="21"/>
          <w:highlight w:val="none"/>
          <w:u w:val="single"/>
          <w:lang w:val="en-US" w:eastAsia="zh-CN"/>
        </w:rPr>
        <w:t>3.6</w:t>
      </w:r>
      <w:r>
        <w:rPr>
          <w:rFonts w:hint="default" w:ascii="Times New Roman" w:hAnsi="Times New Roman" w:cs="Times New Roman"/>
          <w:b/>
          <w:bCs/>
          <w:color w:val="auto"/>
          <w:sz w:val="21"/>
          <w:szCs w:val="21"/>
          <w:highlight w:val="none"/>
          <w:u w:val="single"/>
        </w:rPr>
        <w:t>-</w:t>
      </w:r>
      <w:r>
        <w:rPr>
          <w:rFonts w:hint="eastAsia" w:cs="Times New Roman"/>
          <w:b/>
          <w:bCs/>
          <w:color w:val="auto"/>
          <w:sz w:val="21"/>
          <w:szCs w:val="21"/>
          <w:highlight w:val="none"/>
          <w:u w:val="single"/>
          <w:lang w:val="en-US" w:eastAsia="zh-CN"/>
        </w:rPr>
        <w:t>4</w:t>
      </w:r>
      <w:r>
        <w:rPr>
          <w:rFonts w:hint="default" w:ascii="Times New Roman" w:hAnsi="Times New Roman" w:cs="Times New Roman"/>
          <w:b/>
          <w:bCs/>
          <w:color w:val="auto"/>
          <w:sz w:val="21"/>
          <w:szCs w:val="21"/>
          <w:highlight w:val="none"/>
          <w:u w:val="single"/>
        </w:rPr>
        <w:t xml:space="preserve">  地下水水质监测点位一览表</w:t>
      </w:r>
    </w:p>
    <w:tbl>
      <w:tblPr>
        <w:tblStyle w:val="37"/>
        <w:tblW w:w="90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7" w:type="dxa"/>
          <w:bottom w:w="0" w:type="dxa"/>
          <w:right w:w="17" w:type="dxa"/>
        </w:tblCellMar>
      </w:tblPr>
      <w:tblGrid>
        <w:gridCol w:w="645"/>
        <w:gridCol w:w="1530"/>
        <w:gridCol w:w="2280"/>
        <w:gridCol w:w="3262"/>
        <w:gridCol w:w="13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7" w:type="dxa"/>
            <w:bottom w:w="0" w:type="dxa"/>
            <w:right w:w="17" w:type="dxa"/>
          </w:tblCellMar>
        </w:tblPrEx>
        <w:trPr>
          <w:trHeight w:val="382" w:hRule="atLeast"/>
          <w:jc w:val="center"/>
        </w:trPr>
        <w:tc>
          <w:tcPr>
            <w:tcW w:w="645" w:type="dxa"/>
            <w:tcBorders>
              <w:lef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编号</w:t>
            </w:r>
          </w:p>
        </w:tc>
        <w:tc>
          <w:tcPr>
            <w:tcW w:w="153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监测点名称</w:t>
            </w:r>
          </w:p>
        </w:tc>
        <w:tc>
          <w:tcPr>
            <w:tcW w:w="228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eastAsia" w:ascii="Times New Roman" w:hAnsi="Times New Roman" w:eastAsia="宋体" w:cs="Times New Roman"/>
                <w:b/>
                <w:bCs/>
                <w:sz w:val="21"/>
                <w:szCs w:val="21"/>
                <w:u w:val="single"/>
                <w:lang w:eastAsia="zh-CN"/>
              </w:rPr>
            </w:pPr>
            <w:r>
              <w:rPr>
                <w:rFonts w:hint="eastAsia" w:ascii="Times New Roman" w:hAnsi="Times New Roman" w:eastAsia="宋体" w:cs="Times New Roman"/>
                <w:b/>
                <w:bCs/>
                <w:sz w:val="21"/>
                <w:szCs w:val="21"/>
                <w:u w:val="single"/>
                <w:lang w:eastAsia="zh-CN"/>
              </w:rPr>
              <w:t>与项目地相对位置关系</w:t>
            </w:r>
          </w:p>
        </w:tc>
        <w:tc>
          <w:tcPr>
            <w:tcW w:w="3262"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eastAsia" w:ascii="Times New Roman" w:hAnsi="Times New Roman" w:eastAsia="宋体" w:cs="Times New Roman"/>
                <w:b/>
                <w:bCs/>
                <w:sz w:val="21"/>
                <w:szCs w:val="21"/>
                <w:u w:val="single"/>
                <w:lang w:eastAsia="zh-CN"/>
              </w:rPr>
            </w:pPr>
            <w:r>
              <w:rPr>
                <w:rFonts w:hint="eastAsia" w:ascii="Times New Roman" w:hAnsi="Times New Roman" w:eastAsia="宋体" w:cs="Times New Roman"/>
                <w:b/>
                <w:bCs/>
                <w:sz w:val="21"/>
                <w:szCs w:val="21"/>
                <w:u w:val="single"/>
                <w:lang w:eastAsia="zh-CN"/>
              </w:rPr>
              <w:t>监测因子</w:t>
            </w:r>
          </w:p>
        </w:tc>
        <w:tc>
          <w:tcPr>
            <w:tcW w:w="1361" w:type="dxa"/>
            <w:tcBorders>
              <w:righ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eastAsia" w:ascii="Times New Roman" w:hAnsi="Times New Roman" w:eastAsia="宋体" w:cs="Times New Roman"/>
                <w:b/>
                <w:bCs/>
                <w:sz w:val="21"/>
                <w:szCs w:val="21"/>
                <w:u w:val="single"/>
                <w:lang w:eastAsia="zh-CN"/>
              </w:rPr>
            </w:pPr>
            <w:r>
              <w:rPr>
                <w:rFonts w:hint="eastAsia" w:ascii="Times New Roman" w:hAnsi="Times New Roman" w:eastAsia="宋体" w:cs="Times New Roman"/>
                <w:b/>
                <w:bCs/>
                <w:sz w:val="21"/>
                <w:szCs w:val="21"/>
                <w:u w:val="singl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1" w:hRule="atLeast"/>
          <w:jc w:val="center"/>
        </w:trPr>
        <w:tc>
          <w:tcPr>
            <w:tcW w:w="645" w:type="dxa"/>
            <w:tcBorders>
              <w:lef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D1</w:t>
            </w:r>
          </w:p>
        </w:tc>
        <w:tc>
          <w:tcPr>
            <w:tcW w:w="153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龙洞村水井</w:t>
            </w:r>
          </w:p>
        </w:tc>
        <w:tc>
          <w:tcPr>
            <w:tcW w:w="228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项目地西南侧2200米处，位于项目地上游</w:t>
            </w:r>
          </w:p>
        </w:tc>
        <w:tc>
          <w:tcPr>
            <w:tcW w:w="3262" w:type="dxa"/>
            <w:vMerge w:val="restart"/>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eastAsia" w:ascii="Times New Roman" w:hAnsi="Times New Roman" w:eastAsia="宋体" w:cs="Times New Roman"/>
                <w:sz w:val="21"/>
                <w:szCs w:val="21"/>
                <w:u w:val="single"/>
                <w:lang w:val="en-US" w:eastAsia="zh-CN"/>
              </w:rPr>
            </w:pPr>
            <w:r>
              <w:rPr>
                <w:rFonts w:hint="default" w:ascii="Times New Roman" w:hAnsi="Times New Roman" w:cs="Times New Roman"/>
                <w:color w:val="auto"/>
                <w:sz w:val="21"/>
                <w:szCs w:val="21"/>
                <w:highlight w:val="none"/>
                <w:u w:val="single"/>
              </w:rPr>
              <w:t>K</w:t>
            </w:r>
            <w:r>
              <w:rPr>
                <w:rFonts w:hint="default" w:ascii="Times New Roman" w:hAnsi="Times New Roman" w:cs="Times New Roman"/>
                <w:color w:val="auto"/>
                <w:kern w:val="0"/>
                <w:sz w:val="21"/>
                <w:szCs w:val="21"/>
                <w:highlight w:val="none"/>
                <w:u w:val="single"/>
              </w:rPr>
              <w:t>（钾）</w:t>
            </w:r>
            <w:r>
              <w:rPr>
                <w:rFonts w:hint="default" w:ascii="Times New Roman" w:hAnsi="Times New Roman" w:cs="Times New Roman"/>
                <w:color w:val="auto"/>
                <w:sz w:val="21"/>
                <w:szCs w:val="21"/>
                <w:highlight w:val="none"/>
                <w:u w:val="single"/>
              </w:rPr>
              <w:t>、Na</w:t>
            </w:r>
            <w:r>
              <w:rPr>
                <w:rFonts w:hint="default" w:ascii="Times New Roman" w:hAnsi="Times New Roman" w:cs="Times New Roman"/>
                <w:color w:val="auto"/>
                <w:kern w:val="0"/>
                <w:sz w:val="21"/>
                <w:szCs w:val="21"/>
                <w:highlight w:val="none"/>
                <w:u w:val="single"/>
              </w:rPr>
              <w:t>（钠）</w:t>
            </w:r>
            <w:r>
              <w:rPr>
                <w:rFonts w:hint="default" w:ascii="Times New Roman" w:hAnsi="Times New Roman" w:cs="Times New Roman"/>
                <w:color w:val="auto"/>
                <w:sz w:val="21"/>
                <w:szCs w:val="21"/>
                <w:highlight w:val="none"/>
                <w:u w:val="single"/>
              </w:rPr>
              <w:t>、Ca</w:t>
            </w:r>
            <w:r>
              <w:rPr>
                <w:rFonts w:hint="default" w:ascii="Times New Roman" w:hAnsi="Times New Roman" w:cs="Times New Roman"/>
                <w:color w:val="auto"/>
                <w:kern w:val="0"/>
                <w:sz w:val="21"/>
                <w:szCs w:val="21"/>
                <w:highlight w:val="none"/>
                <w:u w:val="single"/>
              </w:rPr>
              <w:t>（钙）</w:t>
            </w:r>
            <w:r>
              <w:rPr>
                <w:rFonts w:hint="default" w:ascii="Times New Roman" w:hAnsi="Times New Roman" w:cs="Times New Roman"/>
                <w:color w:val="auto"/>
                <w:sz w:val="21"/>
                <w:szCs w:val="21"/>
                <w:highlight w:val="none"/>
                <w:u w:val="single"/>
              </w:rPr>
              <w:t>、Mg</w:t>
            </w:r>
            <w:r>
              <w:rPr>
                <w:rFonts w:hint="default" w:ascii="Times New Roman" w:hAnsi="Times New Roman" w:cs="Times New Roman"/>
                <w:color w:val="auto"/>
                <w:kern w:val="0"/>
                <w:sz w:val="21"/>
                <w:szCs w:val="21"/>
                <w:highlight w:val="none"/>
                <w:u w:val="single"/>
              </w:rPr>
              <w:t>（镁）</w:t>
            </w:r>
            <w:r>
              <w:rPr>
                <w:rFonts w:hint="default" w:ascii="Times New Roman" w:hAnsi="Times New Roman" w:cs="Times New Roman"/>
                <w:color w:val="auto"/>
                <w:sz w:val="21"/>
                <w:szCs w:val="21"/>
                <w:highlight w:val="none"/>
                <w:u w:val="single"/>
              </w:rPr>
              <w:t>、CO</w:t>
            </w:r>
            <w:r>
              <w:rPr>
                <w:rFonts w:hint="default" w:ascii="Times New Roman" w:hAnsi="Times New Roman" w:cs="Times New Roman"/>
                <w:color w:val="auto"/>
                <w:sz w:val="21"/>
                <w:szCs w:val="21"/>
                <w:highlight w:val="none"/>
                <w:u w:val="single"/>
                <w:vertAlign w:val="subscript"/>
              </w:rPr>
              <w:t>3</w:t>
            </w:r>
            <w:r>
              <w:rPr>
                <w:rFonts w:hint="default" w:ascii="Times New Roman" w:hAnsi="Times New Roman" w:cs="Times New Roman"/>
                <w:color w:val="auto"/>
                <w:sz w:val="21"/>
                <w:szCs w:val="21"/>
                <w:highlight w:val="none"/>
                <w:u w:val="single"/>
                <w:vertAlign w:val="superscript"/>
              </w:rPr>
              <w:t>2-</w:t>
            </w:r>
            <w:r>
              <w:rPr>
                <w:rFonts w:hint="default" w:ascii="Times New Roman" w:hAnsi="Times New Roman" w:cs="Times New Roman"/>
                <w:color w:val="auto"/>
                <w:kern w:val="0"/>
                <w:sz w:val="21"/>
                <w:szCs w:val="21"/>
                <w:highlight w:val="none"/>
                <w:u w:val="single"/>
              </w:rPr>
              <w:t>（碳酸根）</w:t>
            </w:r>
            <w:r>
              <w:rPr>
                <w:rFonts w:hint="default" w:ascii="Times New Roman" w:hAnsi="Times New Roman" w:cs="Times New Roman"/>
                <w:color w:val="auto"/>
                <w:sz w:val="21"/>
                <w:szCs w:val="21"/>
                <w:highlight w:val="none"/>
                <w:u w:val="single"/>
              </w:rPr>
              <w:t>、HCO</w:t>
            </w:r>
            <w:r>
              <w:rPr>
                <w:rFonts w:hint="default" w:ascii="Times New Roman" w:hAnsi="Times New Roman" w:cs="Times New Roman"/>
                <w:color w:val="auto"/>
                <w:sz w:val="21"/>
                <w:szCs w:val="21"/>
                <w:highlight w:val="none"/>
                <w:u w:val="single"/>
                <w:vertAlign w:val="superscript"/>
              </w:rPr>
              <w:t>3-</w:t>
            </w:r>
            <w:r>
              <w:rPr>
                <w:rFonts w:hint="default" w:ascii="Times New Roman" w:hAnsi="Times New Roman" w:cs="Times New Roman"/>
                <w:color w:val="auto"/>
                <w:kern w:val="0"/>
                <w:sz w:val="21"/>
                <w:szCs w:val="21"/>
                <w:highlight w:val="none"/>
                <w:u w:val="single"/>
              </w:rPr>
              <w:t>（重碳酸根）</w:t>
            </w:r>
            <w:r>
              <w:rPr>
                <w:rFonts w:hint="default" w:ascii="Times New Roman" w:hAnsi="Times New Roman" w:cs="Times New Roman"/>
                <w:color w:val="auto"/>
                <w:sz w:val="21"/>
                <w:szCs w:val="21"/>
                <w:highlight w:val="none"/>
                <w:u w:val="single"/>
              </w:rPr>
              <w:t>、Cl-</w:t>
            </w:r>
            <w:r>
              <w:rPr>
                <w:rFonts w:hint="default" w:ascii="Times New Roman" w:hAnsi="Times New Roman" w:cs="Times New Roman"/>
                <w:color w:val="auto"/>
                <w:kern w:val="0"/>
                <w:sz w:val="21"/>
                <w:szCs w:val="21"/>
                <w:highlight w:val="none"/>
                <w:u w:val="single"/>
              </w:rPr>
              <w:t>（氯化物）</w:t>
            </w:r>
            <w:r>
              <w:rPr>
                <w:rFonts w:hint="default" w:ascii="Times New Roman" w:hAnsi="Times New Roman" w:cs="Times New Roman"/>
                <w:color w:val="auto"/>
                <w:sz w:val="21"/>
                <w:szCs w:val="21"/>
                <w:highlight w:val="none"/>
                <w:u w:val="single"/>
              </w:rPr>
              <w:t>、SO</w:t>
            </w:r>
            <w:r>
              <w:rPr>
                <w:rFonts w:hint="default" w:ascii="Times New Roman" w:hAnsi="Times New Roman" w:cs="Times New Roman"/>
                <w:color w:val="auto"/>
                <w:sz w:val="21"/>
                <w:szCs w:val="21"/>
                <w:highlight w:val="none"/>
                <w:u w:val="single"/>
                <w:vertAlign w:val="subscript"/>
              </w:rPr>
              <w:t>4</w:t>
            </w:r>
            <w:r>
              <w:rPr>
                <w:rFonts w:hint="default" w:ascii="Times New Roman" w:hAnsi="Times New Roman" w:cs="Times New Roman"/>
                <w:color w:val="auto"/>
                <w:sz w:val="21"/>
                <w:szCs w:val="21"/>
                <w:highlight w:val="none"/>
                <w:u w:val="single"/>
                <w:vertAlign w:val="superscript"/>
              </w:rPr>
              <w:t>2-</w:t>
            </w:r>
            <w:r>
              <w:rPr>
                <w:rFonts w:hint="default" w:ascii="Times New Roman" w:hAnsi="Times New Roman" w:cs="Times New Roman"/>
                <w:color w:val="auto"/>
                <w:kern w:val="0"/>
                <w:sz w:val="21"/>
                <w:szCs w:val="21"/>
                <w:highlight w:val="none"/>
                <w:u w:val="single"/>
              </w:rPr>
              <w:t>（硫酸盐）</w:t>
            </w:r>
            <w:r>
              <w:rPr>
                <w:rFonts w:hint="eastAsia" w:ascii="Times New Roman" w:hAnsi="Times New Roman" w:cs="Times New Roman"/>
                <w:color w:val="auto"/>
                <w:kern w:val="0"/>
                <w:sz w:val="21"/>
                <w:szCs w:val="21"/>
                <w:highlight w:val="none"/>
                <w:u w:val="single"/>
                <w:lang w:eastAsia="zh-CN"/>
              </w:rPr>
              <w:t>、pH、耗氧量、氨氮、溶解性总固体、总磷、总硬度、砷、汞、镉、六价铬、铅、铁、锰、铜、锌、</w:t>
            </w:r>
            <w:r>
              <w:rPr>
                <w:rFonts w:hint="default" w:ascii="Times New Roman" w:hAnsi="Times New Roman" w:cs="Times New Roman"/>
                <w:color w:val="auto"/>
                <w:kern w:val="0"/>
                <w:sz w:val="21"/>
                <w:szCs w:val="21"/>
                <w:highlight w:val="none"/>
                <w:u w:val="single"/>
                <w:lang w:val="en-US" w:eastAsia="zh-CN"/>
              </w:rPr>
              <w:t>水位</w:t>
            </w:r>
            <w:r>
              <w:rPr>
                <w:rFonts w:hint="eastAsia" w:ascii="Times New Roman" w:hAnsi="Times New Roman" w:cs="Times New Roman"/>
                <w:color w:val="auto"/>
                <w:kern w:val="0"/>
                <w:sz w:val="21"/>
                <w:szCs w:val="21"/>
                <w:highlight w:val="none"/>
                <w:u w:val="single"/>
                <w:lang w:val="en-US" w:eastAsia="zh-CN"/>
              </w:rPr>
              <w:t>、硝酸盐、亚硝酸盐、挥发性酚类、氰化物、氟、高锰酸盐指数、硫酸盐、氯化物、总大肠菌群、细菌总数</w:t>
            </w:r>
          </w:p>
        </w:tc>
        <w:tc>
          <w:tcPr>
            <w:tcW w:w="1361" w:type="dxa"/>
            <w:tcBorders>
              <w:righ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部分因子补测，其他引用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7" w:type="dxa"/>
            <w:bottom w:w="0" w:type="dxa"/>
            <w:right w:w="17" w:type="dxa"/>
          </w:tblCellMar>
        </w:tblPrEx>
        <w:trPr>
          <w:trHeight w:val="368" w:hRule="atLeast"/>
          <w:jc w:val="center"/>
        </w:trPr>
        <w:tc>
          <w:tcPr>
            <w:tcW w:w="645" w:type="dxa"/>
            <w:tcBorders>
              <w:lef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D2</w:t>
            </w:r>
          </w:p>
        </w:tc>
        <w:tc>
          <w:tcPr>
            <w:tcW w:w="153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卡地村水井</w:t>
            </w:r>
          </w:p>
        </w:tc>
        <w:tc>
          <w:tcPr>
            <w:tcW w:w="228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项目地西侧900米处，位于项目地上游</w:t>
            </w:r>
          </w:p>
        </w:tc>
        <w:tc>
          <w:tcPr>
            <w:tcW w:w="3262" w:type="dxa"/>
            <w:vMerge w:val="continue"/>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p>
        </w:tc>
        <w:tc>
          <w:tcPr>
            <w:tcW w:w="1361" w:type="dxa"/>
            <w:tcBorders>
              <w:righ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部分因子补测，其他引用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1" w:hRule="atLeast"/>
          <w:jc w:val="center"/>
        </w:trPr>
        <w:tc>
          <w:tcPr>
            <w:tcW w:w="645" w:type="dxa"/>
            <w:tcBorders>
              <w:lef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D3</w:t>
            </w:r>
          </w:p>
        </w:tc>
        <w:tc>
          <w:tcPr>
            <w:tcW w:w="153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兴龙社区水井</w:t>
            </w:r>
          </w:p>
        </w:tc>
        <w:tc>
          <w:tcPr>
            <w:tcW w:w="228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项目地西侧1300米处，位于项目地上游</w:t>
            </w:r>
          </w:p>
        </w:tc>
        <w:tc>
          <w:tcPr>
            <w:tcW w:w="3262" w:type="dxa"/>
            <w:vMerge w:val="continue"/>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p>
        </w:tc>
        <w:tc>
          <w:tcPr>
            <w:tcW w:w="1361" w:type="dxa"/>
            <w:tcBorders>
              <w:righ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部分因子补测，其他引用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7" w:type="dxa"/>
            <w:bottom w:w="0" w:type="dxa"/>
            <w:right w:w="17" w:type="dxa"/>
          </w:tblCellMar>
        </w:tblPrEx>
        <w:trPr>
          <w:trHeight w:val="368" w:hRule="atLeast"/>
          <w:jc w:val="center"/>
        </w:trPr>
        <w:tc>
          <w:tcPr>
            <w:tcW w:w="645" w:type="dxa"/>
            <w:tcBorders>
              <w:lef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D4</w:t>
            </w:r>
          </w:p>
        </w:tc>
        <w:tc>
          <w:tcPr>
            <w:tcW w:w="153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老鸦塘水井</w:t>
            </w:r>
          </w:p>
        </w:tc>
        <w:tc>
          <w:tcPr>
            <w:tcW w:w="228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项目地西南侧3000米处，位于项目地上游</w:t>
            </w:r>
          </w:p>
        </w:tc>
        <w:tc>
          <w:tcPr>
            <w:tcW w:w="3262" w:type="dxa"/>
            <w:vMerge w:val="continue"/>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p>
        </w:tc>
        <w:tc>
          <w:tcPr>
            <w:tcW w:w="1361" w:type="dxa"/>
            <w:tcBorders>
              <w:righ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部分因子补测，其他引用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2" w:hRule="atLeast"/>
          <w:jc w:val="center"/>
        </w:trPr>
        <w:tc>
          <w:tcPr>
            <w:tcW w:w="645" w:type="dxa"/>
            <w:tcBorders>
              <w:lef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D5</w:t>
            </w:r>
          </w:p>
        </w:tc>
        <w:tc>
          <w:tcPr>
            <w:tcW w:w="153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default" w:ascii="Times New Roman" w:hAnsi="Times New Roman" w:eastAsia="宋体" w:cs="Times New Roman"/>
                <w:color w:val="auto"/>
                <w:sz w:val="21"/>
                <w:szCs w:val="21"/>
                <w:highlight w:val="none"/>
                <w:u w:val="single"/>
                <w:lang w:val="en-US" w:eastAsia="zh-CN"/>
              </w:rPr>
              <w:t>新生屯村水井</w:t>
            </w:r>
          </w:p>
        </w:tc>
        <w:tc>
          <w:tcPr>
            <w:tcW w:w="228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项目地南侧1800米处，位于项目地上游</w:t>
            </w:r>
          </w:p>
        </w:tc>
        <w:tc>
          <w:tcPr>
            <w:tcW w:w="3262" w:type="dxa"/>
            <w:vMerge w:val="continue"/>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p>
        </w:tc>
        <w:tc>
          <w:tcPr>
            <w:tcW w:w="1361" w:type="dxa"/>
            <w:tcBorders>
              <w:righ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color w:val="auto"/>
                <w:sz w:val="21"/>
                <w:szCs w:val="21"/>
                <w:highlight w:val="none"/>
                <w:u w:val="single"/>
                <w:lang w:val="en-US" w:eastAsia="zh-CN"/>
              </w:rPr>
            </w:pPr>
            <w:r>
              <w:rPr>
                <w:rFonts w:hint="eastAsia" w:ascii="Times New Roman" w:hAnsi="Times New Roman" w:eastAsia="宋体" w:cs="Times New Roman"/>
                <w:color w:val="auto"/>
                <w:sz w:val="21"/>
                <w:szCs w:val="21"/>
                <w:highlight w:val="none"/>
                <w:u w:val="single"/>
                <w:lang w:val="en-US" w:eastAsia="zh-CN"/>
              </w:rPr>
              <w:t>部分因子补测，其他引用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7" w:type="dxa"/>
            <w:bottom w:w="0" w:type="dxa"/>
            <w:right w:w="17" w:type="dxa"/>
          </w:tblCellMar>
        </w:tblPrEx>
        <w:trPr>
          <w:trHeight w:val="368" w:hRule="atLeast"/>
          <w:jc w:val="center"/>
        </w:trPr>
        <w:tc>
          <w:tcPr>
            <w:tcW w:w="645" w:type="dxa"/>
            <w:tcBorders>
              <w:lef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D6</w:t>
            </w:r>
          </w:p>
        </w:tc>
        <w:tc>
          <w:tcPr>
            <w:tcW w:w="153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color w:val="auto"/>
                <w:sz w:val="21"/>
                <w:szCs w:val="21"/>
                <w:u w:val="single"/>
                <w:lang w:val="en-US" w:eastAsia="zh-CN"/>
              </w:rPr>
            </w:pPr>
            <w:r>
              <w:rPr>
                <w:rFonts w:hint="default" w:ascii="Times New Roman" w:hAnsi="Times New Roman" w:eastAsia="宋体" w:cs="Times New Roman"/>
                <w:color w:val="auto"/>
                <w:sz w:val="21"/>
                <w:szCs w:val="21"/>
                <w:u w:val="single"/>
                <w:lang w:val="en-US" w:eastAsia="zh-CN"/>
              </w:rPr>
              <w:t>下腊尔铺水井</w:t>
            </w:r>
          </w:p>
        </w:tc>
        <w:tc>
          <w:tcPr>
            <w:tcW w:w="228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color w:val="auto"/>
                <w:sz w:val="21"/>
                <w:szCs w:val="21"/>
                <w:u w:val="single"/>
                <w:lang w:val="en-US" w:eastAsia="zh-CN"/>
              </w:rPr>
            </w:pPr>
            <w:r>
              <w:rPr>
                <w:rFonts w:hint="eastAsia" w:ascii="Times New Roman" w:hAnsi="Times New Roman" w:eastAsia="宋体" w:cs="Times New Roman"/>
                <w:color w:val="auto"/>
                <w:sz w:val="21"/>
                <w:szCs w:val="21"/>
                <w:u w:val="single"/>
                <w:lang w:val="en-US" w:eastAsia="zh-CN"/>
              </w:rPr>
              <w:t>项目地东侧5000米处，</w:t>
            </w:r>
            <w:r>
              <w:rPr>
                <w:rFonts w:hint="eastAsia" w:ascii="Times New Roman" w:hAnsi="Times New Roman" w:eastAsia="宋体" w:cs="Times New Roman"/>
                <w:color w:val="auto"/>
                <w:sz w:val="21"/>
                <w:szCs w:val="21"/>
                <w:highlight w:val="none"/>
                <w:u w:val="single"/>
                <w:lang w:val="en-US" w:eastAsia="zh-CN"/>
              </w:rPr>
              <w:t>位于项目地下游</w:t>
            </w:r>
          </w:p>
        </w:tc>
        <w:tc>
          <w:tcPr>
            <w:tcW w:w="3262" w:type="dxa"/>
            <w:vMerge w:val="restart"/>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K（钾）、Na（钠）、Ca（钙）、Mg（镁）、CO32-（碳酸根）、HCO3-（重碳酸根）、Cl-（氯化物）、SO42-（硫酸盐）、pH、耗氧量、氨氮、溶解性总固体、总磷、总硬度、砷、汞、镉、六价铬、铅、铁、锰、铜、锌、水位</w:t>
            </w:r>
          </w:p>
        </w:tc>
        <w:tc>
          <w:tcPr>
            <w:tcW w:w="1361" w:type="dxa"/>
            <w:tcBorders>
              <w:righ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引用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8" w:hRule="atLeast"/>
          <w:jc w:val="center"/>
        </w:trPr>
        <w:tc>
          <w:tcPr>
            <w:tcW w:w="645" w:type="dxa"/>
            <w:tcBorders>
              <w:lef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D7</w:t>
            </w:r>
          </w:p>
        </w:tc>
        <w:tc>
          <w:tcPr>
            <w:tcW w:w="153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南门村水井</w:t>
            </w:r>
          </w:p>
        </w:tc>
        <w:tc>
          <w:tcPr>
            <w:tcW w:w="228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项目地东侧4000米处、</w:t>
            </w:r>
            <w:r>
              <w:rPr>
                <w:rFonts w:hint="eastAsia" w:ascii="Times New Roman" w:hAnsi="Times New Roman" w:eastAsia="宋体" w:cs="Times New Roman"/>
                <w:color w:val="auto"/>
                <w:sz w:val="21"/>
                <w:szCs w:val="21"/>
                <w:highlight w:val="none"/>
                <w:u w:val="single"/>
                <w:lang w:val="en-US" w:eastAsia="zh-CN"/>
              </w:rPr>
              <w:t>位于项目地下游</w:t>
            </w:r>
          </w:p>
        </w:tc>
        <w:tc>
          <w:tcPr>
            <w:tcW w:w="3262" w:type="dxa"/>
            <w:vMerge w:val="continue"/>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p>
        </w:tc>
        <w:tc>
          <w:tcPr>
            <w:tcW w:w="1361" w:type="dxa"/>
            <w:tcBorders>
              <w:righ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引用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7" w:type="dxa"/>
            <w:bottom w:w="0" w:type="dxa"/>
            <w:right w:w="17" w:type="dxa"/>
          </w:tblCellMar>
        </w:tblPrEx>
        <w:trPr>
          <w:trHeight w:val="368" w:hRule="atLeast"/>
          <w:jc w:val="center"/>
        </w:trPr>
        <w:tc>
          <w:tcPr>
            <w:tcW w:w="645" w:type="dxa"/>
            <w:tcBorders>
              <w:lef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D8</w:t>
            </w:r>
          </w:p>
        </w:tc>
        <w:tc>
          <w:tcPr>
            <w:tcW w:w="153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洞溪坪村水井</w:t>
            </w:r>
          </w:p>
        </w:tc>
        <w:tc>
          <w:tcPr>
            <w:tcW w:w="228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项目地东侧5000米处、</w:t>
            </w:r>
            <w:r>
              <w:rPr>
                <w:rFonts w:hint="eastAsia" w:ascii="Times New Roman" w:hAnsi="Times New Roman" w:eastAsia="宋体" w:cs="Times New Roman"/>
                <w:color w:val="auto"/>
                <w:sz w:val="21"/>
                <w:szCs w:val="21"/>
                <w:highlight w:val="none"/>
                <w:u w:val="single"/>
                <w:lang w:val="en-US" w:eastAsia="zh-CN"/>
              </w:rPr>
              <w:t>位于项目地上游</w:t>
            </w:r>
          </w:p>
        </w:tc>
        <w:tc>
          <w:tcPr>
            <w:tcW w:w="3262" w:type="dxa"/>
            <w:vMerge w:val="continue"/>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p>
        </w:tc>
        <w:tc>
          <w:tcPr>
            <w:tcW w:w="1361" w:type="dxa"/>
            <w:tcBorders>
              <w:righ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引用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68" w:hRule="atLeast"/>
          <w:jc w:val="center"/>
        </w:trPr>
        <w:tc>
          <w:tcPr>
            <w:tcW w:w="645" w:type="dxa"/>
            <w:tcBorders>
              <w:lef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D</w:t>
            </w:r>
            <w:r>
              <w:rPr>
                <w:rFonts w:hint="eastAsia" w:ascii="Times New Roman" w:hAnsi="Times New Roman" w:eastAsia="宋体" w:cs="Times New Roman"/>
                <w:sz w:val="21"/>
                <w:szCs w:val="21"/>
                <w:u w:val="single"/>
                <w:lang w:val="en-US" w:eastAsia="zh-CN"/>
              </w:rPr>
              <w:t>9</w:t>
            </w:r>
          </w:p>
        </w:tc>
        <w:tc>
          <w:tcPr>
            <w:tcW w:w="153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黑岩塘居民水井</w:t>
            </w:r>
          </w:p>
        </w:tc>
        <w:tc>
          <w:tcPr>
            <w:tcW w:w="228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项目地东侧1000米处，</w:t>
            </w:r>
            <w:r>
              <w:rPr>
                <w:rFonts w:hint="eastAsia" w:ascii="Times New Roman" w:hAnsi="Times New Roman" w:eastAsia="宋体" w:cs="Times New Roman"/>
                <w:color w:val="auto"/>
                <w:sz w:val="21"/>
                <w:szCs w:val="21"/>
                <w:highlight w:val="none"/>
                <w:u w:val="single"/>
                <w:lang w:val="en-US" w:eastAsia="zh-CN"/>
              </w:rPr>
              <w:t>位于项目地上游</w:t>
            </w:r>
          </w:p>
        </w:tc>
        <w:tc>
          <w:tcPr>
            <w:tcW w:w="3262" w:type="dxa"/>
            <w:vMerge w:val="restart"/>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地下水位</w:t>
            </w:r>
          </w:p>
        </w:tc>
        <w:tc>
          <w:tcPr>
            <w:tcW w:w="1361" w:type="dxa"/>
            <w:tcBorders>
              <w:righ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7" w:type="dxa"/>
            <w:bottom w:w="0" w:type="dxa"/>
            <w:right w:w="17" w:type="dxa"/>
          </w:tblCellMar>
        </w:tblPrEx>
        <w:trPr>
          <w:trHeight w:val="740" w:hRule="atLeast"/>
          <w:jc w:val="center"/>
        </w:trPr>
        <w:tc>
          <w:tcPr>
            <w:tcW w:w="645" w:type="dxa"/>
            <w:tcBorders>
              <w:lef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D10</w:t>
            </w:r>
          </w:p>
        </w:tc>
        <w:tc>
          <w:tcPr>
            <w:tcW w:w="153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苏家湾居民水井</w:t>
            </w:r>
          </w:p>
        </w:tc>
        <w:tc>
          <w:tcPr>
            <w:tcW w:w="2280" w:type="dxa"/>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ab/>
            </w:r>
            <w:r>
              <w:rPr>
                <w:rFonts w:hint="eastAsia" w:ascii="Times New Roman" w:hAnsi="Times New Roman" w:eastAsia="宋体" w:cs="Times New Roman"/>
                <w:sz w:val="21"/>
                <w:szCs w:val="21"/>
                <w:u w:val="single"/>
                <w:lang w:val="en-US" w:eastAsia="zh-CN"/>
              </w:rPr>
              <w:t>项目地东侧1500</w:t>
            </w:r>
            <w:r>
              <w:rPr>
                <w:rFonts w:hint="eastAsia" w:ascii="Times New Roman" w:hAnsi="Times New Roman" w:eastAsia="宋体" w:cs="Times New Roman"/>
                <w:sz w:val="21"/>
                <w:szCs w:val="21"/>
                <w:u w:val="single"/>
                <w:lang w:val="en-US" w:eastAsia="zh-CN"/>
              </w:rPr>
              <w:tab/>
            </w:r>
            <w:r>
              <w:rPr>
                <w:rFonts w:hint="eastAsia" w:ascii="Times New Roman" w:hAnsi="Times New Roman" w:eastAsia="宋体" w:cs="Times New Roman"/>
                <w:sz w:val="21"/>
                <w:szCs w:val="21"/>
                <w:u w:val="single"/>
                <w:lang w:val="en-US" w:eastAsia="zh-CN"/>
              </w:rPr>
              <w:t>，位于项目地上游米处</w:t>
            </w:r>
          </w:p>
        </w:tc>
        <w:tc>
          <w:tcPr>
            <w:tcW w:w="3262" w:type="dxa"/>
            <w:vMerge w:val="continue"/>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default" w:ascii="Times New Roman" w:hAnsi="Times New Roman" w:eastAsia="宋体" w:cs="Times New Roman"/>
                <w:sz w:val="21"/>
                <w:szCs w:val="21"/>
                <w:u w:val="single"/>
                <w:lang w:val="en-US" w:eastAsia="zh-CN"/>
              </w:rPr>
            </w:pPr>
          </w:p>
        </w:tc>
        <w:tc>
          <w:tcPr>
            <w:tcW w:w="1361" w:type="dxa"/>
            <w:tcBorders>
              <w:right w:val="nil"/>
            </w:tcBorders>
            <w:noWrap w:val="0"/>
            <w:vAlign w:val="center"/>
          </w:tcPr>
          <w:p>
            <w:pPr>
              <w:pStyle w:val="104"/>
              <w:keepNext w:val="0"/>
              <w:keepLines w:val="0"/>
              <w:pageBreakBefore w:val="0"/>
              <w:widowControl/>
              <w:kinsoku/>
              <w:wordWrap/>
              <w:overflowPunct/>
              <w:topLinePunct w:val="0"/>
              <w:autoSpaceDE w:val="0"/>
              <w:autoSpaceDN w:val="0"/>
              <w:bidi w:val="0"/>
              <w:adjustRightInd/>
              <w:snapToGrid/>
              <w:spacing w:before="60" w:line="240" w:lineRule="auto"/>
              <w:ind w:right="0"/>
              <w:jc w:val="center"/>
              <w:textAlignment w:val="auto"/>
              <w:rPr>
                <w:rFonts w:hint="eastAsia"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新增</w:t>
            </w:r>
          </w:p>
        </w:tc>
      </w:tr>
    </w:tbl>
    <w:p>
      <w:pPr>
        <w:keepNext w:val="0"/>
        <w:keepLines w:val="0"/>
        <w:pageBreakBefore w:val="0"/>
        <w:widowControl w:val="0"/>
        <w:kinsoku/>
        <w:wordWrap/>
        <w:topLinePunct w:val="0"/>
        <w:bidi w:val="0"/>
        <w:ind w:firstLine="480" w:firstLineChars="200"/>
        <w:jc w:val="left"/>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监测频次与监测时间</w:t>
      </w:r>
    </w:p>
    <w:p>
      <w:pPr>
        <w:keepNext w:val="0"/>
        <w:keepLines w:val="0"/>
        <w:pageBreakBefore w:val="0"/>
        <w:widowControl w:val="0"/>
        <w:kinsoku/>
        <w:wordWrap/>
        <w:topLinePunct w:val="0"/>
        <w:bidi w:val="0"/>
        <w:ind w:firstLine="480" w:firstLineChars="200"/>
        <w:jc w:val="left"/>
        <w:rPr>
          <w:rFonts w:hint="eastAsia" w:ascii="Times New Roman" w:hAnsi="Times New Roman" w:cs="Times New Roman"/>
          <w:color w:val="auto"/>
          <w:highlight w:val="none"/>
          <w:lang w:eastAsia="zh-CN"/>
        </w:rPr>
      </w:pPr>
      <w:r>
        <w:rPr>
          <w:rFonts w:hint="eastAsia" w:ascii="Times New Roman" w:hAnsi="Times New Roman" w:cs="Times New Roman"/>
          <w:color w:val="auto"/>
          <w:sz w:val="24"/>
          <w:highlight w:val="none"/>
          <w:lang w:val="en-US" w:eastAsia="zh-CN"/>
        </w:rPr>
        <w:t>引用数据监测时间为：</w:t>
      </w:r>
      <w:r>
        <w:rPr>
          <w:rFonts w:hint="default" w:ascii="Times New Roman" w:hAnsi="Times New Roman" w:cs="Times New Roman"/>
          <w:color w:val="auto"/>
          <w:sz w:val="24"/>
          <w:highlight w:val="none"/>
          <w:lang w:val="en-US" w:eastAsia="zh-CN"/>
        </w:rPr>
        <w:t>2021年10月1</w:t>
      </w:r>
      <w:r>
        <w:rPr>
          <w:rFonts w:hint="default" w:ascii="Times New Roman" w:hAnsi="Times New Roman" w:cs="Times New Roman"/>
          <w:color w:val="auto"/>
          <w:sz w:val="24"/>
          <w:highlight w:val="none"/>
          <w:lang w:eastAsia="zh-CN"/>
        </w:rPr>
        <w:t>日至</w:t>
      </w:r>
      <w:r>
        <w:rPr>
          <w:rFonts w:hint="default" w:ascii="Times New Roman" w:hAnsi="Times New Roman" w:cs="Times New Roman"/>
          <w:color w:val="auto"/>
          <w:sz w:val="24"/>
          <w:highlight w:val="none"/>
          <w:lang w:val="en-US" w:eastAsia="zh-CN"/>
        </w:rPr>
        <w:t>10</w:t>
      </w:r>
      <w:r>
        <w:rPr>
          <w:rFonts w:hint="default" w:ascii="Times New Roman" w:hAnsi="Times New Roman" w:cs="Times New Roman"/>
          <w:color w:val="auto"/>
          <w:sz w:val="24"/>
          <w:highlight w:val="none"/>
          <w:lang w:eastAsia="zh-CN"/>
        </w:rPr>
        <w:t>月</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日</w:t>
      </w:r>
      <w:r>
        <w:rPr>
          <w:rFonts w:hint="default" w:ascii="Times New Roman" w:hAnsi="Times New Roman" w:cs="Times New Roman"/>
          <w:color w:val="auto"/>
          <w:highlight w:val="none"/>
        </w:rPr>
        <w:t>，连续采样3天，每天监测1次</w:t>
      </w:r>
      <w:r>
        <w:rPr>
          <w:rFonts w:hint="eastAsia" w:ascii="Times New Roman" w:hAnsi="Times New Roman" w:cs="Times New Roman"/>
          <w:color w:val="auto"/>
          <w:highlight w:val="none"/>
          <w:lang w:eastAsia="zh-CN"/>
        </w:rPr>
        <w:t>，距离本次环评时间在3年有效期内，引用时间有效</w:t>
      </w:r>
      <w:r>
        <w:rPr>
          <w:rFonts w:hint="eastAsia" w:cs="Times New Roman"/>
          <w:color w:val="auto"/>
          <w:highlight w:val="none"/>
          <w:lang w:eastAsia="zh-CN"/>
        </w:rPr>
        <w:t>。</w:t>
      </w:r>
    </w:p>
    <w:p>
      <w:pPr>
        <w:keepNext w:val="0"/>
        <w:keepLines w:val="0"/>
        <w:pageBreakBefore w:val="0"/>
        <w:widowControl w:val="0"/>
        <w:kinsoku/>
        <w:wordWrap/>
        <w:topLinePunct w:val="0"/>
        <w:bidi w:val="0"/>
        <w:ind w:firstLine="480" w:firstLineChars="200"/>
        <w:jc w:val="left"/>
        <w:rPr>
          <w:rFonts w:hint="default" w:ascii="Times New Roman" w:hAnsi="Times New Roman" w:cs="Times New Roman"/>
          <w:color w:val="auto"/>
          <w:highlight w:val="none"/>
          <w:u w:val="single"/>
        </w:rPr>
      </w:pPr>
      <w:r>
        <w:rPr>
          <w:rFonts w:hint="eastAsia" w:cs="Times New Roman"/>
          <w:color w:val="auto"/>
          <w:highlight w:val="none"/>
          <w:u w:val="single"/>
          <w:lang w:eastAsia="zh-CN"/>
        </w:rPr>
        <w:t>本次新增监测因子</w:t>
      </w:r>
      <w:r>
        <w:rPr>
          <w:rFonts w:hint="eastAsia"/>
          <w:sz w:val="24"/>
          <w:szCs w:val="24"/>
          <w:u w:val="single"/>
          <w:lang w:val="en-US" w:eastAsia="zh-CN"/>
        </w:rPr>
        <w:t>硝酸盐、亚硝酸盐、挥发性酚类、氰化物、氟、高锰酸盐指数、硫酸盐、氯化物、总大肠菌群、细菌总数</w:t>
      </w:r>
      <w:r>
        <w:rPr>
          <w:rFonts w:hint="eastAsia" w:cs="Times New Roman"/>
          <w:color w:val="auto"/>
          <w:highlight w:val="none"/>
          <w:u w:val="single"/>
          <w:lang w:eastAsia="zh-CN"/>
        </w:rPr>
        <w:t>补充监测时间为：</w:t>
      </w:r>
      <w:r>
        <w:rPr>
          <w:rFonts w:hint="eastAsia" w:cs="Times New Roman"/>
          <w:color w:val="auto"/>
          <w:highlight w:val="none"/>
          <w:u w:val="single"/>
          <w:lang w:val="en-US" w:eastAsia="zh-CN"/>
        </w:rPr>
        <w:t>2022年7月2号</w:t>
      </w:r>
      <w:r>
        <w:rPr>
          <w:rFonts w:hint="default" w:ascii="Times New Roman" w:hAnsi="Times New Roman" w:cs="Times New Roman"/>
          <w:color w:val="auto"/>
          <w:highlight w:val="none"/>
          <w:u w:val="single"/>
        </w:rPr>
        <w:t>。</w:t>
      </w:r>
    </w:p>
    <w:p>
      <w:pPr>
        <w:keepNext w:val="0"/>
        <w:keepLines w:val="0"/>
        <w:pageBreakBefore w:val="0"/>
        <w:widowControl w:val="0"/>
        <w:kinsoku/>
        <w:wordWrap/>
        <w:topLinePunct w:val="0"/>
        <w:bidi w:val="0"/>
        <w:ind w:firstLine="480" w:firstLineChars="200"/>
        <w:jc w:val="left"/>
        <w:rPr>
          <w:rFonts w:hint="default" w:ascii="Times New Roman" w:hAnsi="Times New Roman"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keepNext w:val="0"/>
        <w:keepLines w:val="0"/>
        <w:pageBreakBefore w:val="0"/>
        <w:widowControl w:val="0"/>
        <w:kinsoku/>
        <w:wordWrap/>
        <w:topLinePunct w:val="0"/>
        <w:bidi w:val="0"/>
        <w:ind w:firstLine="480" w:firstLineChars="200"/>
        <w:jc w:val="left"/>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监测结果及分析</w:t>
      </w:r>
    </w:p>
    <w:p>
      <w:pPr>
        <w:keepNext w:val="0"/>
        <w:keepLines w:val="0"/>
        <w:pageBreakBefore w:val="0"/>
        <w:widowControl w:val="0"/>
        <w:kinsoku/>
        <w:wordWrap/>
        <w:topLinePunct w:val="0"/>
        <w:bidi w:val="0"/>
        <w:spacing w:line="400" w:lineRule="exact"/>
        <w:jc w:val="center"/>
        <w:rPr>
          <w:rFonts w:hint="default" w:ascii="Times New Roman" w:hAnsi="Times New Roman" w:cs="Times New Roman"/>
          <w:color w:val="auto"/>
          <w:sz w:val="24"/>
          <w:highlight w:val="none"/>
          <w:lang w:eastAsia="zh-CN"/>
        </w:rPr>
      </w:pPr>
      <w:r>
        <w:rPr>
          <w:rFonts w:hint="default" w:ascii="Times New Roman" w:hAnsi="Times New Roman" w:cs="Times New Roman"/>
          <w:b/>
          <w:bCs/>
          <w:color w:val="auto"/>
          <w:sz w:val="21"/>
          <w:szCs w:val="21"/>
          <w:highlight w:val="none"/>
        </w:rPr>
        <w:t>表</w:t>
      </w:r>
      <w:r>
        <w:rPr>
          <w:rFonts w:hint="eastAsia" w:cs="Times New Roman"/>
          <w:b/>
          <w:bCs/>
          <w:color w:val="auto"/>
          <w:sz w:val="21"/>
          <w:szCs w:val="21"/>
          <w:highlight w:val="none"/>
          <w:lang w:val="en-US" w:eastAsia="zh-CN"/>
        </w:rPr>
        <w:t>3.6</w:t>
      </w:r>
      <w:r>
        <w:rPr>
          <w:rFonts w:hint="default" w:ascii="Times New Roman" w:hAnsi="Times New Roman" w:cs="Times New Roman"/>
          <w:b/>
          <w:bCs/>
          <w:color w:val="auto"/>
          <w:sz w:val="21"/>
          <w:szCs w:val="21"/>
          <w:highlight w:val="none"/>
        </w:rPr>
        <w:t>-</w:t>
      </w:r>
      <w:r>
        <w:rPr>
          <w:rFonts w:hint="eastAsia"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rPr>
        <w:t xml:space="preserve">  地</w:t>
      </w:r>
      <w:r>
        <w:rPr>
          <w:rFonts w:hint="eastAsia" w:cs="Times New Roman"/>
          <w:b/>
          <w:bCs/>
          <w:color w:val="auto"/>
          <w:sz w:val="21"/>
          <w:szCs w:val="21"/>
          <w:highlight w:val="none"/>
          <w:lang w:eastAsia="zh-CN"/>
        </w:rPr>
        <w:t>下</w:t>
      </w:r>
      <w:r>
        <w:rPr>
          <w:rFonts w:hint="default" w:ascii="Times New Roman" w:hAnsi="Times New Roman" w:cs="Times New Roman"/>
          <w:b/>
          <w:bCs/>
          <w:color w:val="auto"/>
          <w:sz w:val="21"/>
          <w:szCs w:val="21"/>
          <w:highlight w:val="none"/>
        </w:rPr>
        <w:t>水质量现状监测统计结果</w:t>
      </w:r>
      <w:r>
        <w:rPr>
          <w:rFonts w:hint="default" w:ascii="Times New Roman" w:hAnsi="Times New Roman" w:cs="Times New Roman"/>
          <w:b/>
          <w:bCs/>
          <w:color w:val="auto"/>
          <w:sz w:val="21"/>
          <w:szCs w:val="21"/>
          <w:highlight w:val="none"/>
          <w:lang w:eastAsia="zh-CN"/>
        </w:rPr>
        <w:t>（</w:t>
      </w:r>
      <w:r>
        <w:rPr>
          <w:rFonts w:hint="default" w:ascii="Times New Roman" w:hAnsi="Times New Roman" w:cs="Times New Roman"/>
          <w:b/>
          <w:bCs/>
          <w:color w:val="auto"/>
          <w:sz w:val="21"/>
          <w:szCs w:val="21"/>
          <w:highlight w:val="none"/>
        </w:rPr>
        <w:t>单位：pH值无量纲，其他均为mg/L</w:t>
      </w:r>
      <w:r>
        <w:rPr>
          <w:rFonts w:hint="default" w:ascii="Times New Roman" w:hAnsi="Times New Roman" w:cs="Times New Roman"/>
          <w:b/>
          <w:bCs/>
          <w:color w:val="auto"/>
          <w:sz w:val="21"/>
          <w:szCs w:val="21"/>
          <w:highlight w:val="none"/>
          <w:lang w:eastAsia="zh-CN"/>
        </w:rPr>
        <w:t>）</w:t>
      </w:r>
    </w:p>
    <w:tbl>
      <w:tblPr>
        <w:tblStyle w:val="37"/>
        <w:tblW w:w="488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538"/>
        <w:gridCol w:w="797"/>
        <w:gridCol w:w="574"/>
        <w:gridCol w:w="574"/>
        <w:gridCol w:w="574"/>
        <w:gridCol w:w="588"/>
        <w:gridCol w:w="616"/>
        <w:gridCol w:w="658"/>
        <w:gridCol w:w="601"/>
        <w:gridCol w:w="546"/>
        <w:gridCol w:w="546"/>
        <w:gridCol w:w="531"/>
        <w:gridCol w:w="574"/>
        <w:gridCol w:w="504"/>
        <w:gridCol w:w="588"/>
        <w:gridCol w:w="476"/>
        <w:gridCol w:w="462"/>
        <w:gridCol w:w="504"/>
        <w:gridCol w:w="601"/>
        <w:gridCol w:w="504"/>
        <w:gridCol w:w="574"/>
        <w:gridCol w:w="476"/>
        <w:gridCol w:w="518"/>
        <w:gridCol w:w="448"/>
        <w:gridCol w:w="4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43" w:hRule="atLeast"/>
          <w:tblHeader/>
          <w:jc w:val="center"/>
        </w:trPr>
        <w:tc>
          <w:tcPr>
            <w:tcW w:w="194"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采样</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点位</w:t>
            </w: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项目</w:t>
            </w:r>
          </w:p>
        </w:tc>
        <w:tc>
          <w:tcPr>
            <w:tcW w:w="20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pH值</w:t>
            </w:r>
          </w:p>
        </w:tc>
        <w:tc>
          <w:tcPr>
            <w:tcW w:w="20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氨氮</w:t>
            </w:r>
          </w:p>
        </w:tc>
        <w:tc>
          <w:tcPr>
            <w:tcW w:w="20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总磷</w:t>
            </w:r>
          </w:p>
        </w:tc>
        <w:tc>
          <w:tcPr>
            <w:tcW w:w="212"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六价铬</w:t>
            </w:r>
          </w:p>
        </w:tc>
        <w:tc>
          <w:tcPr>
            <w:tcW w:w="222"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总硬度</w:t>
            </w:r>
          </w:p>
        </w:tc>
        <w:tc>
          <w:tcPr>
            <w:tcW w:w="23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溶解性总固体</w:t>
            </w:r>
          </w:p>
        </w:tc>
        <w:tc>
          <w:tcPr>
            <w:tcW w:w="21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耗氧量</w:t>
            </w:r>
          </w:p>
        </w:tc>
        <w:tc>
          <w:tcPr>
            <w:tcW w:w="19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硫酸盐</w:t>
            </w:r>
          </w:p>
        </w:tc>
        <w:tc>
          <w:tcPr>
            <w:tcW w:w="19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氯化物</w:t>
            </w:r>
          </w:p>
        </w:tc>
        <w:tc>
          <w:tcPr>
            <w:tcW w:w="191"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砷</w:t>
            </w:r>
          </w:p>
        </w:tc>
        <w:tc>
          <w:tcPr>
            <w:tcW w:w="20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汞</w:t>
            </w:r>
          </w:p>
        </w:tc>
        <w:tc>
          <w:tcPr>
            <w:tcW w:w="181"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铜</w:t>
            </w:r>
          </w:p>
        </w:tc>
        <w:tc>
          <w:tcPr>
            <w:tcW w:w="212"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锌</w:t>
            </w:r>
          </w:p>
        </w:tc>
        <w:tc>
          <w:tcPr>
            <w:tcW w:w="171"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铁</w:t>
            </w:r>
          </w:p>
        </w:tc>
        <w:tc>
          <w:tcPr>
            <w:tcW w:w="166"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锰</w:t>
            </w:r>
          </w:p>
        </w:tc>
        <w:tc>
          <w:tcPr>
            <w:tcW w:w="181"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铅</w:t>
            </w:r>
          </w:p>
        </w:tc>
        <w:tc>
          <w:tcPr>
            <w:tcW w:w="21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镉</w:t>
            </w:r>
          </w:p>
        </w:tc>
        <w:tc>
          <w:tcPr>
            <w:tcW w:w="181"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钾</w:t>
            </w:r>
          </w:p>
        </w:tc>
        <w:tc>
          <w:tcPr>
            <w:tcW w:w="20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钠</w:t>
            </w:r>
          </w:p>
        </w:tc>
        <w:tc>
          <w:tcPr>
            <w:tcW w:w="171"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钙</w:t>
            </w:r>
          </w:p>
        </w:tc>
        <w:tc>
          <w:tcPr>
            <w:tcW w:w="1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镁</w:t>
            </w:r>
          </w:p>
        </w:tc>
        <w:tc>
          <w:tcPr>
            <w:tcW w:w="161"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碳酸根</w:t>
            </w:r>
          </w:p>
        </w:tc>
        <w:tc>
          <w:tcPr>
            <w:tcW w:w="171"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重碳</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酸根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restart"/>
            <w:tcBorders>
              <w:tl2br w:val="nil"/>
              <w:tr2bl w:val="nil"/>
            </w:tcBorders>
            <w:shd w:val="clear" w:color="auto" w:fill="FFFFFF"/>
            <w:noWrap w:val="0"/>
            <w:vAlign w:val="center"/>
          </w:tcPr>
          <w:p>
            <w:pPr>
              <w:pStyle w:val="130"/>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sz w:val="21"/>
                <w:szCs w:val="21"/>
                <w:lang w:val="en-US" w:eastAsia="zh-CN"/>
              </w:rPr>
              <w:t>D1龙洞村水井</w:t>
            </w: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监测值</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范围</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7.21-</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7.33</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0.036-</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0.044</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0.02</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0.004L</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303-</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331</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404-</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456</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0.6-0.7</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8L</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7-8.3</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0.0003L</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0.00004L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0.006L</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0.032-</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0.057</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0.01L</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0.0025L</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0.0005L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0.84-</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0.88</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0.74-</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0.81</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69.2-</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72.2</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38.3-</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38.8</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5L</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353-</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最大</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标准指数</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0.220 </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0.088 </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0.736 </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0.456 </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0.233 </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0.033 </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0.057 </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0.004 </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最大</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超标倍数</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超标率（%）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17" w:hRule="atLeast"/>
          <w:jc w:val="center"/>
        </w:trPr>
        <w:tc>
          <w:tcPr>
            <w:tcW w:w="194" w:type="pct"/>
            <w:vMerge w:val="continue"/>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评价结果</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cs="Times New Roman"/>
                <w:sz w:val="21"/>
                <w:szCs w:val="21"/>
                <w:lang w:val="en-US" w:eastAsia="zh-CN"/>
              </w:rPr>
              <w:t>D2</w:t>
            </w:r>
            <w:r>
              <w:rPr>
                <w:rFonts w:hint="default" w:ascii="Times New Roman" w:hAnsi="Times New Roman" w:eastAsia="宋体" w:cs="Times New Roman"/>
                <w:sz w:val="21"/>
                <w:szCs w:val="21"/>
                <w:lang w:val="en-US" w:eastAsia="zh-CN"/>
              </w:rPr>
              <w:t>卡地村</w:t>
            </w:r>
            <w:r>
              <w:rPr>
                <w:rFonts w:hint="default" w:ascii="Times New Roman" w:hAnsi="Times New Roman" w:cs="Times New Roman"/>
                <w:sz w:val="21"/>
                <w:szCs w:val="21"/>
                <w:lang w:val="en-US" w:eastAsia="zh-CN"/>
              </w:rPr>
              <w:t>水井</w:t>
            </w: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监测值</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范围</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7.15-</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7.26</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0.025L</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0.01-</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0.03</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0.004L</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339-</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359</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483-</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519</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0.5-0.7</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8L</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16.3-18.4</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0.0003L</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0.0004L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0.006L</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0.05-0.076</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0.01L</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0.0025L</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0.0005L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0.84-</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0.88</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0.74-0.76</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72.4-</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74.6</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37.4-38.8</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5L</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331</w:t>
            </w:r>
            <w:r>
              <w:rPr>
                <w:rFonts w:hint="default" w:ascii="Times New Roman" w:hAnsi="Times New Roman" w:cs="Times New Roman"/>
                <w:i w:val="0"/>
                <w:color w:val="000000"/>
                <w:kern w:val="0"/>
                <w:sz w:val="21"/>
                <w:szCs w:val="21"/>
                <w:u w:val="none"/>
                <w:lang w:val="en-US" w:eastAsia="zh-CN" w:bidi="ar"/>
              </w:rPr>
              <w:t>-</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最大</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标准指数</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0.173 </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0.000 </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0.798 </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0.519 </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0.233 </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0.074 </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0.076 </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0.004 </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最大</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超标倍数</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超标率（%）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17"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评价结果</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restar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kern w:val="2"/>
                <w:sz w:val="21"/>
                <w:szCs w:val="21"/>
                <w:lang w:val="en-US" w:eastAsia="zh-CN" w:bidi="ar-SA"/>
              </w:rPr>
              <w:t>D3兴龙社区</w:t>
            </w:r>
            <w:r>
              <w:rPr>
                <w:rFonts w:hint="default" w:ascii="Times New Roman" w:hAnsi="Times New Roman" w:cs="Times New Roman"/>
                <w:sz w:val="21"/>
                <w:szCs w:val="21"/>
                <w:lang w:val="en-US" w:eastAsia="zh-CN"/>
              </w:rPr>
              <w:t>水井</w:t>
            </w: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监测值</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范围</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7.83-7.97</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0.026-</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0.031</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0.03</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0.004L</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180-</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209</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251-293</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0.7-0.8</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8L</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8.2-10.6</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0.0003L</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0.00004L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0.006L</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0.055-</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0.094</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0.01L</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0.0025L</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0.0005L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0.83-</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0.88</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0.74-0.8</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71.7-</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73.7</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36.8-37.7</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5L</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321-</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最大</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标准指数</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0.647 </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0.062 </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0.464 </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0.293 </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0.267 </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0.042 </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0.094 </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0.004 </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最大</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超标倍数</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超标率（%）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17"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评价结果</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restar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sz w:val="21"/>
                <w:szCs w:val="21"/>
                <w:lang w:val="en-US" w:eastAsia="zh-CN"/>
              </w:rPr>
              <w:t>D4老鸦塘</w:t>
            </w:r>
            <w:r>
              <w:rPr>
                <w:rFonts w:hint="default" w:ascii="Times New Roman" w:hAnsi="Times New Roman" w:cs="Times New Roman"/>
                <w:sz w:val="21"/>
                <w:szCs w:val="21"/>
                <w:lang w:val="en-US" w:eastAsia="zh-CN"/>
              </w:rPr>
              <w:t>水井</w:t>
            </w: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监测值</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范围</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7.35-7.42</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0.029-</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0.034</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0.01-</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0.03</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0.004L</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277-</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300</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355</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-394</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cs="Times New Roman"/>
                <w:i w:val="0"/>
                <w:color w:val="000000"/>
                <w:kern w:val="0"/>
                <w:sz w:val="21"/>
                <w:szCs w:val="21"/>
                <w:u w:val="none"/>
                <w:lang w:val="en-US" w:eastAsia="zh-CN" w:bidi="ar"/>
              </w:rPr>
              <w:t>0.9</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8L</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8.3-9.4</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0.0003L</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0.00004L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0.006L</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0.044</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-0.064</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0.01L</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0.0025L</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0.0005L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0.84</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-0.85</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0.72-0.76</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70.3</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-73.4</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36.2-37.2</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5L</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353</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最大</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标准指数</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0.280 </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0.068 </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0.667 </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0.394 </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0.300 </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0.038 </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0.064 </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0.004 </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最大</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超标倍数</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超标率（%）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17"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评价结果</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sz w:val="21"/>
                <w:szCs w:val="21"/>
                <w:lang w:val="en-US" w:eastAsia="zh-CN"/>
              </w:rPr>
              <w:t>D5新生屯村</w:t>
            </w:r>
            <w:r>
              <w:rPr>
                <w:rFonts w:hint="default" w:ascii="Times New Roman" w:hAnsi="Times New Roman" w:cs="Times New Roman"/>
                <w:sz w:val="21"/>
                <w:szCs w:val="21"/>
                <w:lang w:val="en-US" w:eastAsia="zh-CN"/>
              </w:rPr>
              <w:t>水井</w:t>
            </w: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监测值</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范围</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7.51-7.6</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0.025L</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0.01-0.02</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0.004L</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320-336</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490-524</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0.7-0.8</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8L</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9.5-11.6</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0.0003L</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0.00004L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0.006L</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0.045</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-0.065</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0.01L</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0.0025L</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0.0005L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0.44</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-0.48</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0.79-0.88</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111-118</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50.6-53.5</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5L</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319-327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最大</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标准指数</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0.400 </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0.000 </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0.747 </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0.524 </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0.267 </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0.046 </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0.065 </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0.004 </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最大</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超标倍数</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17"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超标率（%）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17"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评价结果</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restar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sz w:val="21"/>
                <w:szCs w:val="21"/>
                <w:lang w:val="en-US" w:eastAsia="zh-CN"/>
              </w:rPr>
              <w:t>D6下腊尔铺</w:t>
            </w:r>
            <w:r>
              <w:rPr>
                <w:rFonts w:hint="default" w:ascii="Times New Roman" w:hAnsi="Times New Roman" w:cs="Times New Roman"/>
                <w:sz w:val="21"/>
                <w:szCs w:val="21"/>
                <w:lang w:val="en-US" w:eastAsia="zh-CN"/>
              </w:rPr>
              <w:t>水井</w:t>
            </w: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监测值</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范围</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7.32-7.42</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0.052-</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0.065</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0.02-0.04</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0.004L</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282-310</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408-435</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0.6-0.7</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8L</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8.4-9.7</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0.0003L</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0.00004L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0.006L</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0.021</w:t>
            </w:r>
          </w:p>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-0.042</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0.01L</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0.0025L</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0.0005L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0.42-0.44</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0.84-0.87</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113-118</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51.9-53.4</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5L</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308-315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最大</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标准指数</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0.280 </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0.130 </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0.689 </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0.435 </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0.233 </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0.039 </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0.042 </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0.004 </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最大</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超标倍数</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超标率（%）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17"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评价结果</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sz w:val="21"/>
                <w:szCs w:val="21"/>
                <w:lang w:val="en-US" w:eastAsia="zh-CN"/>
              </w:rPr>
              <w:t>D7南门村</w:t>
            </w:r>
            <w:r>
              <w:rPr>
                <w:rFonts w:hint="default" w:ascii="Times New Roman" w:hAnsi="Times New Roman" w:cs="Times New Roman"/>
                <w:sz w:val="21"/>
                <w:szCs w:val="21"/>
                <w:lang w:val="en-US" w:eastAsia="zh-CN"/>
              </w:rPr>
              <w:t>水井</w:t>
            </w: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监测值</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范围</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7.28-7.39</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0.025L</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0.02-0.04</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0.004L</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313-334</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464-511</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0.5-0.8</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8L</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3.7-5.6</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0.0003L</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0.00004L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0.006L</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0.021-0.036</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0.01L</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0.0025L</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0.0005L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0.44-0.46</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0.81-0.91</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114-117</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51.5-53.4</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5L</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323-333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最大</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标准指数</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0.260 </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0.000 </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0.742 </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0.511 </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0.267 </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0.022 </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0.036 </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0.005 </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最大</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超标倍数</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超标率（%）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17"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评价结果</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restar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kern w:val="2"/>
                <w:sz w:val="21"/>
                <w:szCs w:val="21"/>
                <w:lang w:val="en-US" w:eastAsia="zh-CN" w:bidi="ar-SA"/>
              </w:rPr>
              <w:t>D8洞溪坪村</w:t>
            </w:r>
            <w:r>
              <w:rPr>
                <w:rFonts w:hint="default" w:ascii="Times New Roman" w:hAnsi="Times New Roman" w:cs="Times New Roman"/>
                <w:sz w:val="21"/>
                <w:szCs w:val="21"/>
                <w:lang w:val="en-US" w:eastAsia="zh-CN"/>
              </w:rPr>
              <w:t>水井</w:t>
            </w: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监测值</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范围</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7.23-7.34</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0.025L</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0.01-0.04</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0.004L</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306-332</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454-470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0.8-1</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8L</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6-7.2</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0.0003L</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0.00004L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0.006L</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0.008-0.03</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0.01L</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0.01L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0.0025L</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0.0005L</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0.44-0.45</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0.84-0.88</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114-116</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52.1-53</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5L</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326-330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17"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最大</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标准指数</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0.227 </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0.738 </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0.470 </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0.333 </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0.029 </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0.030 </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 xml:space="preserve">0.004 </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最大</w:t>
            </w:r>
          </w:p>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超标倍数</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24"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超标率（%）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0</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17" w:hRule="atLeast"/>
          <w:jc w:val="center"/>
        </w:trPr>
        <w:tc>
          <w:tcPr>
            <w:tcW w:w="194"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p>
        </w:tc>
        <w:tc>
          <w:tcPr>
            <w:tcW w:w="2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评价结果</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2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3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9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6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21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8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20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达标</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87"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6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c>
          <w:tcPr>
            <w:tcW w:w="171"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653" w:hRule="atLeast"/>
          <w:jc w:val="center"/>
        </w:trPr>
        <w:tc>
          <w:tcPr>
            <w:tcW w:w="482" w:type="pct"/>
            <w:gridSpan w:val="2"/>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III类标准</w:t>
            </w:r>
          </w:p>
        </w:tc>
        <w:tc>
          <w:tcPr>
            <w:tcW w:w="20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snapToGrid w:val="0"/>
                <w:color w:val="auto"/>
                <w:kern w:val="0"/>
                <w:sz w:val="21"/>
                <w:szCs w:val="21"/>
                <w:highlight w:val="none"/>
              </w:rPr>
              <w:t>6.5~8.5</w:t>
            </w:r>
          </w:p>
        </w:tc>
        <w:tc>
          <w:tcPr>
            <w:tcW w:w="20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0.5</w:t>
            </w:r>
          </w:p>
        </w:tc>
        <w:tc>
          <w:tcPr>
            <w:tcW w:w="20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val="en-US" w:eastAsia="zh-CN"/>
              </w:rPr>
              <w:t>/</w:t>
            </w:r>
          </w:p>
        </w:tc>
        <w:tc>
          <w:tcPr>
            <w:tcW w:w="212"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val="en-US" w:eastAsia="zh-CN"/>
              </w:rPr>
              <w:t>0.05</w:t>
            </w:r>
          </w:p>
        </w:tc>
        <w:tc>
          <w:tcPr>
            <w:tcW w:w="222"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snapToGrid w:val="0"/>
                <w:color w:val="auto"/>
                <w:kern w:val="0"/>
                <w:sz w:val="21"/>
                <w:szCs w:val="21"/>
                <w:highlight w:val="none"/>
              </w:rPr>
              <w:t>450</w:t>
            </w:r>
          </w:p>
        </w:tc>
        <w:tc>
          <w:tcPr>
            <w:tcW w:w="23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color w:val="auto"/>
                <w:kern w:val="0"/>
                <w:sz w:val="21"/>
                <w:szCs w:val="21"/>
                <w:highlight w:val="none"/>
              </w:rPr>
              <w:t>≤1000</w:t>
            </w:r>
          </w:p>
        </w:tc>
        <w:tc>
          <w:tcPr>
            <w:tcW w:w="21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snapToGrid w:val="0"/>
                <w:color w:val="auto"/>
                <w:kern w:val="0"/>
                <w:sz w:val="21"/>
                <w:szCs w:val="21"/>
                <w:highlight w:val="none"/>
                <w:lang w:val="en-US" w:eastAsia="zh-CN"/>
              </w:rPr>
              <w:t>3.0</w:t>
            </w:r>
          </w:p>
        </w:tc>
        <w:tc>
          <w:tcPr>
            <w:tcW w:w="19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250</w:t>
            </w:r>
          </w:p>
        </w:tc>
        <w:tc>
          <w:tcPr>
            <w:tcW w:w="19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250</w:t>
            </w:r>
          </w:p>
        </w:tc>
        <w:tc>
          <w:tcPr>
            <w:tcW w:w="191"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val="en-US" w:eastAsia="zh-CN"/>
              </w:rPr>
              <w:t>0.01</w:t>
            </w:r>
          </w:p>
        </w:tc>
        <w:tc>
          <w:tcPr>
            <w:tcW w:w="20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val="en-US" w:eastAsia="zh-CN"/>
              </w:rPr>
              <w:t>0.001</w:t>
            </w:r>
          </w:p>
        </w:tc>
        <w:tc>
          <w:tcPr>
            <w:tcW w:w="181"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val="en-US" w:eastAsia="zh-CN"/>
              </w:rPr>
              <w:t>1.0</w:t>
            </w:r>
          </w:p>
        </w:tc>
        <w:tc>
          <w:tcPr>
            <w:tcW w:w="212"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val="en-US" w:eastAsia="zh-CN"/>
              </w:rPr>
              <w:t>1.0</w:t>
            </w:r>
          </w:p>
        </w:tc>
        <w:tc>
          <w:tcPr>
            <w:tcW w:w="171"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val="en-US" w:eastAsia="zh-CN"/>
              </w:rPr>
              <w:t>0.3</w:t>
            </w:r>
          </w:p>
        </w:tc>
        <w:tc>
          <w:tcPr>
            <w:tcW w:w="166"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val="en-US" w:eastAsia="zh-CN"/>
              </w:rPr>
              <w:t>0.10</w:t>
            </w:r>
          </w:p>
        </w:tc>
        <w:tc>
          <w:tcPr>
            <w:tcW w:w="181"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val="en-US" w:eastAsia="zh-CN"/>
              </w:rPr>
              <w:t>0.01</w:t>
            </w:r>
          </w:p>
        </w:tc>
        <w:tc>
          <w:tcPr>
            <w:tcW w:w="21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color w:val="auto"/>
                <w:kern w:val="0"/>
                <w:sz w:val="21"/>
                <w:szCs w:val="21"/>
                <w:highlight w:val="none"/>
              </w:rPr>
              <w:t>≤</w:t>
            </w:r>
            <w:r>
              <w:rPr>
                <w:rFonts w:hint="default" w:ascii="Times New Roman" w:hAnsi="Times New Roman" w:cs="Times New Roman"/>
                <w:color w:val="auto"/>
                <w:kern w:val="0"/>
                <w:sz w:val="21"/>
                <w:szCs w:val="21"/>
                <w:highlight w:val="none"/>
                <w:lang w:val="en-US" w:eastAsia="zh-CN"/>
              </w:rPr>
              <w:t>0.005</w:t>
            </w:r>
          </w:p>
        </w:tc>
        <w:tc>
          <w:tcPr>
            <w:tcW w:w="181"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val="en-US" w:eastAsia="zh-CN"/>
              </w:rPr>
              <w:t>/</w:t>
            </w:r>
          </w:p>
        </w:tc>
        <w:tc>
          <w:tcPr>
            <w:tcW w:w="20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cs="Times New Roman"/>
                <w:color w:val="auto"/>
                <w:kern w:val="0"/>
                <w:sz w:val="21"/>
                <w:szCs w:val="21"/>
                <w:highlight w:val="none"/>
                <w:lang w:eastAsia="zh-CN"/>
              </w:rPr>
              <w:t>≤</w:t>
            </w:r>
            <w:r>
              <w:rPr>
                <w:rFonts w:hint="default" w:ascii="Times New Roman" w:hAnsi="Times New Roman" w:cs="Times New Roman"/>
                <w:color w:val="auto"/>
                <w:kern w:val="0"/>
                <w:sz w:val="21"/>
                <w:szCs w:val="21"/>
                <w:highlight w:val="none"/>
              </w:rPr>
              <w:t>200</w:t>
            </w:r>
          </w:p>
        </w:tc>
        <w:tc>
          <w:tcPr>
            <w:tcW w:w="171"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val="en-US" w:eastAsia="zh-CN"/>
              </w:rPr>
              <w:t>/</w:t>
            </w:r>
          </w:p>
        </w:tc>
        <w:tc>
          <w:tcPr>
            <w:tcW w:w="187"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val="en-US" w:eastAsia="zh-CN"/>
              </w:rPr>
              <w:t>/</w:t>
            </w:r>
          </w:p>
        </w:tc>
        <w:tc>
          <w:tcPr>
            <w:tcW w:w="161"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val="en-US" w:eastAsia="zh-CN"/>
              </w:rPr>
              <w:t>/</w:t>
            </w:r>
          </w:p>
        </w:tc>
        <w:tc>
          <w:tcPr>
            <w:tcW w:w="171"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lang w:val="en-US" w:eastAsia="zh-CN"/>
              </w:rPr>
              <w:t>/</w:t>
            </w:r>
          </w:p>
        </w:tc>
      </w:tr>
    </w:tbl>
    <w:p>
      <w:pPr>
        <w:keepNext w:val="0"/>
        <w:keepLines w:val="0"/>
        <w:pageBreakBefore w:val="0"/>
        <w:widowControl w:val="0"/>
        <w:kinsoku/>
        <w:wordWrap/>
        <w:topLinePunct w:val="0"/>
        <w:bidi w:val="0"/>
        <w:spacing w:line="400" w:lineRule="exact"/>
        <w:jc w:val="center"/>
        <w:rPr>
          <w:rFonts w:hint="default" w:ascii="Times New Roman" w:hAnsi="Times New Roman" w:cs="Times New Roman"/>
          <w:color w:val="auto"/>
          <w:sz w:val="24"/>
          <w:highlight w:val="none"/>
          <w:u w:val="single"/>
          <w:lang w:eastAsia="zh-CN"/>
        </w:rPr>
      </w:pPr>
      <w:r>
        <w:rPr>
          <w:rFonts w:hint="default" w:ascii="Times New Roman" w:hAnsi="Times New Roman" w:cs="Times New Roman"/>
          <w:b/>
          <w:bCs/>
          <w:color w:val="auto"/>
          <w:sz w:val="21"/>
          <w:szCs w:val="21"/>
          <w:highlight w:val="none"/>
          <w:u w:val="single"/>
        </w:rPr>
        <w:t>表</w:t>
      </w:r>
      <w:r>
        <w:rPr>
          <w:rFonts w:hint="eastAsia" w:cs="Times New Roman"/>
          <w:b/>
          <w:bCs/>
          <w:color w:val="auto"/>
          <w:sz w:val="21"/>
          <w:szCs w:val="21"/>
          <w:highlight w:val="none"/>
          <w:u w:val="single"/>
          <w:lang w:val="en-US" w:eastAsia="zh-CN"/>
        </w:rPr>
        <w:t>3.6</w:t>
      </w:r>
      <w:r>
        <w:rPr>
          <w:rFonts w:hint="default" w:ascii="Times New Roman" w:hAnsi="Times New Roman" w:cs="Times New Roman"/>
          <w:b/>
          <w:bCs/>
          <w:color w:val="auto"/>
          <w:sz w:val="21"/>
          <w:szCs w:val="21"/>
          <w:highlight w:val="none"/>
          <w:u w:val="single"/>
        </w:rPr>
        <w:t>-</w:t>
      </w:r>
      <w:r>
        <w:rPr>
          <w:rFonts w:hint="eastAsia" w:cs="Times New Roman"/>
          <w:b/>
          <w:bCs/>
          <w:color w:val="auto"/>
          <w:sz w:val="21"/>
          <w:szCs w:val="21"/>
          <w:highlight w:val="none"/>
          <w:u w:val="single"/>
          <w:lang w:val="en-US" w:eastAsia="zh-CN"/>
        </w:rPr>
        <w:t>5</w:t>
      </w:r>
      <w:r>
        <w:rPr>
          <w:rFonts w:hint="default" w:ascii="Times New Roman" w:hAnsi="Times New Roman" w:cs="Times New Roman"/>
          <w:b/>
          <w:bCs/>
          <w:color w:val="auto"/>
          <w:sz w:val="21"/>
          <w:szCs w:val="21"/>
          <w:highlight w:val="none"/>
          <w:u w:val="single"/>
        </w:rPr>
        <w:t xml:space="preserve">  地表水质量现状</w:t>
      </w:r>
      <w:r>
        <w:rPr>
          <w:rFonts w:hint="eastAsia" w:ascii="Times New Roman" w:hAnsi="Times New Roman" w:cs="Times New Roman"/>
          <w:b/>
          <w:bCs/>
          <w:color w:val="auto"/>
          <w:sz w:val="21"/>
          <w:szCs w:val="21"/>
          <w:highlight w:val="none"/>
          <w:u w:val="single"/>
          <w:lang w:eastAsia="zh-CN"/>
        </w:rPr>
        <w:t>补充</w:t>
      </w:r>
      <w:r>
        <w:rPr>
          <w:rFonts w:hint="default" w:ascii="Times New Roman" w:hAnsi="Times New Roman" w:cs="Times New Roman"/>
          <w:b/>
          <w:bCs/>
          <w:color w:val="auto"/>
          <w:sz w:val="21"/>
          <w:szCs w:val="21"/>
          <w:highlight w:val="none"/>
          <w:u w:val="single"/>
        </w:rPr>
        <w:t>监测统计结果</w:t>
      </w:r>
      <w:r>
        <w:rPr>
          <w:rFonts w:hint="default" w:ascii="Times New Roman" w:hAnsi="Times New Roman" w:cs="Times New Roman"/>
          <w:b/>
          <w:bCs/>
          <w:color w:val="auto"/>
          <w:sz w:val="21"/>
          <w:szCs w:val="21"/>
          <w:highlight w:val="none"/>
          <w:u w:val="single"/>
          <w:lang w:eastAsia="zh-CN"/>
        </w:rPr>
        <w:t>（</w:t>
      </w:r>
      <w:r>
        <w:rPr>
          <w:rFonts w:hint="default" w:ascii="Times New Roman" w:hAnsi="Times New Roman" w:cs="Times New Roman"/>
          <w:b/>
          <w:bCs/>
          <w:color w:val="auto"/>
          <w:sz w:val="21"/>
          <w:szCs w:val="21"/>
          <w:highlight w:val="none"/>
          <w:u w:val="single"/>
        </w:rPr>
        <w:t>单位：pH值无量纲，其他均为mg/L</w:t>
      </w:r>
      <w:r>
        <w:rPr>
          <w:rFonts w:hint="default" w:ascii="Times New Roman" w:hAnsi="Times New Roman" w:cs="Times New Roman"/>
          <w:b/>
          <w:bCs/>
          <w:color w:val="auto"/>
          <w:sz w:val="21"/>
          <w:szCs w:val="21"/>
          <w:highlight w:val="none"/>
          <w:u w:val="single"/>
          <w:lang w:eastAsia="zh-CN"/>
        </w:rPr>
        <w:t>）</w:t>
      </w:r>
    </w:p>
    <w:tbl>
      <w:tblPr>
        <w:tblStyle w:val="37"/>
        <w:tblW w:w="491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170"/>
        <w:gridCol w:w="1557"/>
        <w:gridCol w:w="1170"/>
        <w:gridCol w:w="843"/>
        <w:gridCol w:w="1133"/>
        <w:gridCol w:w="1161"/>
        <w:gridCol w:w="1215"/>
        <w:gridCol w:w="1298"/>
        <w:gridCol w:w="1185"/>
        <w:gridCol w:w="1077"/>
        <w:gridCol w:w="1077"/>
        <w:gridCol w:w="10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90" w:hRule="atLeast"/>
          <w:tblHeader/>
          <w:jc w:val="center"/>
        </w:trPr>
        <w:tc>
          <w:tcPr>
            <w:tcW w:w="419"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u w:val="single"/>
                <w:lang w:val="en-US" w:eastAsia="zh-CN"/>
              </w:rPr>
            </w:pPr>
            <w:r>
              <w:rPr>
                <w:rFonts w:hint="default" w:ascii="Times New Roman" w:hAnsi="Times New Roman" w:eastAsia="宋体" w:cs="Times New Roman"/>
                <w:b/>
                <w:bCs w:val="0"/>
                <w:sz w:val="21"/>
                <w:szCs w:val="21"/>
                <w:u w:val="single"/>
                <w:lang w:val="en-US" w:eastAsia="zh-CN"/>
              </w:rPr>
              <w:t>采样点位</w:t>
            </w: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u w:val="single"/>
                <w:lang w:val="en-US" w:eastAsia="zh-CN"/>
              </w:rPr>
            </w:pPr>
            <w:r>
              <w:rPr>
                <w:rFonts w:hint="default" w:ascii="Times New Roman" w:hAnsi="Times New Roman" w:eastAsia="宋体" w:cs="Times New Roman"/>
                <w:b/>
                <w:bCs w:val="0"/>
                <w:sz w:val="21"/>
                <w:szCs w:val="21"/>
                <w:u w:val="single"/>
                <w:lang w:val="en-US" w:eastAsia="zh-CN"/>
              </w:rPr>
              <w:t>项目</w:t>
            </w:r>
          </w:p>
        </w:tc>
        <w:tc>
          <w:tcPr>
            <w:tcW w:w="419"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u w:val="single"/>
                <w:lang w:val="en-US" w:eastAsia="zh-CN"/>
              </w:rPr>
            </w:pPr>
            <w:r>
              <w:rPr>
                <w:rFonts w:hint="default" w:ascii="Times New Roman" w:hAnsi="Times New Roman" w:eastAsia="宋体" w:cs="Times New Roman"/>
                <w:b/>
                <w:bCs w:val="0"/>
                <w:sz w:val="21"/>
                <w:szCs w:val="21"/>
                <w:u w:val="single"/>
                <w:lang w:val="en-US" w:eastAsia="zh-CN"/>
              </w:rPr>
              <w:t>硫酸盐</w:t>
            </w:r>
          </w:p>
        </w:tc>
        <w:tc>
          <w:tcPr>
            <w:tcW w:w="302"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u w:val="single"/>
                <w:lang w:val="en-US" w:eastAsia="zh-CN"/>
              </w:rPr>
            </w:pPr>
            <w:r>
              <w:rPr>
                <w:rFonts w:hint="default" w:ascii="Times New Roman" w:hAnsi="Times New Roman" w:eastAsia="宋体" w:cs="Times New Roman"/>
                <w:b/>
                <w:bCs w:val="0"/>
                <w:sz w:val="21"/>
                <w:szCs w:val="21"/>
                <w:u w:val="single"/>
                <w:lang w:val="en-US" w:eastAsia="zh-CN"/>
              </w:rPr>
              <w:t>氯化物</w:t>
            </w:r>
          </w:p>
        </w:tc>
        <w:tc>
          <w:tcPr>
            <w:tcW w:w="406"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u w:val="single"/>
                <w:lang w:val="en-US" w:eastAsia="zh-CN"/>
              </w:rPr>
            </w:pPr>
            <w:r>
              <w:rPr>
                <w:rFonts w:hint="default" w:ascii="Times New Roman" w:hAnsi="Times New Roman" w:eastAsia="宋体" w:cs="Times New Roman"/>
                <w:b/>
                <w:bCs w:val="0"/>
                <w:sz w:val="21"/>
                <w:szCs w:val="21"/>
                <w:u w:val="single"/>
                <w:lang w:val="en-US" w:eastAsia="zh-CN"/>
              </w:rPr>
              <w:t>挥发酚</w:t>
            </w:r>
          </w:p>
        </w:tc>
        <w:tc>
          <w:tcPr>
            <w:tcW w:w="416"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u w:val="single"/>
                <w:lang w:val="en-US" w:eastAsia="zh-CN"/>
              </w:rPr>
            </w:pPr>
            <w:r>
              <w:rPr>
                <w:rFonts w:hint="default" w:ascii="Times New Roman" w:hAnsi="Times New Roman" w:eastAsia="宋体" w:cs="Times New Roman"/>
                <w:b/>
                <w:bCs w:val="0"/>
                <w:sz w:val="21"/>
                <w:szCs w:val="21"/>
                <w:u w:val="single"/>
                <w:lang w:val="en-US" w:eastAsia="zh-CN"/>
              </w:rPr>
              <w:t>耗氧量</w:t>
            </w:r>
          </w:p>
        </w:tc>
        <w:tc>
          <w:tcPr>
            <w:tcW w:w="436"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u w:val="single"/>
                <w:lang w:val="en-US" w:eastAsia="zh-CN"/>
              </w:rPr>
            </w:pPr>
            <w:r>
              <w:rPr>
                <w:rFonts w:hint="default" w:ascii="Times New Roman" w:hAnsi="Times New Roman" w:eastAsia="宋体" w:cs="Times New Roman"/>
                <w:b/>
                <w:bCs w:val="0"/>
                <w:sz w:val="21"/>
                <w:szCs w:val="21"/>
                <w:u w:val="single"/>
                <w:lang w:val="en-US" w:eastAsia="zh-CN"/>
              </w:rPr>
              <w:t>硝酸盐</w:t>
            </w:r>
          </w:p>
        </w:tc>
        <w:tc>
          <w:tcPr>
            <w:tcW w:w="465"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u w:val="single"/>
                <w:lang w:val="en-US" w:eastAsia="zh-CN"/>
              </w:rPr>
            </w:pPr>
            <w:r>
              <w:rPr>
                <w:rFonts w:hint="default" w:ascii="Times New Roman" w:hAnsi="Times New Roman" w:eastAsia="宋体" w:cs="Times New Roman"/>
                <w:b/>
                <w:bCs w:val="0"/>
                <w:sz w:val="21"/>
                <w:szCs w:val="21"/>
                <w:u w:val="single"/>
                <w:lang w:val="en-US" w:eastAsia="zh-CN"/>
              </w:rPr>
              <w:t>亚硝酸盐</w:t>
            </w:r>
          </w:p>
        </w:tc>
        <w:tc>
          <w:tcPr>
            <w:tcW w:w="425"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u w:val="single"/>
                <w:lang w:val="en-US" w:eastAsia="zh-CN"/>
              </w:rPr>
            </w:pPr>
            <w:r>
              <w:rPr>
                <w:rFonts w:hint="default" w:ascii="Times New Roman" w:hAnsi="Times New Roman" w:eastAsia="宋体" w:cs="Times New Roman"/>
                <w:b/>
                <w:bCs w:val="0"/>
                <w:sz w:val="21"/>
                <w:szCs w:val="21"/>
                <w:u w:val="single"/>
                <w:lang w:val="en-US" w:eastAsia="zh-CN"/>
              </w:rPr>
              <w:t>氟化物</w:t>
            </w:r>
          </w:p>
        </w:tc>
        <w:tc>
          <w:tcPr>
            <w:tcW w:w="386"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u w:val="single"/>
                <w:lang w:val="en-US" w:eastAsia="zh-CN"/>
              </w:rPr>
            </w:pPr>
            <w:r>
              <w:rPr>
                <w:rFonts w:hint="default" w:ascii="Times New Roman" w:hAnsi="Times New Roman" w:eastAsia="宋体" w:cs="Times New Roman"/>
                <w:b/>
                <w:bCs w:val="0"/>
                <w:sz w:val="21"/>
                <w:szCs w:val="21"/>
                <w:u w:val="single"/>
                <w:lang w:val="en-US" w:eastAsia="zh-CN"/>
              </w:rPr>
              <w:t>氰化物</w:t>
            </w:r>
          </w:p>
        </w:tc>
        <w:tc>
          <w:tcPr>
            <w:tcW w:w="386"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u w:val="single"/>
                <w:lang w:val="en-US" w:eastAsia="zh-CN"/>
              </w:rPr>
            </w:pPr>
            <w:r>
              <w:rPr>
                <w:rFonts w:hint="default" w:ascii="Times New Roman" w:hAnsi="Times New Roman" w:eastAsia="宋体" w:cs="Times New Roman"/>
                <w:b/>
                <w:bCs w:val="0"/>
                <w:sz w:val="21"/>
                <w:szCs w:val="21"/>
                <w:u w:val="single"/>
                <w:lang w:val="en-US" w:eastAsia="zh-CN"/>
              </w:rPr>
              <w:t>总大肠菌群</w:t>
            </w:r>
          </w:p>
        </w:tc>
        <w:tc>
          <w:tcPr>
            <w:tcW w:w="375"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bCs w:val="0"/>
                <w:sz w:val="21"/>
                <w:szCs w:val="21"/>
                <w:u w:val="single"/>
                <w:lang w:val="en-US" w:eastAsia="zh-CN"/>
              </w:rPr>
            </w:pPr>
            <w:r>
              <w:rPr>
                <w:rFonts w:hint="default" w:ascii="Times New Roman" w:hAnsi="Times New Roman" w:eastAsia="宋体" w:cs="Times New Roman"/>
                <w:b/>
                <w:bCs w:val="0"/>
                <w:sz w:val="21"/>
                <w:szCs w:val="21"/>
                <w:u w:val="single"/>
                <w:lang w:val="en-US" w:eastAsia="zh-CN"/>
              </w:rPr>
              <w:t>细菌总数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02" w:hRule="atLeast"/>
          <w:jc w:val="center"/>
        </w:trPr>
        <w:tc>
          <w:tcPr>
            <w:tcW w:w="419" w:type="pct"/>
            <w:vMerge w:val="restart"/>
            <w:tcBorders>
              <w:tl2br w:val="nil"/>
              <w:tr2bl w:val="nil"/>
            </w:tcBorders>
            <w:shd w:val="clear" w:color="auto" w:fill="FFFFFF"/>
            <w:noWrap w:val="0"/>
            <w:vAlign w:val="center"/>
          </w:tcPr>
          <w:p>
            <w:pPr>
              <w:pStyle w:val="130"/>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sz w:val="21"/>
                <w:szCs w:val="21"/>
                <w:u w:val="single"/>
                <w:lang w:val="en-US" w:eastAsia="zh-CN"/>
              </w:rPr>
              <w:t>D1龙洞村水井</w:t>
            </w: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监测值</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auto"/>
                <w:kern w:val="2"/>
                <w:sz w:val="24"/>
                <w:szCs w:val="24"/>
                <w:u w:val="single"/>
                <w:lang w:val="en-US" w:eastAsia="zh-CN" w:bidi="ar-SA"/>
              </w:rPr>
              <w:t>0.018L</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auto"/>
                <w:kern w:val="2"/>
                <w:sz w:val="24"/>
                <w:szCs w:val="24"/>
                <w:u w:val="single"/>
                <w:lang w:val="en-US" w:eastAsia="zh-CN" w:bidi="ar-SA"/>
              </w:rPr>
              <w:t>13.2</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color w:val="auto"/>
                <w:sz w:val="24"/>
                <w:u w:val="single"/>
                <w:lang w:val="en-US" w:eastAsia="zh-CN"/>
              </w:rPr>
              <w:t>3×10</w:t>
            </w:r>
            <w:r>
              <w:rPr>
                <w:rFonts w:hint="eastAsia" w:ascii="Times New Roman" w:hAnsi="Times New Roman"/>
                <w:b w:val="0"/>
                <w:color w:val="auto"/>
                <w:sz w:val="24"/>
                <w:u w:val="single"/>
                <w:vertAlign w:val="superscript"/>
                <w:lang w:val="en-US" w:eastAsia="zh-CN"/>
              </w:rPr>
              <w:t>-4</w:t>
            </w:r>
            <w:r>
              <w:rPr>
                <w:rFonts w:hint="eastAsia" w:ascii="Times New Roman" w:hAnsi="Times New Roman"/>
                <w:b w:val="0"/>
                <w:color w:val="auto"/>
                <w:sz w:val="24"/>
                <w:u w:val="single"/>
                <w:lang w:val="en-US" w:eastAsia="zh-CN"/>
              </w:rPr>
              <w:t>L</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color w:val="auto"/>
                <w:sz w:val="24"/>
                <w:u w:val="single"/>
                <w:lang w:val="en-US" w:eastAsia="zh-CN"/>
              </w:rPr>
              <w:t>1.32</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color w:val="auto"/>
                <w:sz w:val="24"/>
                <w:u w:val="single"/>
                <w:lang w:val="en-US" w:eastAsia="zh-CN"/>
              </w:rPr>
              <w:t>13.3</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color w:val="auto"/>
                <w:sz w:val="24"/>
                <w:u w:val="single"/>
                <w:lang w:val="en-US" w:eastAsia="zh-CN"/>
              </w:rPr>
              <w:t>0.016L</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auto"/>
                <w:kern w:val="2"/>
                <w:sz w:val="24"/>
                <w:szCs w:val="24"/>
                <w:u w:val="single"/>
                <w:lang w:val="en-US" w:eastAsia="zh-CN" w:bidi="ar-SA"/>
              </w:rPr>
              <w:t>0.136</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ascii="Times New Roman" w:hAnsi="Times New Roman"/>
                <w:b w:val="0"/>
                <w:bCs w:val="0"/>
                <w:color w:val="auto"/>
                <w:sz w:val="24"/>
                <w:u w:val="single"/>
              </w:rPr>
              <w:t>0.002</w:t>
            </w:r>
            <w:r>
              <w:rPr>
                <w:rFonts w:hint="eastAsia" w:ascii="Times New Roman" w:hAnsi="Times New Roman"/>
                <w:b w:val="0"/>
                <w:bCs w:val="0"/>
                <w:color w:val="auto"/>
                <w:sz w:val="24"/>
                <w:u w:val="single"/>
                <w:lang w:val="en-US" w:eastAsia="zh-CN"/>
              </w:rPr>
              <w:t>L</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auto"/>
                <w:sz w:val="24"/>
                <w:u w:val="single"/>
                <w:lang w:val="en-US" w:eastAsia="zh-CN"/>
              </w:rPr>
              <w:t>ND</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color w:val="auto"/>
                <w:sz w:val="24"/>
                <w:u w:val="singl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02" w:hRule="atLeast"/>
          <w:jc w:val="center"/>
        </w:trPr>
        <w:tc>
          <w:tcPr>
            <w:tcW w:w="419"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最大超标倍数</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179" w:hRule="atLeast"/>
          <w:jc w:val="center"/>
        </w:trPr>
        <w:tc>
          <w:tcPr>
            <w:tcW w:w="419"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超标率（%）</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179" w:hRule="atLeast"/>
          <w:jc w:val="center"/>
        </w:trPr>
        <w:tc>
          <w:tcPr>
            <w:tcW w:w="419" w:type="pct"/>
            <w:vMerge w:val="continue"/>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kern w:val="2"/>
                <w:sz w:val="21"/>
                <w:szCs w:val="21"/>
                <w:u w:val="single"/>
                <w:lang w:val="en-US" w:eastAsia="zh-CN" w:bidi="ar-SA"/>
              </w:rPr>
            </w:pP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评价结果</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52" w:hRule="atLeast"/>
          <w:jc w:val="center"/>
        </w:trPr>
        <w:tc>
          <w:tcPr>
            <w:tcW w:w="419" w:type="pct"/>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cs="Times New Roman"/>
                <w:sz w:val="21"/>
                <w:szCs w:val="21"/>
                <w:u w:val="single"/>
                <w:lang w:val="en-US" w:eastAsia="zh-CN"/>
              </w:rPr>
              <w:t>D2</w:t>
            </w:r>
            <w:r>
              <w:rPr>
                <w:rFonts w:hint="default" w:ascii="Times New Roman" w:hAnsi="Times New Roman" w:eastAsia="宋体" w:cs="Times New Roman"/>
                <w:sz w:val="21"/>
                <w:szCs w:val="21"/>
                <w:u w:val="single"/>
                <w:lang w:val="en-US" w:eastAsia="zh-CN"/>
              </w:rPr>
              <w:t>卡地村</w:t>
            </w:r>
            <w:r>
              <w:rPr>
                <w:rFonts w:hint="default" w:ascii="Times New Roman" w:hAnsi="Times New Roman" w:cs="Times New Roman"/>
                <w:sz w:val="21"/>
                <w:szCs w:val="21"/>
                <w:u w:val="single"/>
                <w:lang w:val="en-US" w:eastAsia="zh-CN"/>
              </w:rPr>
              <w:t>水井</w:t>
            </w: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监测值范围</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auto"/>
                <w:kern w:val="2"/>
                <w:sz w:val="24"/>
                <w:szCs w:val="24"/>
                <w:u w:val="single"/>
                <w:lang w:val="en-US" w:eastAsia="zh-CN" w:bidi="ar-SA"/>
              </w:rPr>
              <w:t>0.018L</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auto"/>
                <w:kern w:val="2"/>
                <w:sz w:val="24"/>
                <w:szCs w:val="24"/>
                <w:u w:val="single"/>
                <w:lang w:val="en-US" w:eastAsia="zh-CN" w:bidi="ar-SA"/>
              </w:rPr>
              <w:t>15.6</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color w:val="auto"/>
                <w:sz w:val="24"/>
                <w:u w:val="single"/>
                <w:lang w:val="en-US" w:eastAsia="zh-CN"/>
              </w:rPr>
              <w:t>3×10</w:t>
            </w:r>
            <w:r>
              <w:rPr>
                <w:rFonts w:hint="eastAsia" w:ascii="Times New Roman" w:hAnsi="Times New Roman"/>
                <w:b w:val="0"/>
                <w:color w:val="auto"/>
                <w:sz w:val="24"/>
                <w:u w:val="single"/>
                <w:vertAlign w:val="superscript"/>
                <w:lang w:val="en-US" w:eastAsia="zh-CN"/>
              </w:rPr>
              <w:t>-4</w:t>
            </w:r>
            <w:r>
              <w:rPr>
                <w:rFonts w:hint="eastAsia" w:ascii="Times New Roman" w:hAnsi="Times New Roman"/>
                <w:b w:val="0"/>
                <w:color w:val="auto"/>
                <w:sz w:val="24"/>
                <w:u w:val="single"/>
                <w:lang w:val="en-US" w:eastAsia="zh-CN"/>
              </w:rPr>
              <w:t>L</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auto"/>
                <w:kern w:val="2"/>
                <w:sz w:val="24"/>
                <w:szCs w:val="24"/>
                <w:u w:val="single"/>
                <w:lang w:val="en-US" w:eastAsia="zh-CN" w:bidi="ar-SA"/>
              </w:rPr>
              <w:t>1.85</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auto"/>
                <w:kern w:val="2"/>
                <w:sz w:val="24"/>
                <w:szCs w:val="24"/>
                <w:u w:val="single"/>
                <w:lang w:val="en-US" w:eastAsia="zh-CN" w:bidi="ar-SA"/>
              </w:rPr>
              <w:t>13.2</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color w:val="auto"/>
                <w:sz w:val="24"/>
                <w:u w:val="single"/>
                <w:lang w:val="en-US" w:eastAsia="zh-CN"/>
              </w:rPr>
              <w:t>0.016L</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auto"/>
                <w:kern w:val="2"/>
                <w:sz w:val="24"/>
                <w:szCs w:val="24"/>
                <w:u w:val="single"/>
                <w:lang w:val="en-US" w:eastAsia="zh-CN" w:bidi="ar-SA"/>
              </w:rPr>
              <w:t>0.184</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ascii="Times New Roman" w:hAnsi="Times New Roman"/>
                <w:b w:val="0"/>
                <w:bCs w:val="0"/>
                <w:color w:val="auto"/>
                <w:sz w:val="24"/>
                <w:u w:val="single"/>
              </w:rPr>
              <w:t>0.002</w:t>
            </w:r>
            <w:r>
              <w:rPr>
                <w:rFonts w:hint="eastAsia" w:ascii="Times New Roman" w:hAnsi="Times New Roman"/>
                <w:b w:val="0"/>
                <w:bCs w:val="0"/>
                <w:color w:val="auto"/>
                <w:sz w:val="24"/>
                <w:u w:val="single"/>
                <w:lang w:val="en-US" w:eastAsia="zh-CN"/>
              </w:rPr>
              <w:t>L</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auto"/>
                <w:sz w:val="24"/>
                <w:u w:val="single"/>
                <w:lang w:val="en-US" w:eastAsia="zh-CN"/>
              </w:rPr>
              <w:t>ND</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auto"/>
                <w:kern w:val="2"/>
                <w:sz w:val="24"/>
                <w:szCs w:val="24"/>
                <w:u w:val="single"/>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02" w:hRule="atLeast"/>
          <w:jc w:val="center"/>
        </w:trPr>
        <w:tc>
          <w:tcPr>
            <w:tcW w:w="419"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最大超标倍数</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179" w:hRule="atLeast"/>
          <w:jc w:val="center"/>
        </w:trPr>
        <w:tc>
          <w:tcPr>
            <w:tcW w:w="419"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超标率（%）</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179" w:hRule="atLeast"/>
          <w:jc w:val="center"/>
        </w:trPr>
        <w:tc>
          <w:tcPr>
            <w:tcW w:w="419"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评价结果</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52" w:hRule="atLeast"/>
          <w:jc w:val="center"/>
        </w:trPr>
        <w:tc>
          <w:tcPr>
            <w:tcW w:w="419" w:type="pct"/>
            <w:vMerge w:val="restar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kern w:val="2"/>
                <w:sz w:val="21"/>
                <w:szCs w:val="21"/>
                <w:u w:val="single"/>
                <w:lang w:val="en-US" w:eastAsia="zh-CN" w:bidi="ar-SA"/>
              </w:rPr>
              <w:t>D3兴龙社区</w:t>
            </w:r>
            <w:r>
              <w:rPr>
                <w:rFonts w:hint="default" w:ascii="Times New Roman" w:hAnsi="Times New Roman" w:cs="Times New Roman"/>
                <w:sz w:val="21"/>
                <w:szCs w:val="21"/>
                <w:u w:val="single"/>
                <w:lang w:val="en-US" w:eastAsia="zh-CN"/>
              </w:rPr>
              <w:t>水井</w:t>
            </w: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监测值范围</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000000"/>
                <w:kern w:val="2"/>
                <w:sz w:val="24"/>
                <w:szCs w:val="24"/>
                <w:u w:val="single"/>
                <w:lang w:val="en-US" w:eastAsia="zh-CN" w:bidi="ar-SA"/>
              </w:rPr>
              <w:t>0.018L</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000000"/>
                <w:kern w:val="2"/>
                <w:sz w:val="24"/>
                <w:szCs w:val="24"/>
                <w:u w:val="single"/>
                <w:lang w:val="en-US" w:eastAsia="zh-CN" w:bidi="ar-SA"/>
              </w:rPr>
              <w:t>15.6</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color w:val="auto"/>
                <w:sz w:val="24"/>
                <w:u w:val="single"/>
                <w:lang w:val="en-US" w:eastAsia="zh-CN"/>
              </w:rPr>
              <w:t>3×10</w:t>
            </w:r>
            <w:r>
              <w:rPr>
                <w:rFonts w:hint="eastAsia" w:ascii="Times New Roman" w:hAnsi="Times New Roman"/>
                <w:b w:val="0"/>
                <w:color w:val="auto"/>
                <w:sz w:val="24"/>
                <w:u w:val="single"/>
                <w:vertAlign w:val="superscript"/>
                <w:lang w:val="en-US" w:eastAsia="zh-CN"/>
              </w:rPr>
              <w:t>-4</w:t>
            </w:r>
            <w:r>
              <w:rPr>
                <w:rFonts w:hint="eastAsia" w:ascii="Times New Roman" w:hAnsi="Times New Roman"/>
                <w:b w:val="0"/>
                <w:color w:val="auto"/>
                <w:sz w:val="24"/>
                <w:u w:val="single"/>
                <w:lang w:val="en-US" w:eastAsia="zh-CN"/>
              </w:rPr>
              <w:t>L</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000000"/>
                <w:kern w:val="2"/>
                <w:sz w:val="24"/>
                <w:szCs w:val="24"/>
                <w:u w:val="single"/>
                <w:lang w:val="en-US" w:eastAsia="zh-CN" w:bidi="ar-SA"/>
              </w:rPr>
              <w:t>2.28</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color w:val="000000"/>
                <w:sz w:val="24"/>
                <w:u w:val="single"/>
                <w:lang w:val="en-US" w:eastAsia="zh-CN"/>
              </w:rPr>
              <w:t>0.016L</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color w:val="000000"/>
                <w:sz w:val="24"/>
                <w:u w:val="single"/>
                <w:lang w:val="en-US" w:eastAsia="zh-CN"/>
              </w:rPr>
              <w:t>0.016L</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000000"/>
                <w:kern w:val="2"/>
                <w:sz w:val="24"/>
                <w:szCs w:val="24"/>
                <w:u w:val="single"/>
                <w:lang w:val="en-US" w:eastAsia="zh-CN" w:bidi="ar-SA"/>
              </w:rPr>
              <w:t>0.235</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ascii="Times New Roman" w:hAnsi="Times New Roman"/>
                <w:b w:val="0"/>
                <w:bCs w:val="0"/>
                <w:color w:val="000000"/>
                <w:sz w:val="24"/>
                <w:u w:val="single"/>
              </w:rPr>
              <w:t>0.002</w:t>
            </w:r>
            <w:r>
              <w:rPr>
                <w:rFonts w:hint="eastAsia" w:ascii="Times New Roman" w:hAnsi="Times New Roman"/>
                <w:b w:val="0"/>
                <w:bCs w:val="0"/>
                <w:color w:val="000000"/>
                <w:sz w:val="24"/>
                <w:u w:val="single"/>
                <w:lang w:val="en-US" w:eastAsia="zh-CN"/>
              </w:rPr>
              <w:t>L</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000000"/>
                <w:kern w:val="2"/>
                <w:sz w:val="24"/>
                <w:szCs w:val="24"/>
                <w:u w:val="single"/>
                <w:lang w:val="en-US" w:eastAsia="zh-CN" w:bidi="ar-SA"/>
              </w:rPr>
              <w:t>ND</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000000"/>
                <w:kern w:val="2"/>
                <w:sz w:val="24"/>
                <w:szCs w:val="24"/>
                <w:u w:val="single"/>
                <w:lang w:val="en-US" w:eastAsia="zh-CN" w:bidi="ar-SA"/>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02" w:hRule="atLeast"/>
          <w:jc w:val="center"/>
        </w:trPr>
        <w:tc>
          <w:tcPr>
            <w:tcW w:w="419"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最大超标倍数</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179" w:hRule="atLeast"/>
          <w:jc w:val="center"/>
        </w:trPr>
        <w:tc>
          <w:tcPr>
            <w:tcW w:w="419"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超标率（%）</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40" w:hRule="atLeast"/>
          <w:jc w:val="center"/>
        </w:trPr>
        <w:tc>
          <w:tcPr>
            <w:tcW w:w="419"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评价结果</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52" w:hRule="atLeast"/>
          <w:jc w:val="center"/>
        </w:trPr>
        <w:tc>
          <w:tcPr>
            <w:tcW w:w="419" w:type="pct"/>
            <w:vMerge w:val="restar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sz w:val="21"/>
                <w:szCs w:val="21"/>
                <w:u w:val="single"/>
                <w:lang w:val="en-US" w:eastAsia="zh-CN"/>
              </w:rPr>
              <w:t>D4老鸦塘</w:t>
            </w:r>
            <w:r>
              <w:rPr>
                <w:rFonts w:hint="default" w:ascii="Times New Roman" w:hAnsi="Times New Roman" w:cs="Times New Roman"/>
                <w:sz w:val="21"/>
                <w:szCs w:val="21"/>
                <w:u w:val="single"/>
                <w:lang w:val="en-US" w:eastAsia="zh-CN"/>
              </w:rPr>
              <w:t>水井</w:t>
            </w: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监测值范围</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000000"/>
                <w:kern w:val="2"/>
                <w:sz w:val="24"/>
                <w:szCs w:val="24"/>
                <w:u w:val="single"/>
                <w:lang w:val="en-US" w:eastAsia="zh-CN" w:bidi="ar-SA"/>
              </w:rPr>
              <w:t>0.018L</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000000"/>
                <w:kern w:val="2"/>
                <w:sz w:val="24"/>
                <w:szCs w:val="24"/>
                <w:u w:val="single"/>
                <w:lang w:val="en-US" w:eastAsia="zh-CN" w:bidi="ar-SA"/>
              </w:rPr>
              <w:t>4.66</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color w:val="auto"/>
                <w:sz w:val="24"/>
                <w:u w:val="single"/>
                <w:lang w:val="en-US" w:eastAsia="zh-CN"/>
              </w:rPr>
              <w:t>3×10</w:t>
            </w:r>
            <w:r>
              <w:rPr>
                <w:rFonts w:hint="eastAsia" w:ascii="Times New Roman" w:hAnsi="Times New Roman"/>
                <w:b w:val="0"/>
                <w:color w:val="auto"/>
                <w:sz w:val="24"/>
                <w:u w:val="single"/>
                <w:vertAlign w:val="superscript"/>
                <w:lang w:val="en-US" w:eastAsia="zh-CN"/>
              </w:rPr>
              <w:t>-4</w:t>
            </w:r>
            <w:r>
              <w:rPr>
                <w:rFonts w:hint="eastAsia" w:ascii="Times New Roman" w:hAnsi="Times New Roman"/>
                <w:b w:val="0"/>
                <w:color w:val="auto"/>
                <w:sz w:val="24"/>
                <w:u w:val="single"/>
                <w:lang w:val="en-US" w:eastAsia="zh-CN"/>
              </w:rPr>
              <w:t>L</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color w:val="000000"/>
                <w:sz w:val="24"/>
                <w:u w:val="single"/>
                <w:lang w:val="en-US" w:eastAsia="zh-CN"/>
              </w:rPr>
              <w:t>2.06</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color w:val="000000"/>
                <w:sz w:val="24"/>
                <w:u w:val="single"/>
                <w:lang w:val="en-US" w:eastAsia="zh-CN"/>
              </w:rPr>
              <w:t>0.016L</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color w:val="000000"/>
                <w:sz w:val="24"/>
                <w:u w:val="single"/>
                <w:lang w:val="en-US" w:eastAsia="zh-CN"/>
              </w:rPr>
              <w:t>0.016L</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000000"/>
                <w:kern w:val="2"/>
                <w:sz w:val="24"/>
                <w:szCs w:val="24"/>
                <w:u w:val="single"/>
                <w:lang w:val="en-US" w:eastAsia="zh-CN" w:bidi="ar-SA"/>
              </w:rPr>
              <w:t>0.289</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ascii="Times New Roman" w:hAnsi="Times New Roman"/>
                <w:b w:val="0"/>
                <w:bCs w:val="0"/>
                <w:color w:val="000000"/>
                <w:sz w:val="24"/>
                <w:u w:val="single"/>
              </w:rPr>
              <w:t>0.002</w:t>
            </w:r>
            <w:r>
              <w:rPr>
                <w:rFonts w:hint="eastAsia" w:ascii="Times New Roman" w:hAnsi="Times New Roman"/>
                <w:b w:val="0"/>
                <w:bCs w:val="0"/>
                <w:color w:val="000000"/>
                <w:sz w:val="24"/>
                <w:u w:val="single"/>
                <w:lang w:val="en-US" w:eastAsia="zh-CN"/>
              </w:rPr>
              <w:t>L</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000000"/>
                <w:sz w:val="24"/>
                <w:u w:val="single"/>
                <w:lang w:val="en-US" w:eastAsia="zh-CN"/>
              </w:rPr>
              <w:t>ND</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000000"/>
                <w:kern w:val="2"/>
                <w:sz w:val="24"/>
                <w:szCs w:val="24"/>
                <w:u w:val="single"/>
                <w:lang w:val="en-US" w:eastAsia="zh-CN" w:bidi="ar-SA"/>
              </w:rPr>
              <w:t>0.352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02" w:hRule="atLeast"/>
          <w:jc w:val="center"/>
        </w:trPr>
        <w:tc>
          <w:tcPr>
            <w:tcW w:w="419"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最大超标倍数</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179" w:hRule="atLeast"/>
          <w:jc w:val="center"/>
        </w:trPr>
        <w:tc>
          <w:tcPr>
            <w:tcW w:w="419"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超标率（%）</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179" w:hRule="atLeast"/>
          <w:jc w:val="center"/>
        </w:trPr>
        <w:tc>
          <w:tcPr>
            <w:tcW w:w="419"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评价结果</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02" w:hRule="atLeast"/>
          <w:jc w:val="center"/>
        </w:trPr>
        <w:tc>
          <w:tcPr>
            <w:tcW w:w="419" w:type="pct"/>
            <w:vMerge w:val="restart"/>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jc w:val="center"/>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sz w:val="21"/>
                <w:szCs w:val="21"/>
                <w:u w:val="single"/>
                <w:lang w:val="en-US" w:eastAsia="zh-CN"/>
              </w:rPr>
              <w:t>D5新生屯村</w:t>
            </w:r>
            <w:r>
              <w:rPr>
                <w:rFonts w:hint="default" w:ascii="Times New Roman" w:hAnsi="Times New Roman" w:cs="Times New Roman"/>
                <w:sz w:val="21"/>
                <w:szCs w:val="21"/>
                <w:u w:val="single"/>
                <w:lang w:val="en-US" w:eastAsia="zh-CN"/>
              </w:rPr>
              <w:t>水井</w:t>
            </w: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监测值范围</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000000"/>
                <w:kern w:val="2"/>
                <w:sz w:val="24"/>
                <w:szCs w:val="24"/>
                <w:u w:val="single"/>
                <w:lang w:val="en-US" w:eastAsia="zh-CN" w:bidi="ar-SA"/>
              </w:rPr>
              <w:t>0.018L</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000000"/>
                <w:kern w:val="2"/>
                <w:sz w:val="24"/>
                <w:szCs w:val="24"/>
                <w:u w:val="single"/>
                <w:lang w:val="en-US" w:eastAsia="zh-CN" w:bidi="ar-SA"/>
              </w:rPr>
              <w:t>16.0</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color w:val="auto"/>
                <w:sz w:val="24"/>
                <w:u w:val="single"/>
                <w:lang w:val="en-US" w:eastAsia="zh-CN"/>
              </w:rPr>
              <w:t>3×10</w:t>
            </w:r>
            <w:r>
              <w:rPr>
                <w:rFonts w:hint="eastAsia" w:ascii="Times New Roman" w:hAnsi="Times New Roman"/>
                <w:b w:val="0"/>
                <w:color w:val="auto"/>
                <w:sz w:val="24"/>
                <w:u w:val="single"/>
                <w:vertAlign w:val="superscript"/>
                <w:lang w:val="en-US" w:eastAsia="zh-CN"/>
              </w:rPr>
              <w:t>-4</w:t>
            </w:r>
            <w:r>
              <w:rPr>
                <w:rFonts w:hint="eastAsia" w:ascii="Times New Roman" w:hAnsi="Times New Roman"/>
                <w:b w:val="0"/>
                <w:color w:val="auto"/>
                <w:sz w:val="24"/>
                <w:u w:val="single"/>
                <w:lang w:val="en-US" w:eastAsia="zh-CN"/>
              </w:rPr>
              <w:t>L</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000000"/>
                <w:kern w:val="2"/>
                <w:sz w:val="24"/>
                <w:szCs w:val="24"/>
                <w:u w:val="single"/>
                <w:lang w:val="en-US" w:eastAsia="zh-CN" w:bidi="ar-SA"/>
              </w:rPr>
              <w:t>1.79</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color w:val="000000"/>
                <w:sz w:val="24"/>
                <w:u w:val="single"/>
                <w:lang w:val="en-US" w:eastAsia="zh-CN"/>
              </w:rPr>
              <w:t>0.016L</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color w:val="000000"/>
                <w:sz w:val="24"/>
                <w:u w:val="single"/>
                <w:lang w:val="en-US" w:eastAsia="zh-CN"/>
              </w:rPr>
              <w:t>0.016L</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000000"/>
                <w:kern w:val="2"/>
                <w:sz w:val="24"/>
                <w:szCs w:val="24"/>
                <w:u w:val="single"/>
                <w:lang w:val="en-US" w:eastAsia="zh-CN" w:bidi="ar-SA"/>
              </w:rPr>
              <w:t>0.352</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ascii="Times New Roman" w:hAnsi="Times New Roman"/>
                <w:b w:val="0"/>
                <w:bCs w:val="0"/>
                <w:color w:val="000000"/>
                <w:sz w:val="24"/>
                <w:u w:val="single"/>
              </w:rPr>
              <w:t>0.002</w:t>
            </w:r>
            <w:r>
              <w:rPr>
                <w:rFonts w:hint="eastAsia" w:ascii="Times New Roman" w:hAnsi="Times New Roman"/>
                <w:b w:val="0"/>
                <w:bCs w:val="0"/>
                <w:color w:val="000000"/>
                <w:sz w:val="24"/>
                <w:u w:val="single"/>
                <w:lang w:val="en-US" w:eastAsia="zh-CN"/>
              </w:rPr>
              <w:t>L</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000000"/>
                <w:sz w:val="24"/>
                <w:u w:val="single"/>
                <w:lang w:val="en-US" w:eastAsia="zh-CN"/>
              </w:rPr>
              <w:t>ND</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b w:val="0"/>
                <w:bCs/>
                <w:color w:val="000000"/>
                <w:kern w:val="2"/>
                <w:sz w:val="24"/>
                <w:szCs w:val="24"/>
                <w:u w:val="single"/>
                <w:lang w:val="en-US" w:eastAsia="zh-CN" w:bidi="ar-SA"/>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302" w:hRule="atLeast"/>
          <w:jc w:val="center"/>
        </w:trPr>
        <w:tc>
          <w:tcPr>
            <w:tcW w:w="419"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最大超标倍数</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179" w:hRule="atLeast"/>
          <w:jc w:val="center"/>
        </w:trPr>
        <w:tc>
          <w:tcPr>
            <w:tcW w:w="419"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超标率（%）</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eastAsia" w:ascii="Times New Roman" w:hAnsi="Times New Roman" w:eastAsia="宋体" w:cs="Times New Roman"/>
                <w:i w:val="0"/>
                <w:color w:val="000000"/>
                <w:kern w:val="2"/>
                <w:sz w:val="21"/>
                <w:szCs w:val="21"/>
                <w:u w:val="single"/>
                <w:lang w:val="en-US" w:eastAsia="zh-CN" w:bidi="ar-SA"/>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179" w:hRule="atLeast"/>
          <w:jc w:val="center"/>
        </w:trPr>
        <w:tc>
          <w:tcPr>
            <w:tcW w:w="419" w:type="pct"/>
            <w:vMerge w:val="continue"/>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p>
        </w:tc>
        <w:tc>
          <w:tcPr>
            <w:tcW w:w="558"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评价结果</w:t>
            </w:r>
          </w:p>
        </w:tc>
        <w:tc>
          <w:tcPr>
            <w:tcW w:w="419"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02"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0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1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3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6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42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86"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c>
          <w:tcPr>
            <w:tcW w:w="375" w:type="pct"/>
            <w:tcBorders>
              <w:tl2br w:val="nil"/>
              <w:tr2bl w:val="nil"/>
            </w:tcBorders>
            <w:shd w:val="clear" w:color="auto" w:fill="FFFFFF"/>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line="320" w:lineRule="exact"/>
              <w:ind w:left="-120" w:leftChars="-50" w:right="-120" w:rightChars="-50" w:firstLine="0" w:firstLineChars="0"/>
              <w:jc w:val="center"/>
              <w:textAlignment w:val="center"/>
              <w:rPr>
                <w:rFonts w:hint="default" w:ascii="Times New Roman" w:hAnsi="Times New Roman" w:eastAsia="宋体" w:cs="Times New Roman"/>
                <w:i w:val="0"/>
                <w:color w:val="000000"/>
                <w:kern w:val="2"/>
                <w:sz w:val="21"/>
                <w:szCs w:val="21"/>
                <w:u w:val="single"/>
                <w:lang w:val="en-US" w:eastAsia="zh-CN" w:bidi="ar-SA"/>
              </w:rPr>
            </w:pPr>
            <w:r>
              <w:rPr>
                <w:rFonts w:hint="default" w:ascii="Times New Roman" w:hAnsi="Times New Roman" w:eastAsia="宋体" w:cs="Times New Roman"/>
                <w:i w:val="0"/>
                <w:color w:val="000000"/>
                <w:kern w:val="0"/>
                <w:sz w:val="21"/>
                <w:szCs w:val="21"/>
                <w:u w:val="singl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PrEx>
        <w:trPr>
          <w:trHeight w:val="195" w:hRule="atLeast"/>
          <w:jc w:val="center"/>
        </w:trPr>
        <w:tc>
          <w:tcPr>
            <w:tcW w:w="978" w:type="pct"/>
            <w:gridSpan w:val="2"/>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sz w:val="21"/>
                <w:szCs w:val="21"/>
                <w:u w:val="single"/>
                <w:lang w:val="en-US" w:eastAsia="zh-CN"/>
              </w:rPr>
            </w:pPr>
            <w:r>
              <w:rPr>
                <w:rFonts w:hint="default" w:ascii="Times New Roman" w:hAnsi="Times New Roman" w:eastAsia="宋体" w:cs="Times New Roman"/>
                <w:b w:val="0"/>
                <w:bCs/>
                <w:sz w:val="21"/>
                <w:szCs w:val="21"/>
                <w:u w:val="single"/>
                <w:lang w:val="en-US" w:eastAsia="zh-CN"/>
              </w:rPr>
              <w:t>III类标准</w:t>
            </w:r>
          </w:p>
        </w:tc>
        <w:tc>
          <w:tcPr>
            <w:tcW w:w="419"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eastAsia="宋体" w:cs="Times New Roman"/>
                <w:b w:val="0"/>
                <w:bCs/>
                <w:kern w:val="2"/>
                <w:sz w:val="21"/>
                <w:szCs w:val="21"/>
                <w:u w:val="single"/>
                <w:lang w:val="en-US" w:eastAsia="zh-CN" w:bidi="ar-SA"/>
              </w:rPr>
              <w:t>250</w:t>
            </w:r>
          </w:p>
        </w:tc>
        <w:tc>
          <w:tcPr>
            <w:tcW w:w="302"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eastAsia="宋体" w:cs="Times New Roman"/>
                <w:b w:val="0"/>
                <w:bCs/>
                <w:kern w:val="2"/>
                <w:sz w:val="21"/>
                <w:szCs w:val="21"/>
                <w:u w:val="single"/>
                <w:lang w:val="en-US" w:eastAsia="zh-CN" w:bidi="ar-SA"/>
              </w:rPr>
              <w:t>250</w:t>
            </w:r>
          </w:p>
        </w:tc>
        <w:tc>
          <w:tcPr>
            <w:tcW w:w="406"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eastAsia="宋体" w:cs="Times New Roman"/>
                <w:b w:val="0"/>
                <w:bCs/>
                <w:kern w:val="2"/>
                <w:sz w:val="21"/>
                <w:szCs w:val="21"/>
                <w:u w:val="single"/>
                <w:lang w:val="en-US" w:eastAsia="zh-CN" w:bidi="ar-SA"/>
              </w:rPr>
              <w:t>0.002</w:t>
            </w:r>
          </w:p>
        </w:tc>
        <w:tc>
          <w:tcPr>
            <w:tcW w:w="416"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eastAsia="宋体" w:cs="Times New Roman"/>
                <w:b w:val="0"/>
                <w:bCs/>
                <w:kern w:val="2"/>
                <w:sz w:val="21"/>
                <w:szCs w:val="21"/>
                <w:u w:val="single"/>
                <w:lang w:val="en-US" w:eastAsia="zh-CN" w:bidi="ar-SA"/>
              </w:rPr>
              <w:t>3.0</w:t>
            </w:r>
          </w:p>
        </w:tc>
        <w:tc>
          <w:tcPr>
            <w:tcW w:w="436"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eastAsia="宋体" w:cs="Times New Roman"/>
                <w:b w:val="0"/>
                <w:bCs/>
                <w:kern w:val="2"/>
                <w:sz w:val="21"/>
                <w:szCs w:val="21"/>
                <w:u w:val="single"/>
                <w:lang w:val="en-US" w:eastAsia="zh-CN" w:bidi="ar-SA"/>
              </w:rPr>
              <w:t>20.0</w:t>
            </w:r>
          </w:p>
        </w:tc>
        <w:tc>
          <w:tcPr>
            <w:tcW w:w="465"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eastAsia="宋体" w:cs="Times New Roman"/>
                <w:b w:val="0"/>
                <w:bCs/>
                <w:kern w:val="2"/>
                <w:sz w:val="21"/>
                <w:szCs w:val="21"/>
                <w:u w:val="single"/>
                <w:lang w:val="en-US" w:eastAsia="zh-CN" w:bidi="ar-SA"/>
              </w:rPr>
              <w:t>1.00</w:t>
            </w:r>
          </w:p>
        </w:tc>
        <w:tc>
          <w:tcPr>
            <w:tcW w:w="425"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eastAsia="宋体" w:cs="Times New Roman"/>
                <w:b w:val="0"/>
                <w:bCs/>
                <w:kern w:val="2"/>
                <w:sz w:val="21"/>
                <w:szCs w:val="21"/>
                <w:u w:val="single"/>
                <w:lang w:val="en-US" w:eastAsia="zh-CN" w:bidi="ar-SA"/>
              </w:rPr>
              <w:t>1.0</w:t>
            </w:r>
          </w:p>
        </w:tc>
        <w:tc>
          <w:tcPr>
            <w:tcW w:w="386"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eastAsia="宋体" w:cs="Times New Roman"/>
                <w:b w:val="0"/>
                <w:bCs/>
                <w:kern w:val="2"/>
                <w:sz w:val="21"/>
                <w:szCs w:val="21"/>
                <w:u w:val="single"/>
                <w:lang w:val="en-US" w:eastAsia="zh-CN" w:bidi="ar-SA"/>
              </w:rPr>
              <w:t>0.05</w:t>
            </w:r>
          </w:p>
        </w:tc>
        <w:tc>
          <w:tcPr>
            <w:tcW w:w="386"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eastAsia="宋体" w:cs="Times New Roman"/>
                <w:b w:val="0"/>
                <w:bCs/>
                <w:kern w:val="2"/>
                <w:sz w:val="21"/>
                <w:szCs w:val="21"/>
                <w:u w:val="single"/>
                <w:lang w:val="en-US" w:eastAsia="zh-CN" w:bidi="ar-SA"/>
              </w:rPr>
              <w:t>3.0</w:t>
            </w:r>
          </w:p>
        </w:tc>
        <w:tc>
          <w:tcPr>
            <w:tcW w:w="375" w:type="pct"/>
            <w:tcBorders>
              <w:tl2br w:val="nil"/>
              <w:tr2bl w:val="nil"/>
            </w:tcBorders>
            <w:shd w:val="clear" w:color="auto" w:fill="FFFFFF"/>
            <w:noWrap w:val="0"/>
            <w:vAlign w:val="center"/>
          </w:tcPr>
          <w:p>
            <w:pPr>
              <w:pStyle w:val="79"/>
              <w:keepNext w:val="0"/>
              <w:keepLines w:val="0"/>
              <w:pageBreakBefore w:val="0"/>
              <w:widowControl w:val="0"/>
              <w:kinsoku/>
              <w:wordWrap/>
              <w:overflowPunct/>
              <w:topLinePunct w:val="0"/>
              <w:autoSpaceDE/>
              <w:autoSpaceDN/>
              <w:bidi w:val="0"/>
              <w:adjustRightInd/>
              <w:snapToGrid/>
              <w:spacing w:line="320" w:lineRule="exact"/>
              <w:ind w:left="-120" w:leftChars="-50" w:right="-120" w:rightChars="-50" w:firstLine="0" w:firstLineChars="0"/>
              <w:textAlignment w:val="auto"/>
              <w:rPr>
                <w:rFonts w:hint="default" w:ascii="Times New Roman" w:hAnsi="Times New Roman" w:eastAsia="宋体" w:cs="Times New Roman"/>
                <w:b w:val="0"/>
                <w:bCs/>
                <w:kern w:val="2"/>
                <w:sz w:val="21"/>
                <w:szCs w:val="21"/>
                <w:u w:val="single"/>
                <w:lang w:val="en-US" w:eastAsia="zh-CN" w:bidi="ar-SA"/>
              </w:rPr>
            </w:pPr>
            <w:r>
              <w:rPr>
                <w:rFonts w:hint="eastAsia" w:ascii="Times New Roman" w:hAnsi="Times New Roman" w:eastAsia="宋体" w:cs="Times New Roman"/>
                <w:b w:val="0"/>
                <w:bCs/>
                <w:kern w:val="2"/>
                <w:sz w:val="21"/>
                <w:szCs w:val="21"/>
                <w:u w:val="single"/>
                <w:lang w:val="en-US" w:eastAsia="zh-CN" w:bidi="ar-SA"/>
              </w:rPr>
              <w:t>100</w:t>
            </w:r>
          </w:p>
        </w:tc>
      </w:tr>
    </w:tbl>
    <w:p>
      <w:pPr>
        <w:ind w:firstLine="600" w:firstLineChars="250"/>
        <w:rPr>
          <w:rFonts w:hint="eastAsia"/>
          <w:color w:val="000000"/>
          <w:kern w:val="0"/>
        </w:rPr>
      </w:pPr>
    </w:p>
    <w:p>
      <w:pPr>
        <w:ind w:firstLine="600" w:firstLineChars="250"/>
        <w:rPr>
          <w:rFonts w:hint="eastAsia"/>
          <w:color w:val="000000"/>
          <w:kern w:val="0"/>
        </w:rPr>
      </w:pPr>
    </w:p>
    <w:p>
      <w:pPr>
        <w:ind w:firstLine="600" w:firstLineChars="250"/>
        <w:rPr>
          <w:rFonts w:hint="eastAsia"/>
          <w:color w:val="000000"/>
          <w:kern w:val="0"/>
        </w:rPr>
      </w:pPr>
    </w:p>
    <w:p>
      <w:pPr>
        <w:ind w:firstLine="600" w:firstLineChars="250"/>
        <w:rPr>
          <w:rFonts w:hint="eastAsia"/>
          <w:color w:val="000000"/>
          <w:kern w:val="0"/>
        </w:rPr>
      </w:pPr>
    </w:p>
    <w:p>
      <w:pPr>
        <w:ind w:firstLine="480"/>
        <w:rPr>
          <w:rFonts w:hint="eastAsia"/>
          <w:color w:val="000000"/>
          <w:kern w:val="0"/>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ind w:firstLine="480"/>
        <w:rPr>
          <w:rFonts w:hint="eastAsia"/>
          <w:b/>
          <w:color w:val="000000"/>
          <w:kern w:val="0"/>
        </w:rPr>
      </w:pPr>
      <w:r>
        <w:rPr>
          <w:rFonts w:hint="eastAsia"/>
          <w:color w:val="000000"/>
          <w:kern w:val="0"/>
        </w:rPr>
        <w:t>由</w:t>
      </w:r>
      <w:r>
        <w:rPr>
          <w:rFonts w:hint="eastAsia"/>
          <w:color w:val="000000"/>
          <w:kern w:val="0"/>
          <w:lang w:eastAsia="zh-CN"/>
        </w:rPr>
        <w:t>上</w:t>
      </w:r>
      <w:r>
        <w:rPr>
          <w:rFonts w:hint="eastAsia"/>
          <w:color w:val="000000"/>
          <w:kern w:val="0"/>
        </w:rPr>
        <w:t>表可知：本项目地下水监测点地下水井</w:t>
      </w:r>
      <w:r>
        <w:rPr>
          <w:rFonts w:hint="eastAsia"/>
          <w:color w:val="000000"/>
          <w:kern w:val="0"/>
          <w:lang w:eastAsia="zh-CN"/>
        </w:rPr>
        <w:t>各监测因子</w:t>
      </w:r>
      <w:r>
        <w:rPr>
          <w:rFonts w:hint="eastAsia"/>
          <w:color w:val="000000"/>
          <w:kern w:val="0"/>
        </w:rPr>
        <w:t>均满足</w:t>
      </w:r>
      <w:r>
        <w:rPr>
          <w:color w:val="000000"/>
          <w:kern w:val="0"/>
        </w:rPr>
        <w:t>《地下水质量标准》（</w:t>
      </w:r>
      <w:r>
        <w:rPr>
          <w:rFonts w:eastAsia="Times New Roman"/>
          <w:color w:val="000000"/>
          <w:kern w:val="0"/>
        </w:rPr>
        <w:t>GB/T14848-</w:t>
      </w:r>
      <w:r>
        <w:rPr>
          <w:rFonts w:hint="eastAsia"/>
          <w:color w:val="000000"/>
          <w:kern w:val="0"/>
        </w:rPr>
        <w:t>2017</w:t>
      </w:r>
      <w:r>
        <w:rPr>
          <w:color w:val="000000"/>
          <w:kern w:val="0"/>
        </w:rPr>
        <w:t>）</w:t>
      </w:r>
      <w:r>
        <w:rPr>
          <w:rFonts w:hint="eastAsia" w:ascii="宋体" w:hAnsi="宋体" w:cs="宋体"/>
          <w:color w:val="000000"/>
          <w:kern w:val="0"/>
        </w:rPr>
        <w:t>Ⅲ</w:t>
      </w:r>
      <w:r>
        <w:rPr>
          <w:color w:val="000000"/>
          <w:kern w:val="0"/>
        </w:rPr>
        <w:t>类标准</w:t>
      </w:r>
      <w:r>
        <w:rPr>
          <w:rFonts w:hint="eastAsia"/>
          <w:color w:val="000000"/>
          <w:kern w:val="0"/>
        </w:rPr>
        <w:t>。</w:t>
      </w:r>
    </w:p>
    <w:p>
      <w:pPr>
        <w:pStyle w:val="8"/>
        <w:spacing w:before="163"/>
        <w:rPr>
          <w:rFonts w:hint="eastAsia"/>
          <w:color w:val="000000"/>
        </w:rPr>
      </w:pPr>
      <w:r>
        <w:rPr>
          <w:color w:val="000000"/>
        </w:rPr>
        <w:t>3</w:t>
      </w:r>
      <w:r>
        <w:rPr>
          <w:rFonts w:hint="eastAsia"/>
          <w:color w:val="000000"/>
        </w:rPr>
        <w:t>.</w:t>
      </w:r>
      <w:r>
        <w:rPr>
          <w:rFonts w:hint="eastAsia"/>
          <w:color w:val="000000"/>
          <w:lang w:val="en-US" w:eastAsia="zh-CN"/>
        </w:rPr>
        <w:t>6</w:t>
      </w:r>
      <w:r>
        <w:rPr>
          <w:rFonts w:hint="eastAsia"/>
          <w:color w:val="000000"/>
        </w:rPr>
        <w:t>.4 声环境质量现状</w:t>
      </w:r>
    </w:p>
    <w:p>
      <w:pPr>
        <w:pStyle w:val="81"/>
        <w:rPr>
          <w:rFonts w:hint="eastAsia"/>
          <w:color w:val="000000"/>
        </w:rPr>
      </w:pPr>
      <w:r>
        <w:rPr>
          <w:color w:val="000000"/>
        </w:rPr>
        <w:t>3</w:t>
      </w:r>
      <w:r>
        <w:rPr>
          <w:rFonts w:hint="eastAsia"/>
          <w:color w:val="000000"/>
        </w:rPr>
        <w:t>.</w:t>
      </w:r>
      <w:r>
        <w:rPr>
          <w:rFonts w:hint="eastAsia"/>
          <w:color w:val="000000"/>
          <w:lang w:val="en-US" w:eastAsia="zh-CN"/>
        </w:rPr>
        <w:t>6</w:t>
      </w:r>
      <w:r>
        <w:rPr>
          <w:rFonts w:hint="eastAsia"/>
          <w:color w:val="000000"/>
        </w:rPr>
        <w:t>.4.1  声环境质量现状调查</w:t>
      </w:r>
    </w:p>
    <w:p>
      <w:pPr>
        <w:ind w:firstLine="480"/>
        <w:rPr>
          <w:rFonts w:hint="eastAsia"/>
          <w:color w:val="000000"/>
          <w:kern w:val="0"/>
        </w:rPr>
      </w:pPr>
      <w:r>
        <w:rPr>
          <w:rFonts w:hint="eastAsia"/>
          <w:color w:val="000000"/>
          <w:kern w:val="0"/>
        </w:rPr>
        <w:t>（1）监测单位：湖南昌旭环保科技有限公司</w:t>
      </w:r>
    </w:p>
    <w:p>
      <w:pPr>
        <w:ind w:firstLine="480"/>
        <w:rPr>
          <w:rFonts w:hint="eastAsia"/>
          <w:color w:val="000000"/>
          <w:kern w:val="0"/>
        </w:rPr>
      </w:pPr>
      <w:r>
        <w:rPr>
          <w:rFonts w:hint="eastAsia"/>
          <w:color w:val="000000"/>
          <w:kern w:val="0"/>
        </w:rPr>
        <w:t>（2）监测点布设</w:t>
      </w:r>
    </w:p>
    <w:p>
      <w:pPr>
        <w:ind w:firstLine="600" w:firstLineChars="250"/>
        <w:rPr>
          <w:rFonts w:hint="eastAsia"/>
          <w:b/>
          <w:color w:val="000000"/>
          <w:kern w:val="0"/>
          <w:sz w:val="21"/>
          <w:szCs w:val="21"/>
        </w:rPr>
      </w:pPr>
      <w:r>
        <w:rPr>
          <w:rFonts w:hint="eastAsia"/>
          <w:color w:val="000000"/>
          <w:kern w:val="0"/>
        </w:rPr>
        <w:t>本项目共布设</w:t>
      </w:r>
      <w:r>
        <w:rPr>
          <w:rFonts w:hint="eastAsia"/>
          <w:color w:val="000000"/>
          <w:kern w:val="0"/>
          <w:lang w:val="en-US" w:eastAsia="zh-CN"/>
        </w:rPr>
        <w:t>5</w:t>
      </w:r>
      <w:r>
        <w:rPr>
          <w:rFonts w:hint="eastAsia"/>
          <w:color w:val="000000"/>
          <w:kern w:val="0"/>
        </w:rPr>
        <w:t>个噪声监测点，详见下表，项目监测布点图见附图。</w:t>
      </w:r>
      <w:r>
        <w:rPr>
          <w:rFonts w:hint="eastAsia"/>
          <w:b/>
          <w:color w:val="000000"/>
          <w:kern w:val="0"/>
          <w:sz w:val="21"/>
          <w:szCs w:val="21"/>
        </w:rPr>
        <w:t xml:space="preserve"> </w:t>
      </w:r>
    </w:p>
    <w:p>
      <w:pPr>
        <w:ind w:firstLine="198" w:firstLineChars="94"/>
        <w:jc w:val="center"/>
        <w:rPr>
          <w:color w:val="000000"/>
          <w:kern w:val="0"/>
        </w:rPr>
      </w:pPr>
      <w:r>
        <w:rPr>
          <w:rFonts w:hint="eastAsia"/>
          <w:b/>
          <w:color w:val="000000"/>
          <w:kern w:val="0"/>
          <w:sz w:val="21"/>
          <w:szCs w:val="21"/>
        </w:rPr>
        <w:t>表</w:t>
      </w:r>
      <w:r>
        <w:rPr>
          <w:rFonts w:hint="eastAsia"/>
          <w:b/>
          <w:color w:val="000000"/>
          <w:kern w:val="0"/>
          <w:sz w:val="21"/>
          <w:szCs w:val="21"/>
          <w:lang w:val="en-US" w:eastAsia="zh-CN"/>
        </w:rPr>
        <w:t>3.6</w:t>
      </w:r>
      <w:r>
        <w:rPr>
          <w:b/>
          <w:color w:val="000000"/>
          <w:kern w:val="0"/>
          <w:sz w:val="21"/>
          <w:szCs w:val="21"/>
        </w:rPr>
        <w:t>-</w:t>
      </w:r>
      <w:r>
        <w:rPr>
          <w:rFonts w:hint="eastAsia"/>
          <w:b/>
          <w:color w:val="000000"/>
          <w:kern w:val="0"/>
          <w:sz w:val="21"/>
          <w:szCs w:val="21"/>
          <w:lang w:val="en-US" w:eastAsia="zh-CN"/>
        </w:rPr>
        <w:t xml:space="preserve">6  </w:t>
      </w:r>
      <w:r>
        <w:rPr>
          <w:rFonts w:hint="eastAsia"/>
          <w:b/>
          <w:color w:val="000000"/>
          <w:kern w:val="0"/>
          <w:sz w:val="21"/>
          <w:szCs w:val="21"/>
        </w:rPr>
        <w:t>噪声监测布点情况一览表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734"/>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26" w:type="dxa"/>
            <w:noWrap w:val="0"/>
            <w:vAlign w:val="center"/>
          </w:tcPr>
          <w:p>
            <w:pPr>
              <w:spacing w:line="240" w:lineRule="auto"/>
              <w:ind w:firstLine="0" w:firstLineChars="0"/>
              <w:jc w:val="center"/>
              <w:rPr>
                <w:rFonts w:hint="default" w:ascii="Times New Roman" w:hAnsi="Times New Roman" w:cs="Times New Roman"/>
                <w:b/>
                <w:color w:val="000000"/>
                <w:kern w:val="0"/>
                <w:sz w:val="21"/>
                <w:szCs w:val="21"/>
              </w:rPr>
            </w:pPr>
            <w:r>
              <w:rPr>
                <w:rFonts w:hint="default" w:ascii="Times New Roman" w:hAnsi="Times New Roman" w:cs="Times New Roman"/>
                <w:b/>
                <w:color w:val="000000"/>
                <w:kern w:val="0"/>
                <w:sz w:val="21"/>
                <w:szCs w:val="21"/>
              </w:rPr>
              <w:t>编号</w:t>
            </w:r>
          </w:p>
        </w:tc>
        <w:tc>
          <w:tcPr>
            <w:tcW w:w="2734" w:type="dxa"/>
            <w:noWrap w:val="0"/>
            <w:vAlign w:val="center"/>
          </w:tcPr>
          <w:p>
            <w:pPr>
              <w:spacing w:line="240" w:lineRule="auto"/>
              <w:ind w:firstLine="0" w:firstLineChars="0"/>
              <w:jc w:val="center"/>
              <w:rPr>
                <w:rFonts w:hint="default" w:ascii="Times New Roman" w:hAnsi="Times New Roman" w:cs="Times New Roman"/>
                <w:b/>
                <w:color w:val="000000"/>
                <w:kern w:val="0"/>
                <w:sz w:val="21"/>
                <w:szCs w:val="21"/>
              </w:rPr>
            </w:pPr>
            <w:r>
              <w:rPr>
                <w:rFonts w:hint="default" w:ascii="Times New Roman" w:hAnsi="Times New Roman" w:cs="Times New Roman"/>
                <w:b/>
                <w:color w:val="000000"/>
                <w:kern w:val="0"/>
                <w:sz w:val="21"/>
                <w:szCs w:val="21"/>
              </w:rPr>
              <w:t>名称</w:t>
            </w:r>
          </w:p>
        </w:tc>
        <w:tc>
          <w:tcPr>
            <w:tcW w:w="2131" w:type="dxa"/>
            <w:noWrap w:val="0"/>
            <w:vAlign w:val="center"/>
          </w:tcPr>
          <w:p>
            <w:pPr>
              <w:spacing w:line="240" w:lineRule="auto"/>
              <w:ind w:firstLine="0" w:firstLineChars="0"/>
              <w:jc w:val="center"/>
              <w:rPr>
                <w:rFonts w:hint="default" w:ascii="Times New Roman" w:hAnsi="Times New Roman" w:cs="Times New Roman"/>
                <w:b/>
                <w:color w:val="000000"/>
                <w:kern w:val="0"/>
                <w:sz w:val="21"/>
                <w:szCs w:val="21"/>
              </w:rPr>
            </w:pPr>
            <w:r>
              <w:rPr>
                <w:rFonts w:hint="default" w:ascii="Times New Roman" w:hAnsi="Times New Roman" w:cs="Times New Roman"/>
                <w:b/>
                <w:color w:val="000000"/>
                <w:kern w:val="0"/>
                <w:sz w:val="21"/>
                <w:szCs w:val="21"/>
              </w:rPr>
              <w:t>评价因子</w:t>
            </w:r>
          </w:p>
        </w:tc>
        <w:tc>
          <w:tcPr>
            <w:tcW w:w="2131" w:type="dxa"/>
            <w:noWrap w:val="0"/>
            <w:vAlign w:val="center"/>
          </w:tcPr>
          <w:p>
            <w:pPr>
              <w:spacing w:line="240" w:lineRule="auto"/>
              <w:ind w:firstLine="0" w:firstLineChars="0"/>
              <w:jc w:val="center"/>
              <w:rPr>
                <w:rFonts w:hint="default" w:ascii="Times New Roman" w:hAnsi="Times New Roman" w:cs="Times New Roman"/>
                <w:b/>
                <w:color w:val="000000"/>
                <w:kern w:val="0"/>
                <w:sz w:val="21"/>
                <w:szCs w:val="21"/>
              </w:rPr>
            </w:pPr>
            <w:r>
              <w:rPr>
                <w:rFonts w:hint="default" w:ascii="Times New Roman" w:hAnsi="Times New Roman" w:cs="Times New Roman"/>
                <w:b/>
                <w:color w:val="000000"/>
                <w:kern w:val="0"/>
                <w:sz w:val="21"/>
                <w:szCs w:val="21"/>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26" w:type="dxa"/>
            <w:noWrap w:val="0"/>
            <w:vAlign w:val="center"/>
          </w:tcPr>
          <w:p>
            <w:pPr>
              <w:pStyle w:val="79"/>
              <w:rPr>
                <w:rFonts w:hint="default" w:ascii="Times New Roman" w:hAnsi="Times New Roman" w:cs="Times New Roman"/>
                <w:kern w:val="2"/>
              </w:rPr>
            </w:pPr>
            <w:r>
              <w:rPr>
                <w:rFonts w:hint="default" w:ascii="Times New Roman" w:hAnsi="Times New Roman" w:cs="Times New Roman"/>
              </w:rPr>
              <w:t>N1</w:t>
            </w:r>
          </w:p>
        </w:tc>
        <w:tc>
          <w:tcPr>
            <w:tcW w:w="2734" w:type="dxa"/>
            <w:noWrap w:val="0"/>
            <w:vAlign w:val="center"/>
          </w:tcPr>
          <w:p>
            <w:pPr>
              <w:pStyle w:val="79"/>
              <w:rPr>
                <w:rFonts w:hint="default" w:ascii="Times New Roman" w:hAnsi="Times New Roman" w:cs="Times New Roman"/>
              </w:rPr>
            </w:pPr>
            <w:r>
              <w:rPr>
                <w:rFonts w:hint="default" w:ascii="Times New Roman" w:hAnsi="Times New Roman" w:cs="Times New Roman"/>
              </w:rPr>
              <w:t>项目场界东侧1m处</w:t>
            </w:r>
          </w:p>
        </w:tc>
        <w:tc>
          <w:tcPr>
            <w:tcW w:w="2131" w:type="dxa"/>
            <w:vMerge w:val="restart"/>
            <w:noWrap w:val="0"/>
            <w:vAlign w:val="center"/>
          </w:tcPr>
          <w:p>
            <w:pPr>
              <w:pStyle w:val="132"/>
              <w:rPr>
                <w:rFonts w:hint="default" w:ascii="Times New Roman" w:hAnsi="Times New Roman" w:cs="Times New Roman"/>
                <w:color w:val="auto"/>
              </w:rPr>
            </w:pPr>
            <w:r>
              <w:rPr>
                <w:rFonts w:hint="default" w:ascii="Times New Roman" w:hAnsi="Times New Roman" w:cs="Times New Roman"/>
                <w:color w:val="auto"/>
              </w:rPr>
              <w:t>厂界噪声</w:t>
            </w:r>
          </w:p>
        </w:tc>
        <w:tc>
          <w:tcPr>
            <w:tcW w:w="2131" w:type="dxa"/>
            <w:vMerge w:val="restart"/>
            <w:noWrap w:val="0"/>
            <w:vAlign w:val="center"/>
          </w:tcPr>
          <w:p>
            <w:pPr>
              <w:pStyle w:val="79"/>
              <w:rPr>
                <w:rFonts w:hint="default" w:ascii="Times New Roman" w:hAnsi="Times New Roman" w:cs="Times New Roman"/>
                <w:color w:val="auto"/>
              </w:rPr>
            </w:pPr>
            <w:r>
              <w:rPr>
                <w:rFonts w:hint="default" w:ascii="Times New Roman" w:hAnsi="Times New Roman" w:cs="Times New Roman"/>
                <w:color w:val="auto"/>
              </w:rPr>
              <w:t>2022.04.22～2022.04.23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26" w:type="dxa"/>
            <w:noWrap w:val="0"/>
            <w:vAlign w:val="center"/>
          </w:tcPr>
          <w:p>
            <w:pPr>
              <w:pStyle w:val="79"/>
              <w:rPr>
                <w:rFonts w:hint="default" w:ascii="Times New Roman" w:hAnsi="Times New Roman" w:cs="Times New Roman"/>
              </w:rPr>
            </w:pPr>
            <w:r>
              <w:rPr>
                <w:rFonts w:hint="default" w:ascii="Times New Roman" w:hAnsi="Times New Roman" w:cs="Times New Roman"/>
              </w:rPr>
              <w:t>N2</w:t>
            </w:r>
          </w:p>
        </w:tc>
        <w:tc>
          <w:tcPr>
            <w:tcW w:w="2734" w:type="dxa"/>
            <w:noWrap w:val="0"/>
            <w:vAlign w:val="center"/>
          </w:tcPr>
          <w:p>
            <w:pPr>
              <w:pStyle w:val="79"/>
              <w:rPr>
                <w:rFonts w:hint="default" w:ascii="Times New Roman" w:hAnsi="Times New Roman" w:cs="Times New Roman"/>
              </w:rPr>
            </w:pPr>
            <w:r>
              <w:rPr>
                <w:rFonts w:hint="default" w:ascii="Times New Roman" w:hAnsi="Times New Roman" w:cs="Times New Roman"/>
              </w:rPr>
              <w:t>项目场界南侧1m处</w:t>
            </w:r>
          </w:p>
        </w:tc>
        <w:tc>
          <w:tcPr>
            <w:tcW w:w="2131" w:type="dxa"/>
            <w:vMerge w:val="continue"/>
            <w:noWrap w:val="0"/>
            <w:vAlign w:val="center"/>
          </w:tcPr>
          <w:p>
            <w:pPr>
              <w:pStyle w:val="132"/>
              <w:rPr>
                <w:rFonts w:hint="eastAsia"/>
              </w:rPr>
            </w:pPr>
          </w:p>
        </w:tc>
        <w:tc>
          <w:tcPr>
            <w:tcW w:w="2131" w:type="dxa"/>
            <w:vMerge w:val="continue"/>
            <w:noWrap w:val="0"/>
            <w:vAlign w:val="center"/>
          </w:tcPr>
          <w:p>
            <w:pPr>
              <w:spacing w:line="240" w:lineRule="auto"/>
              <w:ind w:firstLine="0" w:firstLineChars="0"/>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26" w:type="dxa"/>
            <w:noWrap w:val="0"/>
            <w:vAlign w:val="center"/>
          </w:tcPr>
          <w:p>
            <w:pPr>
              <w:pStyle w:val="79"/>
              <w:rPr>
                <w:rFonts w:hint="default" w:ascii="Times New Roman" w:hAnsi="Times New Roman" w:cs="Times New Roman"/>
              </w:rPr>
            </w:pPr>
            <w:r>
              <w:rPr>
                <w:rFonts w:hint="default" w:ascii="Times New Roman" w:hAnsi="Times New Roman" w:cs="Times New Roman"/>
              </w:rPr>
              <w:t>N3</w:t>
            </w:r>
          </w:p>
        </w:tc>
        <w:tc>
          <w:tcPr>
            <w:tcW w:w="2734" w:type="dxa"/>
            <w:noWrap w:val="0"/>
            <w:vAlign w:val="center"/>
          </w:tcPr>
          <w:p>
            <w:pPr>
              <w:pStyle w:val="79"/>
              <w:rPr>
                <w:rFonts w:hint="default" w:ascii="Times New Roman" w:hAnsi="Times New Roman" w:cs="Times New Roman"/>
              </w:rPr>
            </w:pPr>
            <w:r>
              <w:rPr>
                <w:rFonts w:hint="default" w:ascii="Times New Roman" w:hAnsi="Times New Roman" w:cs="Times New Roman"/>
              </w:rPr>
              <w:t>项目场界</w:t>
            </w:r>
            <w:r>
              <w:rPr>
                <w:rFonts w:hint="eastAsia" w:ascii="Times New Roman" w:hAnsi="Times New Roman" w:cs="Times New Roman"/>
                <w:lang w:val="en-US" w:eastAsia="zh-CN"/>
              </w:rPr>
              <w:t>西</w:t>
            </w:r>
            <w:r>
              <w:rPr>
                <w:rFonts w:hint="default" w:ascii="Times New Roman" w:hAnsi="Times New Roman" w:cs="Times New Roman"/>
              </w:rPr>
              <w:t>侧1m处</w:t>
            </w:r>
          </w:p>
        </w:tc>
        <w:tc>
          <w:tcPr>
            <w:tcW w:w="2131" w:type="dxa"/>
            <w:vMerge w:val="continue"/>
            <w:noWrap w:val="0"/>
            <w:vAlign w:val="center"/>
          </w:tcPr>
          <w:p>
            <w:pPr>
              <w:pStyle w:val="132"/>
              <w:rPr>
                <w:rFonts w:hint="eastAsia"/>
              </w:rPr>
            </w:pPr>
          </w:p>
        </w:tc>
        <w:tc>
          <w:tcPr>
            <w:tcW w:w="2131" w:type="dxa"/>
            <w:vMerge w:val="continue"/>
            <w:noWrap w:val="0"/>
            <w:vAlign w:val="center"/>
          </w:tcPr>
          <w:p>
            <w:pPr>
              <w:spacing w:line="240" w:lineRule="auto"/>
              <w:ind w:firstLine="0" w:firstLineChars="0"/>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jc w:val="center"/>
        </w:trPr>
        <w:tc>
          <w:tcPr>
            <w:tcW w:w="1526" w:type="dxa"/>
            <w:noWrap w:val="0"/>
            <w:vAlign w:val="center"/>
          </w:tcPr>
          <w:p>
            <w:pPr>
              <w:pStyle w:val="79"/>
              <w:rPr>
                <w:rFonts w:hint="default" w:ascii="Times New Roman" w:hAnsi="Times New Roman" w:cs="Times New Roman"/>
              </w:rPr>
            </w:pPr>
            <w:r>
              <w:rPr>
                <w:rFonts w:hint="default" w:ascii="Times New Roman" w:hAnsi="Times New Roman" w:cs="Times New Roman"/>
              </w:rPr>
              <w:t>N4</w:t>
            </w:r>
          </w:p>
        </w:tc>
        <w:tc>
          <w:tcPr>
            <w:tcW w:w="2734" w:type="dxa"/>
            <w:noWrap w:val="0"/>
            <w:vAlign w:val="center"/>
          </w:tcPr>
          <w:p>
            <w:pPr>
              <w:pStyle w:val="79"/>
              <w:rPr>
                <w:rFonts w:hint="default" w:ascii="Times New Roman" w:hAnsi="Times New Roman" w:cs="Times New Roman"/>
              </w:rPr>
            </w:pPr>
            <w:r>
              <w:rPr>
                <w:rFonts w:hint="default" w:ascii="Times New Roman" w:hAnsi="Times New Roman" w:cs="Times New Roman"/>
              </w:rPr>
              <w:t>项目场界</w:t>
            </w:r>
            <w:r>
              <w:rPr>
                <w:rFonts w:hint="eastAsia" w:ascii="Times New Roman" w:hAnsi="Times New Roman" w:cs="Times New Roman"/>
                <w:lang w:val="en-US" w:eastAsia="zh-CN"/>
              </w:rPr>
              <w:t>北</w:t>
            </w:r>
            <w:r>
              <w:rPr>
                <w:rFonts w:hint="default" w:ascii="Times New Roman" w:hAnsi="Times New Roman" w:cs="Times New Roman"/>
              </w:rPr>
              <w:t>侧1m处</w:t>
            </w:r>
          </w:p>
        </w:tc>
        <w:tc>
          <w:tcPr>
            <w:tcW w:w="2131" w:type="dxa"/>
            <w:vMerge w:val="continue"/>
            <w:noWrap w:val="0"/>
            <w:vAlign w:val="center"/>
          </w:tcPr>
          <w:p>
            <w:pPr>
              <w:pStyle w:val="132"/>
              <w:rPr>
                <w:rFonts w:hint="eastAsia"/>
              </w:rPr>
            </w:pPr>
          </w:p>
        </w:tc>
        <w:tc>
          <w:tcPr>
            <w:tcW w:w="2131" w:type="dxa"/>
            <w:vMerge w:val="continue"/>
            <w:noWrap w:val="0"/>
            <w:vAlign w:val="center"/>
          </w:tcPr>
          <w:p>
            <w:pPr>
              <w:spacing w:line="240" w:lineRule="auto"/>
              <w:ind w:firstLine="0" w:firstLineChars="0"/>
              <w:rPr>
                <w:rFonts w:hint="eastAsia"/>
                <w:color w:val="000000"/>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26" w:type="dxa"/>
            <w:noWrap w:val="0"/>
            <w:vAlign w:val="center"/>
          </w:tcPr>
          <w:p>
            <w:pPr>
              <w:pStyle w:val="79"/>
              <w:rPr>
                <w:rFonts w:hint="default" w:ascii="Times New Roman" w:hAnsi="Times New Roman" w:eastAsia="宋体" w:cs="Times New Roman"/>
                <w:u w:val="single"/>
                <w:lang w:val="en-US" w:eastAsia="zh-CN"/>
              </w:rPr>
            </w:pPr>
            <w:r>
              <w:rPr>
                <w:rFonts w:hint="eastAsia" w:ascii="Times New Roman" w:hAnsi="Times New Roman" w:cs="Times New Roman"/>
                <w:u w:val="single"/>
                <w:lang w:val="en-US" w:eastAsia="zh-CN"/>
              </w:rPr>
              <w:t>N5</w:t>
            </w:r>
          </w:p>
        </w:tc>
        <w:tc>
          <w:tcPr>
            <w:tcW w:w="2734" w:type="dxa"/>
            <w:noWrap w:val="0"/>
            <w:vAlign w:val="center"/>
          </w:tcPr>
          <w:p>
            <w:pPr>
              <w:pStyle w:val="79"/>
              <w:rPr>
                <w:rFonts w:hint="default" w:ascii="Times New Roman" w:hAnsi="Times New Roman" w:eastAsia="宋体" w:cs="Times New Roman"/>
                <w:u w:val="single"/>
                <w:lang w:val="en-US" w:eastAsia="zh-CN"/>
              </w:rPr>
            </w:pPr>
            <w:r>
              <w:rPr>
                <w:rFonts w:hint="eastAsia" w:ascii="Times New Roman" w:hAnsi="Times New Roman" w:cs="Times New Roman"/>
                <w:u w:val="single"/>
                <w:lang w:val="en-US" w:eastAsia="zh-CN"/>
              </w:rPr>
              <w:t>污水提升泵建设处</w:t>
            </w:r>
          </w:p>
        </w:tc>
        <w:tc>
          <w:tcPr>
            <w:tcW w:w="2131" w:type="dxa"/>
            <w:noWrap w:val="0"/>
            <w:vAlign w:val="center"/>
          </w:tcPr>
          <w:p>
            <w:pPr>
              <w:pStyle w:val="132"/>
              <w:rPr>
                <w:rFonts w:hint="default" w:eastAsia="宋体"/>
                <w:u w:val="single"/>
                <w:lang w:val="en-US" w:eastAsia="zh-CN"/>
              </w:rPr>
            </w:pPr>
            <w:r>
              <w:rPr>
                <w:rFonts w:hint="eastAsia"/>
                <w:u w:val="single"/>
                <w:lang w:val="en-US" w:eastAsia="zh-CN"/>
              </w:rPr>
              <w:t>环境噪声</w:t>
            </w:r>
          </w:p>
        </w:tc>
        <w:tc>
          <w:tcPr>
            <w:tcW w:w="2131" w:type="dxa"/>
            <w:vMerge w:val="continue"/>
            <w:noWrap w:val="0"/>
            <w:vAlign w:val="center"/>
          </w:tcPr>
          <w:p>
            <w:pPr>
              <w:spacing w:line="240" w:lineRule="auto"/>
              <w:ind w:firstLine="0" w:firstLineChars="0"/>
              <w:rPr>
                <w:rFonts w:hint="eastAsia"/>
                <w:color w:val="000000"/>
                <w:kern w:val="0"/>
                <w:sz w:val="21"/>
                <w:szCs w:val="21"/>
              </w:rPr>
            </w:pPr>
          </w:p>
        </w:tc>
      </w:tr>
    </w:tbl>
    <w:p>
      <w:pPr>
        <w:ind w:firstLine="480"/>
        <w:rPr>
          <w:rFonts w:hint="eastAsia"/>
          <w:color w:val="000000"/>
          <w:kern w:val="0"/>
        </w:rPr>
      </w:pPr>
      <w:r>
        <w:rPr>
          <w:rFonts w:hint="eastAsia"/>
          <w:color w:val="000000"/>
          <w:kern w:val="0"/>
        </w:rPr>
        <w:t>（3）监测时间及采样频率</w:t>
      </w:r>
    </w:p>
    <w:p>
      <w:pPr>
        <w:ind w:firstLine="480"/>
        <w:rPr>
          <w:rFonts w:hint="eastAsia"/>
          <w:color w:val="auto"/>
          <w:kern w:val="0"/>
        </w:rPr>
      </w:pPr>
      <w:r>
        <w:rPr>
          <w:rFonts w:hint="eastAsia"/>
          <w:color w:val="000000"/>
          <w:kern w:val="0"/>
        </w:rPr>
        <w:t>监测</w:t>
      </w:r>
      <w:r>
        <w:rPr>
          <w:rFonts w:hint="eastAsia"/>
          <w:color w:val="auto"/>
          <w:kern w:val="0"/>
        </w:rPr>
        <w:t>时间为2022.04.22～2022.04.23，共监测2天。</w:t>
      </w:r>
    </w:p>
    <w:p>
      <w:pPr>
        <w:ind w:firstLine="480"/>
        <w:rPr>
          <w:rFonts w:hint="eastAsia"/>
          <w:color w:val="000000"/>
          <w:kern w:val="0"/>
        </w:rPr>
      </w:pPr>
      <w:r>
        <w:rPr>
          <w:rFonts w:hint="eastAsia"/>
          <w:color w:val="000000"/>
          <w:kern w:val="0"/>
        </w:rPr>
        <w:t>（4）监测、分析方法</w:t>
      </w:r>
    </w:p>
    <w:p>
      <w:pPr>
        <w:ind w:firstLine="480"/>
        <w:rPr>
          <w:rFonts w:hint="eastAsia"/>
          <w:color w:val="000000"/>
          <w:kern w:val="0"/>
        </w:rPr>
      </w:pPr>
      <w:r>
        <w:rPr>
          <w:rFonts w:hint="eastAsia"/>
          <w:color w:val="000000"/>
          <w:kern w:val="0"/>
        </w:rPr>
        <w:t xml:space="preserve"> 按《声环境质量标准》（GB3096-2008）进行。</w:t>
      </w:r>
    </w:p>
    <w:p>
      <w:pPr>
        <w:ind w:firstLine="480"/>
        <w:rPr>
          <w:rFonts w:hint="eastAsia"/>
          <w:color w:val="000000"/>
          <w:kern w:val="0"/>
        </w:rPr>
      </w:pPr>
      <w:r>
        <w:rPr>
          <w:rFonts w:hint="eastAsia"/>
          <w:color w:val="000000"/>
          <w:kern w:val="0"/>
        </w:rPr>
        <w:t>（5）监测数据果</w:t>
      </w:r>
    </w:p>
    <w:p>
      <w:pPr>
        <w:ind w:firstLine="480"/>
        <w:rPr>
          <w:rFonts w:hint="eastAsia"/>
          <w:color w:val="000000"/>
          <w:kern w:val="0"/>
        </w:rPr>
      </w:pPr>
      <w:r>
        <w:rPr>
          <w:rFonts w:hint="eastAsia"/>
          <w:color w:val="000000"/>
          <w:kern w:val="0"/>
        </w:rPr>
        <w:t>监测数据结果见表</w:t>
      </w:r>
      <w:r>
        <w:rPr>
          <w:color w:val="000000"/>
          <w:kern w:val="0"/>
        </w:rPr>
        <w:t>3.</w:t>
      </w:r>
      <w:r>
        <w:rPr>
          <w:rFonts w:hint="eastAsia"/>
          <w:color w:val="000000"/>
          <w:kern w:val="0"/>
          <w:lang w:val="en-US" w:eastAsia="zh-CN"/>
        </w:rPr>
        <w:t>6</w:t>
      </w:r>
      <w:r>
        <w:rPr>
          <w:color w:val="000000"/>
          <w:kern w:val="0"/>
        </w:rPr>
        <w:t>-</w:t>
      </w:r>
      <w:r>
        <w:rPr>
          <w:rFonts w:hint="eastAsia"/>
          <w:color w:val="000000"/>
          <w:kern w:val="0"/>
          <w:lang w:val="en-US" w:eastAsia="zh-CN"/>
        </w:rPr>
        <w:t>7</w:t>
      </w:r>
      <w:r>
        <w:rPr>
          <w:rFonts w:hint="eastAsia"/>
          <w:color w:val="000000"/>
          <w:kern w:val="0"/>
        </w:rPr>
        <w:t>。</w:t>
      </w:r>
    </w:p>
    <w:p>
      <w:pPr>
        <w:ind w:firstLine="422"/>
        <w:jc w:val="center"/>
        <w:rPr>
          <w:rFonts w:hint="eastAsia"/>
          <w:b/>
          <w:color w:val="000000"/>
          <w:kern w:val="0"/>
          <w:sz w:val="21"/>
          <w:szCs w:val="21"/>
        </w:rPr>
      </w:pPr>
      <w:r>
        <w:rPr>
          <w:rFonts w:hint="eastAsia"/>
          <w:b/>
          <w:color w:val="000000"/>
          <w:kern w:val="0"/>
          <w:sz w:val="21"/>
          <w:szCs w:val="21"/>
        </w:rPr>
        <w:t>表</w:t>
      </w:r>
      <w:r>
        <w:rPr>
          <w:b/>
          <w:color w:val="000000"/>
          <w:kern w:val="0"/>
          <w:sz w:val="21"/>
          <w:szCs w:val="21"/>
        </w:rPr>
        <w:t>3.</w:t>
      </w:r>
      <w:r>
        <w:rPr>
          <w:rFonts w:hint="eastAsia"/>
          <w:b/>
          <w:color w:val="000000"/>
          <w:kern w:val="0"/>
          <w:sz w:val="21"/>
          <w:szCs w:val="21"/>
          <w:lang w:val="en-US" w:eastAsia="zh-CN"/>
        </w:rPr>
        <w:t>6</w:t>
      </w:r>
      <w:r>
        <w:rPr>
          <w:b/>
          <w:color w:val="000000"/>
          <w:kern w:val="0"/>
          <w:sz w:val="21"/>
          <w:szCs w:val="21"/>
        </w:rPr>
        <w:t>-</w:t>
      </w:r>
      <w:r>
        <w:rPr>
          <w:rFonts w:hint="eastAsia"/>
          <w:b/>
          <w:color w:val="000000"/>
          <w:kern w:val="0"/>
          <w:sz w:val="21"/>
          <w:szCs w:val="21"/>
          <w:lang w:val="en-US" w:eastAsia="zh-CN"/>
        </w:rPr>
        <w:t>7</w:t>
      </w:r>
      <w:r>
        <w:rPr>
          <w:rFonts w:hint="eastAsia"/>
          <w:b/>
          <w:color w:val="000000"/>
          <w:kern w:val="0"/>
          <w:sz w:val="21"/>
          <w:szCs w:val="21"/>
        </w:rPr>
        <w:t xml:space="preserve"> 声环境现场监测结果 单位：dB(A)</w:t>
      </w:r>
    </w:p>
    <w:tbl>
      <w:tblPr>
        <w:tblStyle w:val="37"/>
        <w:tblW w:w="815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64" w:type="dxa"/>
          <w:bottom w:w="0" w:type="dxa"/>
          <w:right w:w="51" w:type="dxa"/>
        </w:tblCellMar>
      </w:tblPr>
      <w:tblGrid>
        <w:gridCol w:w="2515"/>
        <w:gridCol w:w="1215"/>
        <w:gridCol w:w="1455"/>
        <w:gridCol w:w="1035"/>
        <w:gridCol w:w="1066"/>
        <w:gridCol w:w="8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64" w:type="dxa"/>
            <w:bottom w:w="0" w:type="dxa"/>
            <w:right w:w="51" w:type="dxa"/>
          </w:tblCellMar>
        </w:tblPrEx>
        <w:trPr>
          <w:cantSplit/>
          <w:trHeight w:val="604" w:hRule="atLeast"/>
          <w:jc w:val="center"/>
        </w:trPr>
        <w:tc>
          <w:tcPr>
            <w:tcW w:w="2515" w:type="dxa"/>
            <w:vMerge w:val="restart"/>
            <w:tcBorders>
              <w:tl2br w:val="nil"/>
              <w:tr2bl w:val="nil"/>
            </w:tcBorders>
            <w:noWrap w:val="0"/>
            <w:vAlign w:val="center"/>
          </w:tcPr>
          <w:p>
            <w:pPr>
              <w:pStyle w:val="79"/>
              <w:jc w:val="center"/>
              <w:rPr>
                <w:rFonts w:hint="default" w:ascii="Times New Roman" w:hAnsi="Times New Roman" w:eastAsia="宋体" w:cs="Times New Roman"/>
                <w:color w:val="auto"/>
              </w:rPr>
            </w:pPr>
            <w:r>
              <w:rPr>
                <w:rFonts w:hint="default" w:ascii="Times New Roman" w:hAnsi="Times New Roman" w:eastAsia="宋体" w:cs="Times New Roman"/>
                <w:color w:val="auto"/>
              </w:rPr>
              <w:t>点位名称</w:t>
            </w:r>
          </w:p>
        </w:tc>
        <w:tc>
          <w:tcPr>
            <w:tcW w:w="1215" w:type="dxa"/>
            <w:vMerge w:val="restart"/>
            <w:tcBorders>
              <w:tl2br w:val="nil"/>
              <w:tr2bl w:val="nil"/>
            </w:tcBorders>
            <w:noWrap w:val="0"/>
            <w:vAlign w:val="center"/>
          </w:tcPr>
          <w:p>
            <w:pPr>
              <w:pStyle w:val="79"/>
              <w:jc w:val="center"/>
              <w:rPr>
                <w:rFonts w:hint="default" w:ascii="Times New Roman" w:hAnsi="Times New Roman" w:eastAsia="宋体" w:cs="Times New Roman"/>
                <w:color w:val="auto"/>
              </w:rPr>
            </w:pPr>
            <w:r>
              <w:rPr>
                <w:rFonts w:hint="eastAsia" w:ascii="Times New Roman" w:hAnsi="Times New Roman" w:eastAsia="宋体" w:cs="Times New Roman"/>
                <w:color w:val="auto"/>
              </w:rPr>
              <w:t>监测内容</w:t>
            </w:r>
          </w:p>
        </w:tc>
        <w:tc>
          <w:tcPr>
            <w:tcW w:w="4429" w:type="dxa"/>
            <w:gridSpan w:val="4"/>
            <w:tcBorders>
              <w:tl2br w:val="nil"/>
              <w:tr2bl w:val="nil"/>
            </w:tcBorders>
            <w:noWrap w:val="0"/>
            <w:vAlign w:val="center"/>
          </w:tcPr>
          <w:p>
            <w:pPr>
              <w:pStyle w:val="79"/>
              <w:jc w:val="center"/>
              <w:rPr>
                <w:rFonts w:hint="default" w:ascii="Times New Roman" w:hAnsi="Times New Roman" w:eastAsia="宋体" w:cs="Times New Roman"/>
                <w:color w:val="auto"/>
              </w:rPr>
            </w:pPr>
            <w:r>
              <w:rPr>
                <w:rFonts w:hint="default" w:ascii="Times New Roman" w:hAnsi="Times New Roman" w:eastAsia="宋体" w:cs="Times New Roman"/>
                <w:color w:val="auto"/>
              </w:rPr>
              <w:t>检测结果dB（A）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64" w:type="dxa"/>
            <w:bottom w:w="0" w:type="dxa"/>
            <w:right w:w="51" w:type="dxa"/>
          </w:tblCellMar>
        </w:tblPrEx>
        <w:trPr>
          <w:cantSplit/>
          <w:trHeight w:val="373" w:hRule="atLeast"/>
          <w:jc w:val="center"/>
        </w:trPr>
        <w:tc>
          <w:tcPr>
            <w:tcW w:w="2515" w:type="dxa"/>
            <w:vMerge w:val="continue"/>
            <w:tcBorders>
              <w:tl2br w:val="nil"/>
              <w:tr2bl w:val="nil"/>
            </w:tcBorders>
            <w:noWrap w:val="0"/>
            <w:vAlign w:val="center"/>
          </w:tcPr>
          <w:p>
            <w:pPr>
              <w:pStyle w:val="79"/>
              <w:jc w:val="center"/>
              <w:rPr>
                <w:rFonts w:hint="default" w:ascii="Times New Roman" w:hAnsi="Times New Roman" w:eastAsia="宋体" w:cs="Times New Roman"/>
                <w:color w:val="auto"/>
              </w:rPr>
            </w:pPr>
          </w:p>
        </w:tc>
        <w:tc>
          <w:tcPr>
            <w:tcW w:w="1215" w:type="dxa"/>
            <w:vMerge w:val="continue"/>
            <w:tcBorders>
              <w:tl2br w:val="nil"/>
              <w:tr2bl w:val="nil"/>
            </w:tcBorders>
            <w:noWrap w:val="0"/>
            <w:vAlign w:val="center"/>
          </w:tcPr>
          <w:p>
            <w:pPr>
              <w:pStyle w:val="79"/>
              <w:jc w:val="center"/>
              <w:rPr>
                <w:rFonts w:hint="eastAsia" w:ascii="Times New Roman" w:hAnsi="Times New Roman" w:eastAsia="宋体" w:cs="Times New Roman"/>
                <w:color w:val="auto"/>
              </w:rPr>
            </w:pPr>
          </w:p>
        </w:tc>
        <w:tc>
          <w:tcPr>
            <w:tcW w:w="2490" w:type="dxa"/>
            <w:gridSpan w:val="2"/>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2022.04.22</w:t>
            </w:r>
          </w:p>
        </w:tc>
        <w:tc>
          <w:tcPr>
            <w:tcW w:w="1939" w:type="dxa"/>
            <w:gridSpan w:val="2"/>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2022.04.23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64" w:type="dxa"/>
            <w:bottom w:w="0" w:type="dxa"/>
            <w:right w:w="51" w:type="dxa"/>
          </w:tblCellMar>
        </w:tblPrEx>
        <w:trPr>
          <w:cantSplit/>
          <w:trHeight w:val="286" w:hRule="atLeast"/>
          <w:jc w:val="center"/>
        </w:trPr>
        <w:tc>
          <w:tcPr>
            <w:tcW w:w="2515" w:type="dxa"/>
            <w:vMerge w:val="continue"/>
            <w:tcBorders>
              <w:tl2br w:val="nil"/>
              <w:tr2bl w:val="nil"/>
            </w:tcBorders>
            <w:noWrap w:val="0"/>
            <w:vAlign w:val="center"/>
          </w:tcPr>
          <w:p>
            <w:pPr>
              <w:pStyle w:val="79"/>
              <w:jc w:val="center"/>
              <w:rPr>
                <w:rFonts w:hint="default" w:ascii="Times New Roman" w:hAnsi="Times New Roman" w:eastAsia="宋体" w:cs="Times New Roman"/>
                <w:color w:val="auto"/>
              </w:rPr>
            </w:pPr>
          </w:p>
        </w:tc>
        <w:tc>
          <w:tcPr>
            <w:tcW w:w="1215" w:type="dxa"/>
            <w:vMerge w:val="continue"/>
            <w:tcBorders>
              <w:tl2br w:val="nil"/>
              <w:tr2bl w:val="nil"/>
            </w:tcBorders>
            <w:noWrap w:val="0"/>
            <w:vAlign w:val="center"/>
          </w:tcPr>
          <w:p>
            <w:pPr>
              <w:pStyle w:val="79"/>
              <w:jc w:val="center"/>
              <w:rPr>
                <w:rFonts w:hint="default" w:ascii="Times New Roman" w:hAnsi="Times New Roman" w:eastAsia="宋体" w:cs="Times New Roman"/>
                <w:color w:val="auto"/>
              </w:rPr>
            </w:pPr>
          </w:p>
        </w:tc>
        <w:tc>
          <w:tcPr>
            <w:tcW w:w="1455" w:type="dxa"/>
            <w:tcBorders>
              <w:tl2br w:val="nil"/>
              <w:tr2bl w:val="nil"/>
            </w:tcBorders>
            <w:noWrap w:val="0"/>
            <w:vAlign w:val="center"/>
          </w:tcPr>
          <w:p>
            <w:pPr>
              <w:pStyle w:val="79"/>
              <w:jc w:val="center"/>
              <w:rPr>
                <w:rFonts w:hint="default" w:ascii="Times New Roman" w:hAnsi="Times New Roman" w:eastAsia="宋体" w:cs="Times New Roman"/>
                <w:color w:val="auto"/>
              </w:rPr>
            </w:pPr>
            <w:r>
              <w:rPr>
                <w:rFonts w:hint="default" w:ascii="Times New Roman" w:hAnsi="Times New Roman" w:eastAsia="宋体" w:cs="Times New Roman"/>
                <w:color w:val="auto"/>
              </w:rPr>
              <w:t>昼间</w:t>
            </w:r>
          </w:p>
        </w:tc>
        <w:tc>
          <w:tcPr>
            <w:tcW w:w="1035" w:type="dxa"/>
            <w:tcBorders>
              <w:tl2br w:val="nil"/>
              <w:tr2bl w:val="nil"/>
            </w:tcBorders>
            <w:noWrap w:val="0"/>
            <w:vAlign w:val="center"/>
          </w:tcPr>
          <w:p>
            <w:pPr>
              <w:pStyle w:val="79"/>
              <w:jc w:val="center"/>
              <w:rPr>
                <w:rFonts w:hint="default" w:ascii="Times New Roman" w:hAnsi="Times New Roman" w:eastAsia="宋体" w:cs="Times New Roman"/>
                <w:color w:val="auto"/>
              </w:rPr>
            </w:pPr>
            <w:r>
              <w:rPr>
                <w:rFonts w:hint="eastAsia" w:ascii="Times New Roman" w:hAnsi="Times New Roman" w:eastAsia="宋体" w:cs="Times New Roman"/>
                <w:color w:val="auto"/>
              </w:rPr>
              <w:t>夜间</w:t>
            </w:r>
          </w:p>
        </w:tc>
        <w:tc>
          <w:tcPr>
            <w:tcW w:w="1066" w:type="dxa"/>
            <w:tcBorders>
              <w:tl2br w:val="nil"/>
              <w:tr2bl w:val="nil"/>
            </w:tcBorders>
            <w:noWrap w:val="0"/>
            <w:vAlign w:val="center"/>
          </w:tcPr>
          <w:p>
            <w:pPr>
              <w:pStyle w:val="79"/>
              <w:jc w:val="center"/>
              <w:rPr>
                <w:rFonts w:hint="default" w:ascii="Times New Roman" w:hAnsi="Times New Roman" w:eastAsia="宋体" w:cs="Times New Roman"/>
                <w:color w:val="auto"/>
              </w:rPr>
            </w:pPr>
            <w:r>
              <w:rPr>
                <w:rFonts w:hint="default" w:ascii="Times New Roman" w:hAnsi="Times New Roman" w:eastAsia="宋体" w:cs="Times New Roman"/>
                <w:color w:val="auto"/>
              </w:rPr>
              <w:t>昼间</w:t>
            </w:r>
          </w:p>
        </w:tc>
        <w:tc>
          <w:tcPr>
            <w:tcW w:w="873" w:type="dxa"/>
            <w:tcBorders>
              <w:tl2br w:val="nil"/>
              <w:tr2bl w:val="nil"/>
            </w:tcBorders>
            <w:noWrap w:val="0"/>
            <w:vAlign w:val="center"/>
          </w:tcPr>
          <w:p>
            <w:pPr>
              <w:pStyle w:val="79"/>
              <w:jc w:val="center"/>
              <w:rPr>
                <w:rFonts w:hint="default" w:ascii="Times New Roman" w:hAnsi="Times New Roman" w:eastAsia="宋体" w:cs="Times New Roman"/>
                <w:color w:val="auto"/>
              </w:rPr>
            </w:pPr>
            <w:r>
              <w:rPr>
                <w:rFonts w:hint="eastAsia" w:ascii="Times New Roman" w:hAnsi="Times New Roman" w:eastAsia="宋体" w:cs="Times New Roman"/>
                <w:color w:val="auto"/>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376" w:hRule="atLeast"/>
          <w:jc w:val="center"/>
        </w:trPr>
        <w:tc>
          <w:tcPr>
            <w:tcW w:w="2515" w:type="dxa"/>
            <w:tcBorders>
              <w:tl2br w:val="nil"/>
              <w:tr2bl w:val="nil"/>
            </w:tcBorders>
            <w:noWrap w:val="0"/>
            <w:vAlign w:val="center"/>
          </w:tcPr>
          <w:p>
            <w:pPr>
              <w:pStyle w:val="79"/>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项目场界东侧1m处N1</w:t>
            </w:r>
          </w:p>
        </w:tc>
        <w:tc>
          <w:tcPr>
            <w:tcW w:w="1215" w:type="dxa"/>
            <w:vMerge w:val="restart"/>
            <w:tcBorders>
              <w:tl2br w:val="nil"/>
              <w:tr2bl w:val="nil"/>
            </w:tcBorders>
            <w:noWrap w:val="0"/>
            <w:vAlign w:val="center"/>
          </w:tcPr>
          <w:p>
            <w:pPr>
              <w:pStyle w:val="79"/>
              <w:jc w:val="center"/>
              <w:rPr>
                <w:rFonts w:hint="default" w:ascii="Times New Roman" w:hAnsi="Times New Roman" w:eastAsia="宋体" w:cs="Times New Roman"/>
                <w:color w:val="auto"/>
              </w:rPr>
            </w:pPr>
            <w:r>
              <w:rPr>
                <w:rFonts w:hint="default" w:ascii="Times New Roman" w:hAnsi="Times New Roman" w:eastAsia="宋体" w:cs="Times New Roman"/>
                <w:color w:val="auto"/>
              </w:rPr>
              <w:t>声环境噪声</w:t>
            </w:r>
          </w:p>
        </w:tc>
        <w:tc>
          <w:tcPr>
            <w:tcW w:w="1455"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w:t>
            </w:r>
          </w:p>
        </w:tc>
        <w:tc>
          <w:tcPr>
            <w:tcW w:w="1035"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45</w:t>
            </w:r>
          </w:p>
        </w:tc>
        <w:tc>
          <w:tcPr>
            <w:tcW w:w="1066"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51</w:t>
            </w:r>
          </w:p>
        </w:tc>
        <w:tc>
          <w:tcPr>
            <w:tcW w:w="873"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64" w:type="dxa"/>
            <w:bottom w:w="0" w:type="dxa"/>
            <w:right w:w="51" w:type="dxa"/>
          </w:tblCellMar>
        </w:tblPrEx>
        <w:trPr>
          <w:cantSplit/>
          <w:trHeight w:val="408" w:hRule="atLeast"/>
          <w:jc w:val="center"/>
        </w:trPr>
        <w:tc>
          <w:tcPr>
            <w:tcW w:w="2515" w:type="dxa"/>
            <w:tcBorders>
              <w:tl2br w:val="nil"/>
              <w:tr2bl w:val="nil"/>
            </w:tcBorders>
            <w:noWrap w:val="0"/>
            <w:vAlign w:val="center"/>
          </w:tcPr>
          <w:p>
            <w:pPr>
              <w:pStyle w:val="79"/>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项目场界南侧1m处N2</w:t>
            </w:r>
          </w:p>
        </w:tc>
        <w:tc>
          <w:tcPr>
            <w:tcW w:w="1215" w:type="dxa"/>
            <w:vMerge w:val="continue"/>
            <w:tcBorders>
              <w:tl2br w:val="nil"/>
              <w:tr2bl w:val="nil"/>
            </w:tcBorders>
            <w:noWrap w:val="0"/>
            <w:vAlign w:val="center"/>
          </w:tcPr>
          <w:p>
            <w:pPr>
              <w:pStyle w:val="79"/>
              <w:jc w:val="center"/>
              <w:rPr>
                <w:rFonts w:hint="default" w:ascii="Times New Roman" w:hAnsi="Times New Roman" w:eastAsia="宋体" w:cs="Times New Roman"/>
                <w:color w:val="auto"/>
              </w:rPr>
            </w:pPr>
          </w:p>
        </w:tc>
        <w:tc>
          <w:tcPr>
            <w:tcW w:w="1455"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51</w:t>
            </w:r>
          </w:p>
        </w:tc>
        <w:tc>
          <w:tcPr>
            <w:tcW w:w="1035"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47</w:t>
            </w:r>
          </w:p>
        </w:tc>
        <w:tc>
          <w:tcPr>
            <w:tcW w:w="1066"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52</w:t>
            </w:r>
          </w:p>
        </w:tc>
        <w:tc>
          <w:tcPr>
            <w:tcW w:w="873"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64" w:type="dxa"/>
            <w:bottom w:w="0" w:type="dxa"/>
            <w:right w:w="51" w:type="dxa"/>
          </w:tblCellMar>
        </w:tblPrEx>
        <w:trPr>
          <w:cantSplit/>
          <w:trHeight w:val="408" w:hRule="atLeast"/>
          <w:jc w:val="center"/>
        </w:trPr>
        <w:tc>
          <w:tcPr>
            <w:tcW w:w="2515" w:type="dxa"/>
            <w:tcBorders>
              <w:tl2br w:val="nil"/>
              <w:tr2bl w:val="nil"/>
            </w:tcBorders>
            <w:noWrap w:val="0"/>
            <w:vAlign w:val="center"/>
          </w:tcPr>
          <w:p>
            <w:pPr>
              <w:pStyle w:val="79"/>
              <w:jc w:val="center"/>
              <w:rPr>
                <w:rFonts w:hint="eastAsia" w:ascii="Times New Roman" w:hAnsi="Times New Roman" w:eastAsia="宋体" w:cs="Times New Roman"/>
                <w:color w:val="auto"/>
              </w:rPr>
            </w:pPr>
            <w:r>
              <w:rPr>
                <w:rFonts w:hint="default" w:ascii="Times New Roman" w:hAnsi="Times New Roman" w:eastAsia="宋体" w:cs="Times New Roman"/>
                <w:color w:val="auto"/>
              </w:rPr>
              <w:t>项目场界西侧1m处N3</w:t>
            </w:r>
          </w:p>
        </w:tc>
        <w:tc>
          <w:tcPr>
            <w:tcW w:w="1215" w:type="dxa"/>
            <w:vMerge w:val="continue"/>
            <w:tcBorders>
              <w:tl2br w:val="nil"/>
              <w:tr2bl w:val="nil"/>
            </w:tcBorders>
            <w:noWrap w:val="0"/>
            <w:vAlign w:val="center"/>
          </w:tcPr>
          <w:p>
            <w:pPr>
              <w:pStyle w:val="79"/>
              <w:jc w:val="center"/>
              <w:rPr>
                <w:rFonts w:hint="default" w:ascii="Times New Roman" w:hAnsi="Times New Roman" w:eastAsia="宋体" w:cs="Times New Roman"/>
                <w:color w:val="auto"/>
              </w:rPr>
            </w:pPr>
          </w:p>
        </w:tc>
        <w:tc>
          <w:tcPr>
            <w:tcW w:w="1455"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w:t>
            </w:r>
          </w:p>
        </w:tc>
        <w:tc>
          <w:tcPr>
            <w:tcW w:w="1035"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45</w:t>
            </w:r>
          </w:p>
        </w:tc>
        <w:tc>
          <w:tcPr>
            <w:tcW w:w="1066"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w:t>
            </w:r>
          </w:p>
        </w:tc>
        <w:tc>
          <w:tcPr>
            <w:tcW w:w="873"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64" w:type="dxa"/>
            <w:bottom w:w="0" w:type="dxa"/>
            <w:right w:w="51" w:type="dxa"/>
          </w:tblCellMar>
        </w:tblPrEx>
        <w:trPr>
          <w:cantSplit/>
          <w:trHeight w:val="408" w:hRule="atLeast"/>
          <w:jc w:val="center"/>
        </w:trPr>
        <w:tc>
          <w:tcPr>
            <w:tcW w:w="2515" w:type="dxa"/>
            <w:tcBorders>
              <w:tl2br w:val="nil"/>
              <w:tr2bl w:val="nil"/>
            </w:tcBorders>
            <w:noWrap w:val="0"/>
            <w:vAlign w:val="center"/>
          </w:tcPr>
          <w:p>
            <w:pPr>
              <w:pStyle w:val="79"/>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项目场界北侧1m处N</w:t>
            </w:r>
            <w:r>
              <w:rPr>
                <w:rFonts w:hint="eastAsia" w:ascii="Times New Roman" w:hAnsi="Times New Roman" w:eastAsia="宋体" w:cs="Times New Roman"/>
                <w:color w:val="auto"/>
              </w:rPr>
              <w:t>4</w:t>
            </w:r>
          </w:p>
        </w:tc>
        <w:tc>
          <w:tcPr>
            <w:tcW w:w="1215" w:type="dxa"/>
            <w:vMerge w:val="continue"/>
            <w:tcBorders>
              <w:tl2br w:val="nil"/>
              <w:tr2bl w:val="nil"/>
            </w:tcBorders>
            <w:noWrap w:val="0"/>
            <w:vAlign w:val="center"/>
          </w:tcPr>
          <w:p>
            <w:pPr>
              <w:pStyle w:val="79"/>
              <w:jc w:val="center"/>
              <w:rPr>
                <w:rFonts w:hint="default" w:ascii="Times New Roman" w:hAnsi="Times New Roman" w:eastAsia="宋体" w:cs="Times New Roman"/>
                <w:color w:val="auto"/>
              </w:rPr>
            </w:pPr>
          </w:p>
        </w:tc>
        <w:tc>
          <w:tcPr>
            <w:tcW w:w="1455"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52</w:t>
            </w:r>
          </w:p>
        </w:tc>
        <w:tc>
          <w:tcPr>
            <w:tcW w:w="1035"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46</w:t>
            </w:r>
          </w:p>
        </w:tc>
        <w:tc>
          <w:tcPr>
            <w:tcW w:w="1066"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51</w:t>
            </w:r>
          </w:p>
        </w:tc>
        <w:tc>
          <w:tcPr>
            <w:tcW w:w="873"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trHeight w:val="522" w:hRule="atLeast"/>
          <w:jc w:val="center"/>
        </w:trPr>
        <w:tc>
          <w:tcPr>
            <w:tcW w:w="2515" w:type="dxa"/>
            <w:tcBorders>
              <w:tl2br w:val="nil"/>
              <w:tr2bl w:val="nil"/>
            </w:tcBorders>
            <w:noWrap w:val="0"/>
            <w:vAlign w:val="center"/>
          </w:tcPr>
          <w:p>
            <w:pPr>
              <w:pStyle w:val="79"/>
              <w:jc w:val="center"/>
              <w:rPr>
                <w:rFonts w:hint="default"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污水提升泵处N5</w:t>
            </w:r>
          </w:p>
        </w:tc>
        <w:tc>
          <w:tcPr>
            <w:tcW w:w="1215" w:type="dxa"/>
            <w:vMerge w:val="continue"/>
            <w:tcBorders>
              <w:tl2br w:val="nil"/>
              <w:tr2bl w:val="nil"/>
            </w:tcBorders>
            <w:noWrap w:val="0"/>
            <w:vAlign w:val="center"/>
          </w:tcPr>
          <w:p>
            <w:pPr>
              <w:pStyle w:val="79"/>
              <w:jc w:val="center"/>
              <w:rPr>
                <w:rFonts w:hint="default" w:ascii="Times New Roman" w:hAnsi="Times New Roman" w:eastAsia="宋体" w:cs="Times New Roman"/>
                <w:color w:val="auto"/>
              </w:rPr>
            </w:pPr>
          </w:p>
        </w:tc>
        <w:tc>
          <w:tcPr>
            <w:tcW w:w="1455"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49</w:t>
            </w:r>
          </w:p>
        </w:tc>
        <w:tc>
          <w:tcPr>
            <w:tcW w:w="1035"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44</w:t>
            </w:r>
          </w:p>
        </w:tc>
        <w:tc>
          <w:tcPr>
            <w:tcW w:w="1066"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49</w:t>
            </w:r>
          </w:p>
        </w:tc>
        <w:tc>
          <w:tcPr>
            <w:tcW w:w="873"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64" w:type="dxa"/>
            <w:bottom w:w="0" w:type="dxa"/>
            <w:right w:w="51" w:type="dxa"/>
          </w:tblCellMar>
        </w:tblPrEx>
        <w:trPr>
          <w:cantSplit/>
          <w:trHeight w:val="522" w:hRule="atLeast"/>
          <w:jc w:val="center"/>
        </w:trPr>
        <w:tc>
          <w:tcPr>
            <w:tcW w:w="3730" w:type="dxa"/>
            <w:gridSpan w:val="2"/>
            <w:tcBorders>
              <w:tl2br w:val="nil"/>
              <w:tr2bl w:val="nil"/>
            </w:tcBorders>
            <w:noWrap w:val="0"/>
            <w:vAlign w:val="center"/>
          </w:tcPr>
          <w:p>
            <w:pPr>
              <w:pStyle w:val="79"/>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执行标准</w:t>
            </w:r>
          </w:p>
        </w:tc>
        <w:tc>
          <w:tcPr>
            <w:tcW w:w="1455"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65</w:t>
            </w:r>
          </w:p>
        </w:tc>
        <w:tc>
          <w:tcPr>
            <w:tcW w:w="1035"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55</w:t>
            </w:r>
          </w:p>
        </w:tc>
        <w:tc>
          <w:tcPr>
            <w:tcW w:w="1066"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65</w:t>
            </w:r>
          </w:p>
        </w:tc>
        <w:tc>
          <w:tcPr>
            <w:tcW w:w="873"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64" w:type="dxa"/>
            <w:bottom w:w="0" w:type="dxa"/>
            <w:right w:w="51" w:type="dxa"/>
          </w:tblCellMar>
        </w:tblPrEx>
        <w:trPr>
          <w:cantSplit/>
          <w:trHeight w:val="522" w:hRule="atLeast"/>
          <w:jc w:val="center"/>
        </w:trPr>
        <w:tc>
          <w:tcPr>
            <w:tcW w:w="3730" w:type="dxa"/>
            <w:gridSpan w:val="2"/>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是否达标</w:t>
            </w:r>
          </w:p>
        </w:tc>
        <w:tc>
          <w:tcPr>
            <w:tcW w:w="1455"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是</w:t>
            </w:r>
          </w:p>
        </w:tc>
        <w:tc>
          <w:tcPr>
            <w:tcW w:w="1035"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是</w:t>
            </w:r>
          </w:p>
        </w:tc>
        <w:tc>
          <w:tcPr>
            <w:tcW w:w="1066"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是</w:t>
            </w:r>
          </w:p>
        </w:tc>
        <w:tc>
          <w:tcPr>
            <w:tcW w:w="873" w:type="dxa"/>
            <w:tcBorders>
              <w:tl2br w:val="nil"/>
              <w:tr2bl w:val="nil"/>
            </w:tcBorders>
            <w:noWrap w:val="0"/>
            <w:vAlign w:val="center"/>
          </w:tcPr>
          <w:p>
            <w:pPr>
              <w:pStyle w:val="79"/>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是</w:t>
            </w:r>
          </w:p>
        </w:tc>
      </w:tr>
    </w:tbl>
    <w:p>
      <w:pPr>
        <w:pStyle w:val="81"/>
        <w:rPr>
          <w:rFonts w:hint="eastAsia" w:ascii="Times New Roman" w:hAnsi="Times New Roman"/>
          <w:b/>
          <w:color w:val="000000"/>
        </w:rPr>
      </w:pPr>
      <w:r>
        <w:rPr>
          <w:rFonts w:hint="eastAsia" w:ascii="Times New Roman" w:hAnsi="Times New Roman"/>
          <w:b/>
          <w:color w:val="000000"/>
        </w:rPr>
        <w:t>3.</w:t>
      </w:r>
      <w:r>
        <w:rPr>
          <w:rFonts w:hint="eastAsia" w:ascii="Times New Roman" w:hAnsi="Times New Roman"/>
          <w:b/>
          <w:color w:val="000000"/>
          <w:lang w:val="en-US" w:eastAsia="zh-CN"/>
        </w:rPr>
        <w:t>6</w:t>
      </w:r>
      <w:r>
        <w:rPr>
          <w:rFonts w:hint="eastAsia" w:ascii="Times New Roman" w:hAnsi="Times New Roman"/>
          <w:b/>
          <w:color w:val="000000"/>
        </w:rPr>
        <w:t>.4.2 声环境现状评价</w:t>
      </w:r>
    </w:p>
    <w:p>
      <w:pPr>
        <w:ind w:firstLine="480"/>
        <w:rPr>
          <w:color w:val="000000"/>
          <w:kern w:val="0"/>
        </w:rPr>
      </w:pPr>
      <w:r>
        <w:rPr>
          <w:rFonts w:hint="eastAsia"/>
          <w:color w:val="000000"/>
          <w:kern w:val="0"/>
        </w:rPr>
        <w:t>（1）评价标准</w:t>
      </w:r>
    </w:p>
    <w:p>
      <w:pPr>
        <w:ind w:firstLine="480"/>
        <w:rPr>
          <w:color w:val="000000"/>
          <w:kern w:val="0"/>
        </w:rPr>
      </w:pPr>
      <w:r>
        <w:rPr>
          <w:rFonts w:hint="eastAsia"/>
          <w:color w:val="000000"/>
          <w:kern w:val="0"/>
        </w:rPr>
        <w:t>本项目声环境执行《声环境质量标准》（GB3096-2008）中的</w:t>
      </w:r>
      <w:r>
        <w:rPr>
          <w:rFonts w:hint="eastAsia"/>
          <w:color w:val="000000"/>
          <w:kern w:val="0"/>
          <w:lang w:val="en-US" w:eastAsia="zh-CN"/>
        </w:rPr>
        <w:t>3</w:t>
      </w:r>
      <w:r>
        <w:rPr>
          <w:rFonts w:hint="eastAsia"/>
          <w:color w:val="000000"/>
          <w:kern w:val="0"/>
        </w:rPr>
        <w:t>类标准。</w:t>
      </w:r>
    </w:p>
    <w:p>
      <w:pPr>
        <w:ind w:firstLine="480"/>
        <w:rPr>
          <w:color w:val="000000"/>
          <w:kern w:val="0"/>
        </w:rPr>
      </w:pPr>
      <w:r>
        <w:rPr>
          <w:rFonts w:hint="eastAsia"/>
          <w:color w:val="000000"/>
          <w:kern w:val="0"/>
        </w:rPr>
        <w:t>（2）评价方法</w:t>
      </w:r>
    </w:p>
    <w:p>
      <w:pPr>
        <w:ind w:firstLine="480"/>
        <w:rPr>
          <w:color w:val="000000"/>
          <w:kern w:val="0"/>
        </w:rPr>
      </w:pPr>
      <w:r>
        <w:rPr>
          <w:rFonts w:hint="eastAsia"/>
          <w:color w:val="000000"/>
          <w:kern w:val="0"/>
        </w:rPr>
        <w:t>将测得的环境噪声数据计算得出等效声级值Leq（A）作为评价量，将其与相应监测点所执行的标准进行比较，以确定区域噪声污染状况。</w:t>
      </w:r>
    </w:p>
    <w:p>
      <w:pPr>
        <w:ind w:firstLine="480"/>
        <w:rPr>
          <w:color w:val="000000"/>
          <w:kern w:val="0"/>
        </w:rPr>
      </w:pPr>
      <w:r>
        <w:rPr>
          <w:rFonts w:hint="eastAsia"/>
          <w:color w:val="000000"/>
          <w:kern w:val="0"/>
        </w:rPr>
        <w:t>（3）声环境评价结果分析</w:t>
      </w:r>
    </w:p>
    <w:p>
      <w:pPr>
        <w:rPr>
          <w:rFonts w:hint="eastAsia"/>
          <w:color w:val="000000"/>
          <w:kern w:val="0"/>
        </w:rPr>
      </w:pPr>
      <w:r>
        <w:rPr>
          <w:rFonts w:hint="eastAsia"/>
          <w:color w:val="000000"/>
          <w:kern w:val="0"/>
          <w:u w:val="single"/>
          <w:lang w:eastAsia="zh-CN"/>
        </w:rPr>
        <w:t>监测</w:t>
      </w:r>
      <w:r>
        <w:rPr>
          <w:rFonts w:hint="eastAsia"/>
          <w:color w:val="000000"/>
          <w:kern w:val="0"/>
          <w:u w:val="single"/>
        </w:rPr>
        <w:t>分析表明项目厂界东、西、南、北</w:t>
      </w:r>
      <w:r>
        <w:rPr>
          <w:rFonts w:hint="eastAsia"/>
          <w:color w:val="000000"/>
          <w:kern w:val="0"/>
          <w:u w:val="single"/>
          <w:lang w:eastAsia="zh-CN"/>
        </w:rPr>
        <w:t>、</w:t>
      </w:r>
      <w:r>
        <w:rPr>
          <w:rFonts w:hint="eastAsia"/>
          <w:color w:val="000000"/>
          <w:kern w:val="0"/>
          <w:u w:val="single"/>
          <w:lang w:val="en-US" w:eastAsia="zh-CN"/>
        </w:rPr>
        <w:t>提升泵建设处5</w:t>
      </w:r>
      <w:r>
        <w:rPr>
          <w:rFonts w:hint="eastAsia"/>
          <w:color w:val="000000"/>
          <w:kern w:val="0"/>
          <w:u w:val="single"/>
        </w:rPr>
        <w:t>个监测点昼夜噪声均满足《工业企业厂界噪声环境噪声排放标准》（GB12348-2002）表1中3类标准，区域声环境质量良好。</w:t>
      </w:r>
    </w:p>
    <w:p>
      <w:pPr>
        <w:pStyle w:val="8"/>
        <w:spacing w:before="163"/>
        <w:rPr>
          <w:rFonts w:hint="eastAsia"/>
          <w:color w:val="000000"/>
        </w:rPr>
      </w:pPr>
      <w:r>
        <w:rPr>
          <w:color w:val="000000"/>
        </w:rPr>
        <w:t>3</w:t>
      </w:r>
      <w:r>
        <w:rPr>
          <w:rFonts w:hint="eastAsia"/>
          <w:color w:val="000000"/>
        </w:rPr>
        <w:t>.</w:t>
      </w:r>
      <w:r>
        <w:rPr>
          <w:rFonts w:hint="eastAsia"/>
          <w:color w:val="000000"/>
          <w:lang w:val="en-US" w:eastAsia="zh-CN"/>
        </w:rPr>
        <w:t>6</w:t>
      </w:r>
      <w:r>
        <w:rPr>
          <w:rFonts w:hint="eastAsia"/>
          <w:color w:val="000000"/>
        </w:rPr>
        <w:t>.5 土壤质量现状现状评价</w:t>
      </w:r>
    </w:p>
    <w:p>
      <w:pPr>
        <w:ind w:firstLine="480"/>
        <w:rPr>
          <w:rFonts w:hint="eastAsia"/>
          <w:color w:val="000000"/>
          <w:kern w:val="0"/>
        </w:rPr>
      </w:pPr>
      <w:r>
        <w:rPr>
          <w:rFonts w:hint="eastAsia"/>
          <w:color w:val="000000"/>
          <w:kern w:val="0"/>
        </w:rPr>
        <w:t>（1）监测单位：湖南昌旭环保科技有限公司</w:t>
      </w:r>
    </w:p>
    <w:p>
      <w:pPr>
        <w:ind w:firstLine="480"/>
        <w:rPr>
          <w:rFonts w:hint="eastAsia"/>
          <w:color w:val="000000"/>
          <w:kern w:val="0"/>
        </w:rPr>
      </w:pPr>
      <w:r>
        <w:rPr>
          <w:rFonts w:hint="eastAsia"/>
          <w:color w:val="000000"/>
          <w:kern w:val="0"/>
        </w:rPr>
        <w:t>（2）监测点布设</w:t>
      </w:r>
    </w:p>
    <w:p>
      <w:pPr>
        <w:ind w:firstLine="600" w:firstLineChars="250"/>
        <w:rPr>
          <w:rFonts w:hint="eastAsia"/>
          <w:b/>
          <w:color w:val="000000"/>
          <w:kern w:val="0"/>
          <w:sz w:val="21"/>
          <w:szCs w:val="21"/>
        </w:rPr>
      </w:pPr>
      <w:r>
        <w:rPr>
          <w:rFonts w:hint="eastAsia"/>
          <w:color w:val="000000"/>
          <w:kern w:val="0"/>
        </w:rPr>
        <w:t>本项目共测</w:t>
      </w:r>
      <w:r>
        <w:rPr>
          <w:color w:val="000000"/>
          <w:kern w:val="0"/>
        </w:rPr>
        <w:t>3</w:t>
      </w:r>
      <w:r>
        <w:rPr>
          <w:rFonts w:hint="eastAsia"/>
          <w:color w:val="000000"/>
          <w:kern w:val="0"/>
        </w:rPr>
        <w:t>个土壤监测点，详见下表，项目监测布点图见附图。</w:t>
      </w:r>
    </w:p>
    <w:p>
      <w:pPr>
        <w:ind w:firstLine="198" w:firstLineChars="94"/>
        <w:jc w:val="center"/>
        <w:rPr>
          <w:color w:val="000000"/>
          <w:kern w:val="0"/>
        </w:rPr>
      </w:pPr>
      <w:r>
        <w:rPr>
          <w:rFonts w:hint="eastAsia"/>
          <w:b/>
          <w:color w:val="000000"/>
          <w:kern w:val="0"/>
          <w:sz w:val="21"/>
          <w:szCs w:val="21"/>
        </w:rPr>
        <w:t>表</w:t>
      </w:r>
      <w:r>
        <w:rPr>
          <w:b/>
          <w:color w:val="000000"/>
          <w:kern w:val="0"/>
          <w:sz w:val="21"/>
          <w:szCs w:val="21"/>
        </w:rPr>
        <w:t>3.</w:t>
      </w:r>
      <w:r>
        <w:rPr>
          <w:rFonts w:hint="eastAsia"/>
          <w:b/>
          <w:color w:val="000000"/>
          <w:kern w:val="0"/>
          <w:sz w:val="21"/>
          <w:szCs w:val="21"/>
          <w:lang w:val="en-US" w:eastAsia="zh-CN"/>
        </w:rPr>
        <w:t>6</w:t>
      </w:r>
      <w:r>
        <w:rPr>
          <w:b/>
          <w:color w:val="000000"/>
          <w:kern w:val="0"/>
          <w:sz w:val="21"/>
          <w:szCs w:val="21"/>
        </w:rPr>
        <w:t>-</w:t>
      </w:r>
      <w:r>
        <w:rPr>
          <w:rFonts w:hint="eastAsia"/>
          <w:b/>
          <w:color w:val="000000"/>
          <w:kern w:val="0"/>
          <w:sz w:val="21"/>
          <w:szCs w:val="21"/>
          <w:lang w:val="en-US" w:eastAsia="zh-CN"/>
        </w:rPr>
        <w:t>8</w:t>
      </w:r>
      <w:r>
        <w:rPr>
          <w:rFonts w:hint="eastAsia"/>
          <w:b/>
          <w:color w:val="000000"/>
          <w:kern w:val="0"/>
          <w:sz w:val="21"/>
          <w:szCs w:val="21"/>
        </w:rPr>
        <w:t xml:space="preserve"> 土壤监测布点情况一览表</w:t>
      </w:r>
    </w:p>
    <w:tbl>
      <w:tblPr>
        <w:tblStyle w:val="37"/>
        <w:tblW w:w="47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2"/>
        <w:gridCol w:w="1486"/>
        <w:gridCol w:w="4606"/>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531" w:type="pct"/>
            <w:noWrap w:val="0"/>
            <w:vAlign w:val="center"/>
          </w:tcPr>
          <w:p>
            <w:pPr>
              <w:pStyle w:val="79"/>
              <w:rPr>
                <w:rFonts w:hint="default" w:ascii="Times New Roman" w:hAnsi="Times New Roman" w:cs="Times New Roman"/>
                <w:b/>
                <w:bCs/>
                <w:sz w:val="21"/>
                <w:szCs w:val="21"/>
              </w:rPr>
            </w:pPr>
            <w:r>
              <w:rPr>
                <w:rFonts w:hint="default" w:ascii="Times New Roman" w:hAnsi="Times New Roman" w:cs="Times New Roman"/>
                <w:b/>
                <w:bCs/>
                <w:sz w:val="21"/>
                <w:szCs w:val="21"/>
              </w:rPr>
              <w:t>编号</w:t>
            </w:r>
          </w:p>
        </w:tc>
        <w:tc>
          <w:tcPr>
            <w:tcW w:w="915" w:type="pct"/>
            <w:noWrap w:val="0"/>
            <w:vAlign w:val="center"/>
          </w:tcPr>
          <w:p>
            <w:pPr>
              <w:pStyle w:val="79"/>
              <w:rPr>
                <w:rFonts w:hint="default" w:ascii="Times New Roman" w:hAnsi="Times New Roman" w:cs="Times New Roman"/>
                <w:b/>
                <w:bCs/>
                <w:sz w:val="21"/>
                <w:szCs w:val="21"/>
              </w:rPr>
            </w:pPr>
            <w:r>
              <w:rPr>
                <w:rFonts w:hint="default" w:ascii="Times New Roman" w:hAnsi="Times New Roman" w:cs="Times New Roman"/>
                <w:b/>
                <w:bCs/>
                <w:sz w:val="21"/>
                <w:szCs w:val="21"/>
              </w:rPr>
              <w:t>名称</w:t>
            </w:r>
          </w:p>
        </w:tc>
        <w:tc>
          <w:tcPr>
            <w:tcW w:w="2837" w:type="pct"/>
            <w:noWrap w:val="0"/>
            <w:vAlign w:val="center"/>
          </w:tcPr>
          <w:p>
            <w:pPr>
              <w:pStyle w:val="79"/>
              <w:rPr>
                <w:rFonts w:hint="default" w:ascii="Times New Roman" w:hAnsi="Times New Roman" w:cs="Times New Roman"/>
                <w:b/>
                <w:bCs/>
                <w:sz w:val="21"/>
                <w:szCs w:val="21"/>
              </w:rPr>
            </w:pPr>
            <w:r>
              <w:rPr>
                <w:rFonts w:hint="default" w:ascii="Times New Roman" w:hAnsi="Times New Roman" w:cs="Times New Roman"/>
                <w:b/>
                <w:bCs/>
                <w:sz w:val="21"/>
                <w:szCs w:val="21"/>
              </w:rPr>
              <w:t>评价因子</w:t>
            </w:r>
          </w:p>
        </w:tc>
        <w:tc>
          <w:tcPr>
            <w:tcW w:w="715" w:type="pct"/>
            <w:noWrap w:val="0"/>
            <w:vAlign w:val="center"/>
          </w:tcPr>
          <w:p>
            <w:pPr>
              <w:pStyle w:val="79"/>
              <w:rPr>
                <w:rFonts w:hint="default" w:ascii="Times New Roman" w:hAnsi="Times New Roman" w:cs="Times New Roman"/>
                <w:b/>
                <w:bCs/>
                <w:sz w:val="21"/>
                <w:szCs w:val="21"/>
              </w:rPr>
            </w:pPr>
            <w:r>
              <w:rPr>
                <w:rFonts w:hint="default" w:ascii="Times New Roman" w:hAnsi="Times New Roman" w:cs="Times New Roman"/>
                <w:b/>
                <w:bCs/>
                <w:sz w:val="21"/>
                <w:szCs w:val="21"/>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8" w:hRule="atLeast"/>
          <w:jc w:val="center"/>
        </w:trPr>
        <w:tc>
          <w:tcPr>
            <w:tcW w:w="531" w:type="pct"/>
            <w:noWrap w:val="0"/>
            <w:vAlign w:val="center"/>
          </w:tcPr>
          <w:p>
            <w:pPr>
              <w:pStyle w:val="79"/>
              <w:rPr>
                <w:rFonts w:hint="default" w:ascii="Times New Roman" w:hAnsi="Times New Roman" w:cs="Times New Roman"/>
                <w:sz w:val="21"/>
                <w:szCs w:val="21"/>
              </w:rPr>
            </w:pPr>
            <w:r>
              <w:rPr>
                <w:rFonts w:hint="default" w:ascii="Times New Roman" w:hAnsi="Times New Roman" w:cs="Times New Roman"/>
                <w:sz w:val="21"/>
                <w:szCs w:val="21"/>
              </w:rPr>
              <w:t>T1</w:t>
            </w:r>
          </w:p>
        </w:tc>
        <w:tc>
          <w:tcPr>
            <w:tcW w:w="915" w:type="pct"/>
            <w:noWrap w:val="0"/>
            <w:vAlign w:val="center"/>
          </w:tcPr>
          <w:p>
            <w:pPr>
              <w:pStyle w:val="79"/>
              <w:ind w:firstLine="0" w:firstLineChars="0"/>
              <w:rPr>
                <w:rFonts w:hint="default" w:ascii="Times New Roman" w:hAnsi="Times New Roman" w:cs="Times New Roman"/>
                <w:color w:val="000000"/>
                <w:sz w:val="21"/>
                <w:szCs w:val="21"/>
              </w:rPr>
            </w:pPr>
            <w:r>
              <w:rPr>
                <w:rFonts w:hint="default" w:ascii="Times New Roman" w:hAnsi="Times New Roman" w:cs="Times New Roman"/>
                <w:sz w:val="21"/>
                <w:szCs w:val="21"/>
                <w:lang w:eastAsia="zh-CN"/>
              </w:rPr>
              <w:t>项目地东侧</w:t>
            </w:r>
          </w:p>
        </w:tc>
        <w:tc>
          <w:tcPr>
            <w:tcW w:w="2837" w:type="pct"/>
            <w:noWrap w:val="0"/>
            <w:vAlign w:val="center"/>
          </w:tcPr>
          <w:p>
            <w:pPr>
              <w:pStyle w:val="79"/>
              <w:rPr>
                <w:rFonts w:hint="default" w:ascii="Times New Roman" w:hAnsi="Times New Roman" w:cs="Times New Roman"/>
                <w:sz w:val="21"/>
                <w:szCs w:val="21"/>
              </w:rPr>
            </w:pPr>
            <w:r>
              <w:rPr>
                <w:rFonts w:hint="default" w:ascii="Times New Roman" w:hAnsi="Times New Roman" w:cs="Times New Roman"/>
                <w:sz w:val="21"/>
                <w:szCs w:val="21"/>
              </w:rPr>
              <w:t>《土壤环境质量 建设用地土壤污染风险管控标准（试行）》（GB36600-2018）45项基本因子</w:t>
            </w:r>
          </w:p>
        </w:tc>
        <w:tc>
          <w:tcPr>
            <w:tcW w:w="715" w:type="pct"/>
            <w:vMerge w:val="restart"/>
            <w:noWrap w:val="0"/>
            <w:vAlign w:val="center"/>
          </w:tcPr>
          <w:p>
            <w:pPr>
              <w:pStyle w:val="7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2022.04.22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31" w:type="pct"/>
            <w:noWrap w:val="0"/>
            <w:vAlign w:val="center"/>
          </w:tcPr>
          <w:p>
            <w:pPr>
              <w:pStyle w:val="126"/>
              <w:spacing w:line="360" w:lineRule="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T2</w:t>
            </w:r>
          </w:p>
        </w:tc>
        <w:tc>
          <w:tcPr>
            <w:tcW w:w="915" w:type="pct"/>
            <w:noWrap w:val="0"/>
            <w:vAlign w:val="center"/>
          </w:tcPr>
          <w:p>
            <w:pPr>
              <w:pStyle w:val="79"/>
              <w:ind w:firstLine="0" w:firstLineChars="0"/>
              <w:rPr>
                <w:rFonts w:hint="default" w:ascii="Times New Roman" w:hAnsi="Times New Roman" w:cs="Times New Roman"/>
                <w:color w:val="000000"/>
                <w:sz w:val="21"/>
                <w:szCs w:val="21"/>
              </w:rPr>
            </w:pPr>
            <w:r>
              <w:rPr>
                <w:rFonts w:hint="default" w:ascii="Times New Roman" w:hAnsi="Times New Roman" w:cs="Times New Roman"/>
                <w:sz w:val="21"/>
                <w:szCs w:val="21"/>
                <w:lang w:eastAsia="zh-CN"/>
              </w:rPr>
              <w:t>项目地西南部</w:t>
            </w:r>
          </w:p>
        </w:tc>
        <w:tc>
          <w:tcPr>
            <w:tcW w:w="2837" w:type="pct"/>
            <w:noWrap w:val="0"/>
            <w:vAlign w:val="center"/>
          </w:tcPr>
          <w:p>
            <w:pPr>
              <w:pStyle w:val="126"/>
              <w:spacing w:line="360" w:lineRule="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pH、六价铬、铬、铅、锰、锌、钒</w:t>
            </w:r>
          </w:p>
        </w:tc>
        <w:tc>
          <w:tcPr>
            <w:tcW w:w="715" w:type="pct"/>
            <w:vMerge w:val="continue"/>
            <w:noWrap w:val="0"/>
            <w:vAlign w:val="center"/>
          </w:tcPr>
          <w:p>
            <w:pPr>
              <w:pStyle w:val="79"/>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jc w:val="center"/>
        </w:trPr>
        <w:tc>
          <w:tcPr>
            <w:tcW w:w="531" w:type="pct"/>
            <w:noWrap w:val="0"/>
            <w:vAlign w:val="center"/>
          </w:tcPr>
          <w:p>
            <w:pPr>
              <w:pStyle w:val="126"/>
              <w:spacing w:line="360" w:lineRule="auto"/>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T3</w:t>
            </w:r>
          </w:p>
        </w:tc>
        <w:tc>
          <w:tcPr>
            <w:tcW w:w="915" w:type="pct"/>
            <w:noWrap w:val="0"/>
            <w:vAlign w:val="center"/>
          </w:tcPr>
          <w:p>
            <w:pPr>
              <w:pStyle w:val="79"/>
              <w:ind w:firstLine="0" w:firstLineChars="0"/>
              <w:rPr>
                <w:rFonts w:hint="default" w:ascii="Times New Roman" w:hAnsi="Times New Roman" w:cs="Times New Roman"/>
                <w:color w:val="000000"/>
                <w:sz w:val="21"/>
                <w:szCs w:val="21"/>
              </w:rPr>
            </w:pPr>
            <w:r>
              <w:rPr>
                <w:rFonts w:hint="default" w:ascii="Times New Roman" w:hAnsi="Times New Roman" w:cs="Times New Roman"/>
                <w:sz w:val="21"/>
                <w:szCs w:val="21"/>
                <w:lang w:eastAsia="zh-CN"/>
              </w:rPr>
              <w:t>项目地北侧</w:t>
            </w:r>
          </w:p>
        </w:tc>
        <w:tc>
          <w:tcPr>
            <w:tcW w:w="2837" w:type="pct"/>
            <w:noWrap w:val="0"/>
            <w:vAlign w:val="center"/>
          </w:tcPr>
          <w:p>
            <w:pPr>
              <w:pStyle w:val="126"/>
              <w:spacing w:line="360" w:lineRule="auto"/>
              <w:rPr>
                <w:rFonts w:hint="default" w:ascii="Times New Roman" w:hAnsi="Times New Roman" w:cs="Times New Roman"/>
                <w:color w:val="000000"/>
                <w:sz w:val="21"/>
                <w:szCs w:val="21"/>
              </w:rPr>
            </w:pPr>
            <w:r>
              <w:rPr>
                <w:rFonts w:hint="default" w:ascii="Times New Roman" w:hAnsi="Times New Roman" w:cs="Times New Roman"/>
                <w:sz w:val="21"/>
                <w:szCs w:val="21"/>
                <w:lang w:val="en-US" w:eastAsia="zh-CN"/>
              </w:rPr>
              <w:t>pH</w:t>
            </w:r>
            <w:r>
              <w:rPr>
                <w:rFonts w:hint="default" w:ascii="Times New Roman" w:hAnsi="Times New Roman" w:cs="Times New Roman"/>
                <w:sz w:val="21"/>
                <w:szCs w:val="21"/>
                <w:lang w:eastAsia="zh-CN"/>
              </w:rPr>
              <w:t>、六价铬、铬、铅、锰、锌、钒</w:t>
            </w:r>
          </w:p>
        </w:tc>
        <w:tc>
          <w:tcPr>
            <w:tcW w:w="715" w:type="pct"/>
            <w:vMerge w:val="continue"/>
            <w:noWrap w:val="0"/>
            <w:vAlign w:val="center"/>
          </w:tcPr>
          <w:p>
            <w:pPr>
              <w:pStyle w:val="79"/>
              <w:rPr>
                <w:rFonts w:hint="default" w:ascii="Times New Roman" w:hAnsi="Times New Roman" w:cs="Times New Roman"/>
                <w:sz w:val="21"/>
                <w:szCs w:val="21"/>
              </w:rPr>
            </w:pPr>
          </w:p>
        </w:tc>
      </w:tr>
    </w:tbl>
    <w:p>
      <w:pPr>
        <w:ind w:firstLine="480"/>
        <w:rPr>
          <w:rFonts w:hint="eastAsia"/>
          <w:color w:val="000000"/>
          <w:kern w:val="0"/>
        </w:rPr>
      </w:pPr>
      <w:r>
        <w:rPr>
          <w:rFonts w:hint="eastAsia"/>
          <w:color w:val="000000"/>
          <w:kern w:val="0"/>
        </w:rPr>
        <w:t>（3）监测时间及采样频率</w:t>
      </w:r>
    </w:p>
    <w:p>
      <w:pPr>
        <w:ind w:firstLine="480"/>
        <w:rPr>
          <w:rFonts w:hint="eastAsia"/>
          <w:color w:val="auto"/>
          <w:kern w:val="0"/>
        </w:rPr>
      </w:pPr>
      <w:r>
        <w:rPr>
          <w:rFonts w:hint="eastAsia"/>
          <w:color w:val="000000"/>
          <w:kern w:val="0"/>
        </w:rPr>
        <w:t>监</w:t>
      </w:r>
      <w:r>
        <w:rPr>
          <w:rFonts w:hint="eastAsia"/>
          <w:color w:val="auto"/>
          <w:kern w:val="0"/>
        </w:rPr>
        <w:t>测时间为2022.04.22，共监测</w:t>
      </w:r>
      <w:r>
        <w:rPr>
          <w:color w:val="auto"/>
          <w:kern w:val="0"/>
        </w:rPr>
        <w:t>1</w:t>
      </w:r>
      <w:r>
        <w:rPr>
          <w:rFonts w:hint="eastAsia"/>
          <w:color w:val="auto"/>
          <w:kern w:val="0"/>
        </w:rPr>
        <w:t>天。</w:t>
      </w:r>
    </w:p>
    <w:p>
      <w:pPr>
        <w:ind w:firstLine="480"/>
        <w:rPr>
          <w:rFonts w:hint="eastAsia"/>
          <w:color w:val="000000"/>
          <w:kern w:val="0"/>
        </w:rPr>
      </w:pPr>
      <w:r>
        <w:rPr>
          <w:rFonts w:hint="eastAsia"/>
          <w:color w:val="000000"/>
          <w:kern w:val="0"/>
        </w:rPr>
        <w:t>（4）监测、分析方法</w:t>
      </w:r>
    </w:p>
    <w:p>
      <w:pPr>
        <w:ind w:firstLine="480"/>
        <w:rPr>
          <w:color w:val="000000"/>
          <w:szCs w:val="21"/>
        </w:rPr>
      </w:pPr>
      <w:r>
        <w:rPr>
          <w:rFonts w:hint="eastAsia"/>
          <w:color w:val="000000"/>
          <w:szCs w:val="21"/>
        </w:rPr>
        <w:t>表层样监测点及土壤剖面的土壤监测取样方法一般参照</w:t>
      </w:r>
      <w:r>
        <w:rPr>
          <w:color w:val="000000"/>
          <w:szCs w:val="21"/>
        </w:rPr>
        <w:t>HJ/T166</w:t>
      </w:r>
      <w:r>
        <w:rPr>
          <w:rFonts w:hint="eastAsia"/>
          <w:color w:val="000000"/>
          <w:szCs w:val="21"/>
        </w:rPr>
        <w:t>执行</w:t>
      </w:r>
    </w:p>
    <w:p>
      <w:pPr>
        <w:ind w:firstLine="480"/>
        <w:rPr>
          <w:rFonts w:hint="eastAsia"/>
          <w:color w:val="000000"/>
          <w:kern w:val="0"/>
        </w:rPr>
      </w:pPr>
      <w:r>
        <w:rPr>
          <w:rFonts w:hint="eastAsia"/>
          <w:color w:val="000000"/>
          <w:kern w:val="0"/>
        </w:rPr>
        <w:t>（5）监测数据结果</w:t>
      </w:r>
    </w:p>
    <w:p>
      <w:pPr>
        <w:ind w:firstLine="480"/>
        <w:rPr>
          <w:rFonts w:hint="eastAsia"/>
          <w:color w:val="000000"/>
          <w:kern w:val="0"/>
        </w:rPr>
      </w:pPr>
      <w:r>
        <w:rPr>
          <w:rFonts w:hint="eastAsia"/>
          <w:color w:val="000000"/>
          <w:kern w:val="0"/>
        </w:rPr>
        <w:t>监测数据结果见表</w:t>
      </w:r>
      <w:r>
        <w:rPr>
          <w:color w:val="000000"/>
          <w:kern w:val="0"/>
        </w:rPr>
        <w:t>3.</w:t>
      </w:r>
      <w:r>
        <w:rPr>
          <w:rFonts w:hint="eastAsia"/>
          <w:color w:val="000000"/>
          <w:kern w:val="0"/>
          <w:lang w:val="en-US" w:eastAsia="zh-CN"/>
        </w:rPr>
        <w:t>6</w:t>
      </w:r>
      <w:r>
        <w:rPr>
          <w:color w:val="000000"/>
          <w:kern w:val="0"/>
        </w:rPr>
        <w:t>-</w:t>
      </w:r>
      <w:r>
        <w:rPr>
          <w:rFonts w:hint="eastAsia"/>
          <w:color w:val="000000"/>
          <w:kern w:val="0"/>
          <w:lang w:val="en-US" w:eastAsia="zh-CN"/>
        </w:rPr>
        <w:t>9</w:t>
      </w:r>
      <w:r>
        <w:rPr>
          <w:rFonts w:hint="eastAsia"/>
          <w:color w:val="000000"/>
          <w:kern w:val="0"/>
        </w:rPr>
        <w:t>。</w:t>
      </w:r>
    </w:p>
    <w:p>
      <w:pPr>
        <w:ind w:firstLine="422"/>
        <w:jc w:val="center"/>
        <w:rPr>
          <w:rFonts w:eastAsia="Times New Roman"/>
          <w:b/>
          <w:bCs/>
          <w:color w:val="000000"/>
          <w:lang w:bidi="zh-CN"/>
        </w:rPr>
      </w:pPr>
      <w:r>
        <w:rPr>
          <w:rFonts w:hint="eastAsia"/>
          <w:b/>
          <w:color w:val="000000"/>
          <w:kern w:val="0"/>
          <w:sz w:val="21"/>
          <w:szCs w:val="21"/>
        </w:rPr>
        <w:t>表</w:t>
      </w:r>
      <w:r>
        <w:rPr>
          <w:b/>
          <w:color w:val="000000"/>
          <w:kern w:val="0"/>
          <w:sz w:val="21"/>
          <w:szCs w:val="21"/>
        </w:rPr>
        <w:t>3.</w:t>
      </w:r>
      <w:r>
        <w:rPr>
          <w:rFonts w:hint="eastAsia"/>
          <w:b/>
          <w:color w:val="000000"/>
          <w:kern w:val="0"/>
          <w:sz w:val="21"/>
          <w:szCs w:val="21"/>
          <w:lang w:val="en-US" w:eastAsia="zh-CN"/>
        </w:rPr>
        <w:t>6</w:t>
      </w:r>
      <w:r>
        <w:rPr>
          <w:b/>
          <w:color w:val="000000"/>
          <w:kern w:val="0"/>
          <w:sz w:val="21"/>
          <w:szCs w:val="21"/>
        </w:rPr>
        <w:t>-</w:t>
      </w:r>
      <w:r>
        <w:rPr>
          <w:rFonts w:hint="eastAsia"/>
          <w:b/>
          <w:color w:val="000000"/>
          <w:kern w:val="0"/>
          <w:sz w:val="21"/>
          <w:szCs w:val="21"/>
          <w:lang w:val="en-US" w:eastAsia="zh-CN"/>
        </w:rPr>
        <w:t>9</w:t>
      </w:r>
      <w:r>
        <w:rPr>
          <w:rFonts w:hint="eastAsia"/>
          <w:b/>
          <w:color w:val="000000"/>
          <w:kern w:val="0"/>
          <w:sz w:val="21"/>
          <w:szCs w:val="21"/>
        </w:rPr>
        <w:t xml:space="preserve"> 土壤环境</w:t>
      </w:r>
      <w:r>
        <w:rPr>
          <w:rFonts w:hint="eastAsia"/>
          <w:b/>
          <w:color w:val="000000"/>
          <w:kern w:val="0"/>
          <w:sz w:val="21"/>
          <w:szCs w:val="21"/>
          <w:lang w:eastAsia="zh-CN"/>
        </w:rPr>
        <w:t>现状</w:t>
      </w:r>
      <w:r>
        <w:rPr>
          <w:rFonts w:hint="eastAsia"/>
          <w:b/>
          <w:color w:val="000000"/>
          <w:kern w:val="0"/>
          <w:sz w:val="21"/>
          <w:szCs w:val="21"/>
        </w:rPr>
        <w:t xml:space="preserve">监测结果 </w:t>
      </w:r>
      <w:r>
        <w:rPr>
          <w:b/>
          <w:color w:val="000000"/>
          <w:kern w:val="0"/>
          <w:sz w:val="21"/>
          <w:szCs w:val="21"/>
        </w:rPr>
        <w:t xml:space="preserve"> </w:t>
      </w:r>
      <w:r>
        <w:rPr>
          <w:rFonts w:hint="eastAsia"/>
          <w:b/>
          <w:color w:val="000000"/>
          <w:kern w:val="0"/>
          <w:sz w:val="21"/>
          <w:szCs w:val="21"/>
        </w:rPr>
        <w:t>单位：</w:t>
      </w:r>
      <w:r>
        <w:rPr>
          <w:rFonts w:eastAsia="Times New Roman"/>
          <w:b/>
          <w:bCs/>
          <w:color w:val="000000"/>
          <w:lang w:bidi="zh-CN"/>
        </w:rPr>
        <w:t>mg/kg</w:t>
      </w:r>
    </w:p>
    <w:tbl>
      <w:tblPr>
        <w:tblStyle w:val="37"/>
        <w:tblW w:w="82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64" w:type="dxa"/>
          <w:bottom w:w="0" w:type="dxa"/>
          <w:right w:w="51" w:type="dxa"/>
        </w:tblCellMar>
      </w:tblPr>
      <w:tblGrid>
        <w:gridCol w:w="600"/>
        <w:gridCol w:w="986"/>
        <w:gridCol w:w="2021"/>
        <w:gridCol w:w="1770"/>
        <w:gridCol w:w="1545"/>
        <w:gridCol w:w="13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97" w:hRule="atLeast"/>
          <w:jc w:val="center"/>
        </w:trPr>
        <w:tc>
          <w:tcPr>
            <w:tcW w:w="600" w:type="dxa"/>
            <w:tcBorders>
              <w:tl2br w:val="nil"/>
              <w:tr2bl w:val="nil"/>
            </w:tcBorders>
            <w:noWrap w:val="0"/>
            <w:vAlign w:val="center"/>
          </w:tcPr>
          <w:p>
            <w:pPr>
              <w:pStyle w:val="79"/>
              <w:rPr>
                <w:rFonts w:hint="default" w:ascii="Times New Roman" w:hAnsi="Times New Roman" w:eastAsia="宋体" w:cs="Times New Roman"/>
                <w:sz w:val="21"/>
                <w:szCs w:val="21"/>
                <w:lang w:bidi="zh-CN"/>
              </w:rPr>
            </w:pPr>
            <w:r>
              <w:rPr>
                <w:rFonts w:hint="default" w:ascii="Times New Roman" w:hAnsi="Times New Roman" w:eastAsia="宋体" w:cs="Times New Roman"/>
                <w:sz w:val="21"/>
                <w:szCs w:val="21"/>
                <w:lang w:bidi="zh-CN"/>
              </w:rPr>
              <w:t>检测日期</w:t>
            </w:r>
          </w:p>
        </w:tc>
        <w:tc>
          <w:tcPr>
            <w:tcW w:w="986" w:type="dxa"/>
            <w:tcBorders>
              <w:tl2br w:val="nil"/>
              <w:tr2bl w:val="nil"/>
            </w:tcBorders>
            <w:noWrap w:val="0"/>
            <w:vAlign w:val="center"/>
          </w:tcPr>
          <w:p>
            <w:pPr>
              <w:pStyle w:val="79"/>
              <w:rPr>
                <w:rFonts w:hint="default" w:ascii="Times New Roman" w:hAnsi="Times New Roman" w:eastAsia="宋体" w:cs="Times New Roman"/>
                <w:sz w:val="21"/>
                <w:szCs w:val="21"/>
                <w:lang w:bidi="zh-CN"/>
              </w:rPr>
            </w:pPr>
            <w:r>
              <w:rPr>
                <w:rFonts w:hint="default" w:ascii="Times New Roman" w:hAnsi="Times New Roman" w:eastAsia="宋体" w:cs="Times New Roman"/>
                <w:sz w:val="21"/>
                <w:szCs w:val="21"/>
                <w:lang w:bidi="zh-CN"/>
              </w:rPr>
              <w:t>点位名称</w:t>
            </w: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bidi="zh-CN"/>
              </w:rPr>
            </w:pPr>
            <w:r>
              <w:rPr>
                <w:rFonts w:hint="default" w:ascii="Times New Roman" w:hAnsi="Times New Roman" w:eastAsia="宋体" w:cs="Times New Roman"/>
                <w:sz w:val="21"/>
                <w:szCs w:val="21"/>
                <w:lang w:bidi="zh-CN"/>
              </w:rPr>
              <w:t>检测项目</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bidi="zh-CN"/>
              </w:rPr>
            </w:pPr>
            <w:r>
              <w:rPr>
                <w:rFonts w:hint="default" w:ascii="Times New Roman" w:hAnsi="Times New Roman" w:eastAsia="宋体" w:cs="Times New Roman"/>
                <w:sz w:val="21"/>
                <w:szCs w:val="21"/>
                <w:lang w:bidi="zh-CN"/>
              </w:rPr>
              <w:t>检测结果（mg/kg）</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bidi="zh-CN"/>
              </w:rPr>
            </w:pPr>
            <w:r>
              <w:rPr>
                <w:rFonts w:hint="eastAsia" w:ascii="Times New Roman" w:hAnsi="Times New Roman" w:eastAsia="宋体" w:cs="Times New Roman"/>
                <w:sz w:val="21"/>
                <w:szCs w:val="21"/>
                <w:lang w:val="en-US" w:bidi="zh-CN"/>
              </w:rPr>
              <w:t>标准值</w:t>
            </w:r>
          </w:p>
        </w:tc>
        <w:tc>
          <w:tcPr>
            <w:tcW w:w="1372" w:type="dxa"/>
            <w:tcBorders>
              <w:tl2br w:val="nil"/>
              <w:tr2bl w:val="nil"/>
            </w:tcBorders>
            <w:noWrap w:val="0"/>
            <w:vAlign w:val="center"/>
          </w:tcPr>
          <w:p>
            <w:pPr>
              <w:pStyle w:val="79"/>
              <w:rPr>
                <w:rFonts w:hint="default" w:ascii="Times New Roman" w:hAnsi="Times New Roman" w:eastAsia="宋体" w:cs="Times New Roman"/>
                <w:sz w:val="21"/>
                <w:szCs w:val="21"/>
                <w:lang w:val="en-US" w:bidi="zh-CN"/>
              </w:rPr>
            </w:pPr>
            <w:r>
              <w:rPr>
                <w:rFonts w:hint="eastAsia" w:ascii="Times New Roman" w:hAnsi="Times New Roman" w:eastAsia="宋体" w:cs="Times New Roman"/>
                <w:sz w:val="21"/>
                <w:szCs w:val="21"/>
                <w:lang w:val="en-US" w:bidi="zh-CN"/>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restart"/>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2022.04.22</w:t>
            </w:r>
          </w:p>
        </w:tc>
        <w:tc>
          <w:tcPr>
            <w:tcW w:w="986" w:type="dxa"/>
            <w:vMerge w:val="restart"/>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项目地东侧T1</w:t>
            </w: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bidi="zh-CN"/>
              </w:rPr>
            </w:pPr>
            <w:r>
              <w:rPr>
                <w:rFonts w:hint="default" w:ascii="Times New Roman" w:hAnsi="Times New Roman" w:eastAsia="宋体" w:cs="Times New Roman"/>
                <w:sz w:val="21"/>
                <w:szCs w:val="21"/>
                <w:lang w:bidi="zh-CN"/>
              </w:rPr>
              <w:t>砷</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18.4</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60</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bidi="zh-CN"/>
              </w:rPr>
            </w:pPr>
            <w:r>
              <w:rPr>
                <w:rFonts w:hint="default" w:ascii="Times New Roman" w:hAnsi="Times New Roman" w:eastAsia="宋体" w:cs="Times New Roman"/>
                <w:sz w:val="21"/>
                <w:szCs w:val="21"/>
                <w:lang w:bidi="zh-CN"/>
              </w:rPr>
              <w:t>镉</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0.58</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65</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bidi="zh-CN"/>
              </w:rPr>
            </w:pPr>
            <w:r>
              <w:rPr>
                <w:rFonts w:hint="default" w:ascii="Times New Roman" w:hAnsi="Times New Roman" w:eastAsia="宋体" w:cs="Times New Roman"/>
                <w:sz w:val="21"/>
                <w:szCs w:val="21"/>
                <w:lang w:bidi="zh-CN"/>
              </w:rPr>
              <w:t>铜</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8</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18000</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bidi="zh-CN"/>
              </w:rPr>
            </w:pPr>
            <w:r>
              <w:rPr>
                <w:rFonts w:hint="default" w:ascii="Times New Roman" w:hAnsi="Times New Roman" w:eastAsia="宋体" w:cs="Times New Roman"/>
                <w:sz w:val="21"/>
                <w:szCs w:val="21"/>
                <w:lang w:bidi="zh-CN"/>
              </w:rPr>
              <w:t>铅</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83.9</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800</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9"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bidi="zh-CN"/>
              </w:rPr>
            </w:pPr>
            <w:r>
              <w:rPr>
                <w:rFonts w:hint="default" w:ascii="Times New Roman" w:hAnsi="Times New Roman" w:eastAsia="宋体" w:cs="Times New Roman"/>
                <w:sz w:val="21"/>
                <w:szCs w:val="21"/>
                <w:lang w:bidi="zh-CN"/>
              </w:rPr>
              <w:t>汞</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0.150</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38</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bidi="zh-CN"/>
              </w:rPr>
            </w:pPr>
            <w:r>
              <w:rPr>
                <w:rFonts w:hint="default" w:ascii="Times New Roman" w:hAnsi="Times New Roman" w:eastAsia="宋体" w:cs="Times New Roman"/>
                <w:sz w:val="21"/>
                <w:szCs w:val="21"/>
                <w:lang w:bidi="zh-CN"/>
              </w:rPr>
              <w:t>镍</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56</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900</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六价铬</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0.5L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5.7</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四氯化碳</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1.3×10-3L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2.8</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氯仿</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1.1×10-3L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0.9</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氯甲烷</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0.001L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37</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1,1-二氯乙烷</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1.2×10-3L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9</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1,2-二氯乙烷</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1.3×10-3L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5</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1,1-二氯乙烯</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0.001L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66</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顺-1,2-二氯乙烯</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1.3×10-3L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596</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反-1,2-二氯乙烯</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1.4×10-3L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54</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二氯甲烷</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1.5×10-3L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616</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1,2-二氯丙烷</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1.1×10-3L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5</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1,1,1,2-四氯乙烷</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1.2×10-3L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10</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1,1,2,2-四氯乙烷</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1.2×10-3L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6.8</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四氯乙烯</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1.4×10-3L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53</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1,1,1-三氯乙烷</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1.3×10-3L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840</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1,1,2-三氯乙烷</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1.2×10-3L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2.8</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三氯乙烯</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1.2×10-3L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2.8</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1,2,3-三氯丙烷</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1.2×10-3L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0.5</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氯乙烯</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0.001L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0.43</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苯</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1.9×10-3L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4</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氯苯</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1.2×10-3L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270</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1,2-二氯苯</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1.5×10-3L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560</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1,4-二氯苯</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1.5×10-3L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20</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乙苯</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1.2×10-3L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28</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苯乙烯</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1.1×10-3L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1290</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甲苯</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1.3×10-3L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1200</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邻-二甲苯</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1.2×10-3L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640</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间-二甲苯+对-二甲苯</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1.2×10-3L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570</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硝基苯</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0.09L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76</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苯胺</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0.1L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260</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2-氯酚</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0.06L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2256</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苯并(a)蒽</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0.1L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26</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苯并(a)芘</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0.1L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1.5</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苯并(b)荧蒽</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0.2L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15</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苯并(k)荧蒽</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0.1L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151</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䓛</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0.1L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1293</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二苯并(a, h)蒽</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0.1L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1.5</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茚并(1,2,3-c,d)芘</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0.1L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15</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141" w:hRule="atLeast"/>
          <w:jc w:val="center"/>
        </w:trPr>
        <w:tc>
          <w:tcPr>
            <w:tcW w:w="600"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bidi="zh-CN"/>
              </w:rPr>
            </w:pPr>
          </w:p>
        </w:tc>
        <w:tc>
          <w:tcPr>
            <w:tcW w:w="98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21"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萘</w:t>
            </w:r>
          </w:p>
        </w:tc>
        <w:tc>
          <w:tcPr>
            <w:tcW w:w="1770"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0.09L</w:t>
            </w:r>
          </w:p>
        </w:tc>
        <w:tc>
          <w:tcPr>
            <w:tcW w:w="1545"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70</w:t>
            </w:r>
          </w:p>
        </w:tc>
        <w:tc>
          <w:tcPr>
            <w:tcW w:w="1372" w:type="dxa"/>
            <w:tcBorders>
              <w:tl2br w:val="nil"/>
              <w:tr2bl w:val="nil"/>
            </w:tcBorders>
            <w:noWrap w:val="0"/>
            <w:vAlign w:val="center"/>
          </w:tcPr>
          <w:p>
            <w:pPr>
              <w:pStyle w:val="79"/>
              <w:ind w:firstLine="0" w:firstLineChars="0"/>
              <w:rPr>
                <w:rFonts w:hint="default" w:ascii="Times New Roman" w:hAnsi="Times New Roman" w:eastAsia="宋体" w:cs="Times New Roman"/>
                <w:sz w:val="21"/>
                <w:szCs w:val="21"/>
                <w:lang w:val="en-US" w:eastAsia="zh-CN" w:bidi="zh-CN"/>
              </w:rPr>
            </w:pPr>
            <w:r>
              <w:rPr>
                <w:rFonts w:hint="eastAsia"/>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4" w:hRule="atLeast"/>
          <w:jc w:val="center"/>
        </w:trPr>
        <w:tc>
          <w:tcPr>
            <w:tcW w:w="8294" w:type="dxa"/>
            <w:gridSpan w:val="6"/>
            <w:tcBorders>
              <w:tl2br w:val="nil"/>
              <w:tr2bl w:val="nil"/>
            </w:tcBorders>
            <w:noWrap w:val="0"/>
            <w:vAlign w:val="center"/>
          </w:tcPr>
          <w:p>
            <w:pPr>
              <w:pStyle w:val="79"/>
              <w:rPr>
                <w:rFonts w:hint="default" w:ascii="Times New Roman" w:hAnsi="Times New Roman" w:eastAsia="宋体" w:cs="Times New Roman"/>
                <w:sz w:val="21"/>
                <w:szCs w:val="21"/>
                <w:lang w:bidi="zh-CN"/>
              </w:rPr>
            </w:pPr>
            <w:r>
              <w:rPr>
                <w:rFonts w:hint="default" w:ascii="Times New Roman" w:hAnsi="Times New Roman" w:eastAsia="宋体" w:cs="Times New Roman"/>
                <w:sz w:val="21"/>
                <w:szCs w:val="21"/>
                <w:lang w:bidi="zh-CN"/>
              </w:rPr>
              <w:t>备注：1、分包情况：挥发性有机物、半挥发性有机物、六价铬</w:t>
            </w:r>
          </w:p>
          <w:p>
            <w:pPr>
              <w:pStyle w:val="79"/>
              <w:rPr>
                <w:rFonts w:hint="default" w:ascii="Times New Roman" w:hAnsi="Times New Roman" w:eastAsia="宋体" w:cs="Times New Roman"/>
                <w:sz w:val="21"/>
                <w:szCs w:val="21"/>
                <w:lang w:bidi="zh-CN"/>
              </w:rPr>
            </w:pPr>
            <w:r>
              <w:rPr>
                <w:rFonts w:hint="default" w:ascii="Times New Roman" w:hAnsi="Times New Roman" w:eastAsia="宋体" w:cs="Times New Roman"/>
                <w:sz w:val="21"/>
                <w:szCs w:val="21"/>
                <w:lang w:bidi="zh-CN"/>
              </w:rPr>
              <w:t>2、检测结果小于检测方法最低检出限，用检出限+L表示</w:t>
            </w:r>
          </w:p>
        </w:tc>
      </w:tr>
    </w:tbl>
    <w:p>
      <w:pPr>
        <w:pStyle w:val="2"/>
        <w:jc w:val="center"/>
        <w:rPr>
          <w:rFonts w:hint="default" w:ascii="Times New Roman" w:hAnsi="Times New Roman" w:eastAsia="Times New Roman" w:cs="Times New Roman"/>
          <w:b/>
          <w:bCs/>
          <w:color w:val="000000"/>
          <w:sz w:val="21"/>
          <w:szCs w:val="21"/>
          <w:lang w:bidi="zh-CN"/>
        </w:rPr>
      </w:pPr>
      <w:r>
        <w:rPr>
          <w:rFonts w:hint="default" w:ascii="Times New Roman" w:hAnsi="Times New Roman" w:eastAsia="Times New Roman" w:cs="Times New Roman"/>
          <w:b/>
          <w:bCs/>
          <w:color w:val="000000"/>
          <w:sz w:val="21"/>
          <w:szCs w:val="21"/>
          <w:lang w:bidi="zh-CN"/>
        </w:rPr>
        <w:t>表</w:t>
      </w:r>
      <w:r>
        <w:rPr>
          <w:rFonts w:hint="default" w:ascii="Times New Roman" w:hAnsi="Times New Roman" w:eastAsia="Times New Roman" w:cs="Times New Roman"/>
          <w:b/>
          <w:bCs/>
          <w:color w:val="000000"/>
          <w:sz w:val="21"/>
          <w:szCs w:val="21"/>
          <w:lang w:val="en-US" w:bidi="zh-CN"/>
        </w:rPr>
        <w:t xml:space="preserve"> </w:t>
      </w:r>
      <w:r>
        <w:rPr>
          <w:rFonts w:hint="default" w:ascii="Times New Roman" w:hAnsi="Times New Roman" w:eastAsia="Times New Roman" w:cs="Times New Roman"/>
          <w:b/>
          <w:bCs/>
          <w:color w:val="000000"/>
          <w:sz w:val="21"/>
          <w:szCs w:val="21"/>
          <w:lang w:bidi="zh-CN"/>
        </w:rPr>
        <w:t>3.</w:t>
      </w:r>
      <w:r>
        <w:rPr>
          <w:rFonts w:hint="default" w:ascii="Times New Roman" w:hAnsi="Times New Roman" w:eastAsia="Times New Roman" w:cs="Times New Roman"/>
          <w:b/>
          <w:bCs/>
          <w:color w:val="000000"/>
          <w:sz w:val="21"/>
          <w:szCs w:val="21"/>
          <w:lang w:val="en-US" w:bidi="zh-CN"/>
        </w:rPr>
        <w:t>6</w:t>
      </w:r>
      <w:r>
        <w:rPr>
          <w:rFonts w:hint="default" w:ascii="Times New Roman" w:hAnsi="Times New Roman" w:eastAsia="Times New Roman" w:cs="Times New Roman"/>
          <w:b/>
          <w:bCs/>
          <w:color w:val="000000"/>
          <w:sz w:val="21"/>
          <w:szCs w:val="21"/>
          <w:lang w:bidi="zh-CN"/>
        </w:rPr>
        <w:t>-1</w:t>
      </w:r>
      <w:r>
        <w:rPr>
          <w:rFonts w:hint="default" w:ascii="Times New Roman" w:hAnsi="Times New Roman" w:eastAsia="Times New Roman" w:cs="Times New Roman"/>
          <w:b/>
          <w:bCs/>
          <w:color w:val="000000"/>
          <w:sz w:val="21"/>
          <w:szCs w:val="21"/>
          <w:lang w:val="en-US" w:bidi="zh-CN"/>
        </w:rPr>
        <w:t>0</w:t>
      </w:r>
      <w:r>
        <w:rPr>
          <w:rFonts w:hint="default" w:ascii="Times New Roman" w:hAnsi="Times New Roman" w:eastAsia="Times New Roman" w:cs="Times New Roman"/>
          <w:b/>
          <w:bCs/>
          <w:color w:val="000000"/>
          <w:sz w:val="21"/>
          <w:szCs w:val="21"/>
          <w:lang w:bidi="zh-CN"/>
        </w:rPr>
        <w:t xml:space="preserve"> 土壤环境</w:t>
      </w:r>
      <w:r>
        <w:rPr>
          <w:rFonts w:hint="eastAsia" w:ascii="Times New Roman" w:hAnsi="Times New Roman" w:eastAsia="Times New Roman" w:cs="Times New Roman"/>
          <w:b/>
          <w:bCs/>
          <w:color w:val="000000"/>
          <w:sz w:val="21"/>
          <w:szCs w:val="21"/>
          <w:lang w:bidi="zh-CN"/>
        </w:rPr>
        <w:t>现状</w:t>
      </w:r>
      <w:r>
        <w:rPr>
          <w:rFonts w:hint="default" w:ascii="Times New Roman" w:hAnsi="Times New Roman" w:eastAsia="Times New Roman" w:cs="Times New Roman"/>
          <w:b/>
          <w:bCs/>
          <w:color w:val="000000"/>
          <w:sz w:val="21"/>
          <w:szCs w:val="21"/>
          <w:lang w:bidi="zh-CN"/>
        </w:rPr>
        <w:t>监测结果  单位：mg/kg</w:t>
      </w:r>
    </w:p>
    <w:tbl>
      <w:tblPr>
        <w:tblStyle w:val="37"/>
        <w:tblW w:w="8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64" w:type="dxa"/>
          <w:bottom w:w="0" w:type="dxa"/>
          <w:right w:w="51" w:type="dxa"/>
        </w:tblCellMar>
      </w:tblPr>
      <w:tblGrid>
        <w:gridCol w:w="775"/>
        <w:gridCol w:w="1696"/>
        <w:gridCol w:w="2063"/>
        <w:gridCol w:w="1677"/>
        <w:gridCol w:w="1123"/>
        <w:gridCol w:w="11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396" w:hRule="atLeast"/>
          <w:jc w:val="center"/>
        </w:trPr>
        <w:tc>
          <w:tcPr>
            <w:tcW w:w="775" w:type="dxa"/>
            <w:vMerge w:val="restart"/>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采样日期</w:t>
            </w:r>
          </w:p>
        </w:tc>
        <w:tc>
          <w:tcPr>
            <w:tcW w:w="1696" w:type="dxa"/>
            <w:vMerge w:val="restart"/>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检测项目</w:t>
            </w:r>
          </w:p>
        </w:tc>
        <w:tc>
          <w:tcPr>
            <w:tcW w:w="3740" w:type="dxa"/>
            <w:gridSpan w:val="2"/>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检测结果（mg/kg）</w:t>
            </w:r>
          </w:p>
        </w:tc>
        <w:tc>
          <w:tcPr>
            <w:tcW w:w="1123" w:type="dxa"/>
            <w:vMerge w:val="restart"/>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标准限值</w:t>
            </w:r>
          </w:p>
        </w:tc>
        <w:tc>
          <w:tcPr>
            <w:tcW w:w="1123" w:type="dxa"/>
            <w:vMerge w:val="restart"/>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543" w:hRule="atLeast"/>
          <w:jc w:val="center"/>
        </w:trPr>
        <w:tc>
          <w:tcPr>
            <w:tcW w:w="775"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1696"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206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项目地西南部T2</w:t>
            </w:r>
          </w:p>
        </w:tc>
        <w:tc>
          <w:tcPr>
            <w:tcW w:w="1677"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项目地北侧T3</w:t>
            </w:r>
          </w:p>
        </w:tc>
        <w:tc>
          <w:tcPr>
            <w:tcW w:w="1123" w:type="dxa"/>
            <w:vMerge w:val="continue"/>
            <w:tcBorders>
              <w:tl2br w:val="nil"/>
              <w:tr2bl w:val="nil"/>
            </w:tcBorders>
            <w:noWrap w:val="0"/>
            <w:vAlign w:val="center"/>
          </w:tcPr>
          <w:p>
            <w:pPr>
              <w:pStyle w:val="79"/>
              <w:rPr>
                <w:rFonts w:hint="eastAsia" w:ascii="Times New Roman" w:hAnsi="Times New Roman" w:eastAsia="宋体" w:cs="Times New Roman"/>
                <w:sz w:val="21"/>
                <w:szCs w:val="21"/>
                <w:lang w:val="en-US" w:eastAsia="zh-CN" w:bidi="zh-CN"/>
              </w:rPr>
            </w:pPr>
          </w:p>
        </w:tc>
        <w:tc>
          <w:tcPr>
            <w:tcW w:w="1123" w:type="dxa"/>
            <w:vMerge w:val="continue"/>
            <w:tcBorders>
              <w:tl2br w:val="nil"/>
              <w:tr2bl w:val="nil"/>
            </w:tcBorders>
            <w:noWrap w:val="0"/>
            <w:vAlign w:val="center"/>
          </w:tcPr>
          <w:p>
            <w:pPr>
              <w:pStyle w:val="79"/>
              <w:rPr>
                <w:rFonts w:hint="eastAsia" w:ascii="Times New Roman" w:hAnsi="Times New Roman" w:eastAsia="宋体" w:cs="Times New Roman"/>
                <w:sz w:val="21"/>
                <w:szCs w:val="21"/>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291" w:hRule="atLeast"/>
          <w:jc w:val="center"/>
        </w:trPr>
        <w:tc>
          <w:tcPr>
            <w:tcW w:w="775" w:type="dxa"/>
            <w:vMerge w:val="restart"/>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2022.04.22</w:t>
            </w:r>
          </w:p>
        </w:tc>
        <w:tc>
          <w:tcPr>
            <w:tcW w:w="1696" w:type="dxa"/>
            <w:tcBorders>
              <w:tl2br w:val="nil"/>
              <w:tr2bl w:val="nil"/>
            </w:tcBorders>
            <w:noWrap w:val="0"/>
            <w:vAlign w:val="center"/>
          </w:tcPr>
          <w:p>
            <w:pPr>
              <w:pStyle w:val="79"/>
              <w:rPr>
                <w:rFonts w:hint="eastAsia"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pH（无量纲）</w:t>
            </w:r>
          </w:p>
        </w:tc>
        <w:tc>
          <w:tcPr>
            <w:tcW w:w="206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5.62</w:t>
            </w:r>
          </w:p>
        </w:tc>
        <w:tc>
          <w:tcPr>
            <w:tcW w:w="1677"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5.77</w:t>
            </w:r>
          </w:p>
        </w:tc>
        <w:tc>
          <w:tcPr>
            <w:tcW w:w="112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12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91" w:hRule="atLeast"/>
          <w:jc w:val="center"/>
        </w:trPr>
        <w:tc>
          <w:tcPr>
            <w:tcW w:w="775"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1696"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铬</w:t>
            </w:r>
          </w:p>
        </w:tc>
        <w:tc>
          <w:tcPr>
            <w:tcW w:w="206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36</w:t>
            </w:r>
          </w:p>
        </w:tc>
        <w:tc>
          <w:tcPr>
            <w:tcW w:w="1677"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34</w:t>
            </w:r>
          </w:p>
        </w:tc>
        <w:tc>
          <w:tcPr>
            <w:tcW w:w="112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12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291" w:hRule="atLeast"/>
          <w:jc w:val="center"/>
        </w:trPr>
        <w:tc>
          <w:tcPr>
            <w:tcW w:w="775"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1696"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铅</w:t>
            </w:r>
          </w:p>
        </w:tc>
        <w:tc>
          <w:tcPr>
            <w:tcW w:w="206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101</w:t>
            </w:r>
          </w:p>
        </w:tc>
        <w:tc>
          <w:tcPr>
            <w:tcW w:w="1677"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64.5</w:t>
            </w:r>
          </w:p>
        </w:tc>
        <w:tc>
          <w:tcPr>
            <w:tcW w:w="112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800</w:t>
            </w:r>
          </w:p>
        </w:tc>
        <w:tc>
          <w:tcPr>
            <w:tcW w:w="112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270" w:hRule="atLeast"/>
          <w:jc w:val="center"/>
        </w:trPr>
        <w:tc>
          <w:tcPr>
            <w:tcW w:w="775"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1696"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锌</w:t>
            </w:r>
          </w:p>
        </w:tc>
        <w:tc>
          <w:tcPr>
            <w:tcW w:w="206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94.7</w:t>
            </w:r>
          </w:p>
        </w:tc>
        <w:tc>
          <w:tcPr>
            <w:tcW w:w="1677"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27.1</w:t>
            </w:r>
          </w:p>
        </w:tc>
        <w:tc>
          <w:tcPr>
            <w:tcW w:w="112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12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291" w:hRule="atLeast"/>
          <w:jc w:val="center"/>
        </w:trPr>
        <w:tc>
          <w:tcPr>
            <w:tcW w:w="775"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1696" w:type="dxa"/>
            <w:tcBorders>
              <w:tl2br w:val="nil"/>
              <w:tr2bl w:val="nil"/>
            </w:tcBorders>
            <w:noWrap w:val="0"/>
            <w:vAlign w:val="center"/>
          </w:tcPr>
          <w:p>
            <w:pPr>
              <w:pStyle w:val="79"/>
              <w:rPr>
                <w:rFonts w:hint="eastAsia"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六价铬</w:t>
            </w:r>
          </w:p>
        </w:tc>
        <w:tc>
          <w:tcPr>
            <w:tcW w:w="206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0.5L</w:t>
            </w:r>
          </w:p>
        </w:tc>
        <w:tc>
          <w:tcPr>
            <w:tcW w:w="1677"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0.5L</w:t>
            </w:r>
          </w:p>
        </w:tc>
        <w:tc>
          <w:tcPr>
            <w:tcW w:w="112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5.7</w:t>
            </w:r>
          </w:p>
        </w:tc>
        <w:tc>
          <w:tcPr>
            <w:tcW w:w="112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91" w:hRule="atLeast"/>
          <w:jc w:val="center"/>
        </w:trPr>
        <w:tc>
          <w:tcPr>
            <w:tcW w:w="775"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1696" w:type="dxa"/>
            <w:tcBorders>
              <w:tl2br w:val="nil"/>
              <w:tr2bl w:val="nil"/>
            </w:tcBorders>
            <w:noWrap w:val="0"/>
            <w:vAlign w:val="center"/>
          </w:tcPr>
          <w:p>
            <w:pPr>
              <w:pStyle w:val="79"/>
              <w:rPr>
                <w:rFonts w:hint="eastAsia"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锰</w:t>
            </w:r>
          </w:p>
        </w:tc>
        <w:tc>
          <w:tcPr>
            <w:tcW w:w="206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493</w:t>
            </w:r>
          </w:p>
        </w:tc>
        <w:tc>
          <w:tcPr>
            <w:tcW w:w="1677"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251</w:t>
            </w:r>
          </w:p>
        </w:tc>
        <w:tc>
          <w:tcPr>
            <w:tcW w:w="112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c>
          <w:tcPr>
            <w:tcW w:w="112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291" w:hRule="atLeast"/>
          <w:jc w:val="center"/>
        </w:trPr>
        <w:tc>
          <w:tcPr>
            <w:tcW w:w="775" w:type="dxa"/>
            <w:vMerge w:val="continue"/>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p>
        </w:tc>
        <w:tc>
          <w:tcPr>
            <w:tcW w:w="1696" w:type="dxa"/>
            <w:tcBorders>
              <w:tl2br w:val="nil"/>
              <w:tr2bl w:val="nil"/>
            </w:tcBorders>
            <w:noWrap w:val="0"/>
            <w:vAlign w:val="center"/>
          </w:tcPr>
          <w:p>
            <w:pPr>
              <w:pStyle w:val="79"/>
              <w:rPr>
                <w:rFonts w:hint="eastAsia"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钒</w:t>
            </w:r>
          </w:p>
        </w:tc>
        <w:tc>
          <w:tcPr>
            <w:tcW w:w="206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86.2</w:t>
            </w:r>
          </w:p>
        </w:tc>
        <w:tc>
          <w:tcPr>
            <w:tcW w:w="1677"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127</w:t>
            </w:r>
          </w:p>
        </w:tc>
        <w:tc>
          <w:tcPr>
            <w:tcW w:w="112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752</w:t>
            </w:r>
          </w:p>
        </w:tc>
        <w:tc>
          <w:tcPr>
            <w:tcW w:w="1123" w:type="dxa"/>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eastAsia" w:ascii="Times New Roman" w:hAnsi="Times New Roman" w:eastAsia="宋体" w:cs="Times New Roman"/>
                <w:sz w:val="21"/>
                <w:szCs w:val="21"/>
                <w:lang w:val="en-US" w:eastAsia="zh-CN" w:bidi="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64" w:type="dxa"/>
            <w:bottom w:w="0" w:type="dxa"/>
            <w:right w:w="51" w:type="dxa"/>
          </w:tblCellMar>
        </w:tblPrEx>
        <w:trPr>
          <w:cantSplit/>
          <w:trHeight w:val="685" w:hRule="atLeast"/>
          <w:jc w:val="center"/>
        </w:trPr>
        <w:tc>
          <w:tcPr>
            <w:tcW w:w="8457" w:type="dxa"/>
            <w:gridSpan w:val="6"/>
            <w:tcBorders>
              <w:tl2br w:val="nil"/>
              <w:tr2bl w:val="nil"/>
            </w:tcBorders>
            <w:noWrap w:val="0"/>
            <w:vAlign w:val="center"/>
          </w:tcPr>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备注：1、</w:t>
            </w:r>
            <w:r>
              <w:rPr>
                <w:rFonts w:hint="eastAsia" w:ascii="Times New Roman" w:hAnsi="Times New Roman" w:eastAsia="宋体" w:cs="Times New Roman"/>
                <w:sz w:val="21"/>
                <w:szCs w:val="21"/>
                <w:lang w:val="en-US" w:eastAsia="zh-CN" w:bidi="zh-CN"/>
              </w:rPr>
              <w:t>分包情况：六价铬、锰、钒</w:t>
            </w:r>
          </w:p>
          <w:p>
            <w:pPr>
              <w:pStyle w:val="79"/>
              <w:rPr>
                <w:rFonts w:hint="default" w:ascii="Times New Roman" w:hAnsi="Times New Roman" w:eastAsia="宋体" w:cs="Times New Roman"/>
                <w:sz w:val="21"/>
                <w:szCs w:val="21"/>
                <w:lang w:val="en-US" w:eastAsia="zh-CN" w:bidi="zh-CN"/>
              </w:rPr>
            </w:pPr>
            <w:r>
              <w:rPr>
                <w:rFonts w:hint="default" w:ascii="Times New Roman" w:hAnsi="Times New Roman" w:eastAsia="宋体" w:cs="Times New Roman"/>
                <w:sz w:val="21"/>
                <w:szCs w:val="21"/>
                <w:lang w:val="en-US" w:eastAsia="zh-CN" w:bidi="zh-CN"/>
              </w:rPr>
              <w:t>2、检测结果小于检测方法最低检出限，用检出限+L表示</w:t>
            </w:r>
          </w:p>
        </w:tc>
      </w:tr>
    </w:tbl>
    <w:p>
      <w:pPr>
        <w:ind w:firstLine="480"/>
        <w:rPr>
          <w:rFonts w:hint="eastAsia"/>
          <w:color w:val="000000"/>
          <w:kern w:val="0"/>
        </w:rPr>
      </w:pPr>
      <w:r>
        <w:rPr>
          <w:rFonts w:hint="eastAsia"/>
          <w:color w:val="000000"/>
          <w:kern w:val="0"/>
        </w:rPr>
        <w:t>根据表</w:t>
      </w:r>
      <w:r>
        <w:rPr>
          <w:color w:val="000000"/>
          <w:kern w:val="0"/>
        </w:rPr>
        <w:t>3.</w:t>
      </w:r>
      <w:r>
        <w:rPr>
          <w:rFonts w:hint="eastAsia"/>
          <w:color w:val="000000"/>
          <w:kern w:val="0"/>
          <w:lang w:val="en-US" w:eastAsia="zh-CN"/>
        </w:rPr>
        <w:t>6</w:t>
      </w:r>
      <w:r>
        <w:rPr>
          <w:color w:val="000000"/>
          <w:kern w:val="0"/>
        </w:rPr>
        <w:t>-1</w:t>
      </w:r>
      <w:r>
        <w:rPr>
          <w:rFonts w:hint="eastAsia"/>
          <w:color w:val="000000"/>
          <w:kern w:val="0"/>
          <w:lang w:val="en-US" w:eastAsia="zh-CN"/>
        </w:rPr>
        <w:t>0</w:t>
      </w:r>
      <w:r>
        <w:rPr>
          <w:rFonts w:hint="eastAsia"/>
          <w:color w:val="000000"/>
          <w:kern w:val="0"/>
        </w:rPr>
        <w:t>的结果分析表明项目土壤均满足</w:t>
      </w:r>
      <w:r>
        <w:rPr>
          <w:rFonts w:hint="eastAsia"/>
          <w:color w:val="000000"/>
        </w:rPr>
        <w:t>《土壤环境质量 建设用地土壤污染风险管控标准（试行）》（GB36600-2018）</w:t>
      </w:r>
      <w:r>
        <w:rPr>
          <w:rFonts w:hint="eastAsia"/>
          <w:color w:val="000000"/>
          <w:kern w:val="0"/>
        </w:rPr>
        <w:t>标准筛选值要求，区域土壤环境质量良好。</w:t>
      </w:r>
    </w:p>
    <w:p>
      <w:pPr>
        <w:pStyle w:val="8"/>
        <w:spacing w:before="163"/>
        <w:ind w:left="0" w:leftChars="0" w:firstLine="0" w:firstLineChars="0"/>
        <w:rPr>
          <w:rFonts w:hint="default" w:ascii="Times New Roman" w:hAnsi="Times New Roman" w:eastAsia="宋体"/>
          <w:b/>
          <w:bCs/>
          <w:color w:val="000000"/>
          <w:lang w:val="en-US" w:eastAsia="zh-CN"/>
        </w:rPr>
      </w:pPr>
      <w:r>
        <w:rPr>
          <w:rFonts w:hint="eastAsia" w:ascii="Times New Roman" w:hAnsi="Times New Roman" w:eastAsia="宋体"/>
          <w:b/>
          <w:bCs/>
          <w:color w:val="000000"/>
          <w:lang w:val="en-US" w:eastAsia="zh-CN"/>
        </w:rPr>
        <w:t>3.</w:t>
      </w:r>
      <w:r>
        <w:rPr>
          <w:rFonts w:hint="eastAsia"/>
          <w:b/>
          <w:bCs/>
          <w:color w:val="000000"/>
          <w:lang w:val="en-US" w:eastAsia="zh-CN"/>
        </w:rPr>
        <w:t>6</w:t>
      </w:r>
      <w:r>
        <w:rPr>
          <w:rFonts w:hint="eastAsia" w:ascii="Times New Roman" w:hAnsi="Times New Roman" w:eastAsia="宋体"/>
          <w:b/>
          <w:bCs/>
          <w:color w:val="000000"/>
          <w:lang w:val="en-US" w:eastAsia="zh-CN"/>
        </w:rPr>
        <w:t>.6底泥环境质量现状评价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rPr>
        <w:t>为全面准确地反映和掌握区域内环境质量现状，本项目委</w:t>
      </w:r>
      <w:r>
        <w:rPr>
          <w:rFonts w:hint="eastAsia" w:ascii="Times New Roman" w:hAnsi="Times New Roman" w:cs="Times New Roman"/>
          <w:lang w:val="en-US" w:eastAsia="zh-CN"/>
        </w:rPr>
        <w:t>湖南昌旭环保科技有限公司</w:t>
      </w:r>
      <w:r>
        <w:rPr>
          <w:rFonts w:hint="default" w:ascii="Times New Roman" w:hAnsi="Times New Roman" w:cs="Times New Roman"/>
        </w:rPr>
        <w:t>对区域</w:t>
      </w:r>
      <w:r>
        <w:rPr>
          <w:rFonts w:hint="default" w:ascii="Times New Roman" w:hAnsi="Times New Roman" w:cs="Times New Roman"/>
          <w:lang w:val="en-US" w:eastAsia="zh-CN"/>
        </w:rPr>
        <w:t>底泥</w:t>
      </w:r>
      <w:r>
        <w:rPr>
          <w:rFonts w:hint="default" w:ascii="Times New Roman" w:hAnsi="Times New Roman" w:cs="Times New Roman"/>
        </w:rPr>
        <w:t>环境质量现状补充监测</w:t>
      </w:r>
      <w:r>
        <w:rPr>
          <w:rFonts w:hint="default" w:ascii="Times New Roman" w:hAnsi="Times New Roman" w:cs="Times New Roman"/>
          <w:color w:val="auto"/>
          <w:sz w:val="24"/>
          <w:highlight w:val="none"/>
          <w:lang w:val="en-US" w:eastAsia="zh-CN"/>
        </w:rPr>
        <w:t>，监测时间为202</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年</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月</w:t>
      </w:r>
      <w:r>
        <w:rPr>
          <w:rFonts w:hint="eastAsia" w:ascii="Times New Roman" w:hAnsi="Times New Roman" w:cs="Times New Roman"/>
          <w:color w:val="auto"/>
          <w:sz w:val="24"/>
          <w:highlight w:val="none"/>
          <w:lang w:val="en-US" w:eastAsia="zh-CN"/>
        </w:rPr>
        <w:t>22</w:t>
      </w:r>
      <w:r>
        <w:rPr>
          <w:rFonts w:hint="default" w:ascii="Times New Roman" w:hAnsi="Times New Roman" w:cs="Times New Roman"/>
          <w:color w:val="auto"/>
          <w:sz w:val="24"/>
          <w:highlight w:val="none"/>
          <w:lang w:eastAsia="zh-CN"/>
        </w:rPr>
        <w:t>日，监测报告及质量保证单见附件，监测布点图见附图。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监测布点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rPr>
        <w:t>本次底泥现状监测点位共布设</w:t>
      </w:r>
      <w:r>
        <w:rPr>
          <w:rFonts w:hint="eastAsia" w:ascii="Times New Roman" w:hAnsi="Times New Roman" w:cs="Times New Roman"/>
          <w:lang w:val="en-US" w:eastAsia="zh-CN"/>
        </w:rPr>
        <w:t>2</w:t>
      </w:r>
      <w:r>
        <w:rPr>
          <w:rFonts w:hint="default" w:ascii="Times New Roman" w:hAnsi="Times New Roman" w:cs="Times New Roman"/>
        </w:rPr>
        <w:t>个点。</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sz w:val="21"/>
          <w:szCs w:val="21"/>
        </w:rPr>
      </w:pPr>
      <w:r>
        <w:rPr>
          <w:rFonts w:hint="default" w:ascii="Times New Roman" w:hAnsi="Times New Roman" w:cs="Times New Roman"/>
          <w:b/>
          <w:sz w:val="21"/>
          <w:szCs w:val="21"/>
        </w:rPr>
        <w:t>表</w:t>
      </w:r>
      <w:r>
        <w:rPr>
          <w:rFonts w:hint="eastAsia" w:cs="Times New Roman"/>
          <w:b/>
          <w:sz w:val="21"/>
          <w:szCs w:val="21"/>
          <w:lang w:val="en-US" w:eastAsia="zh-CN"/>
        </w:rPr>
        <w:t>3.6</w:t>
      </w:r>
      <w:r>
        <w:rPr>
          <w:rFonts w:hint="default" w:ascii="Times New Roman" w:hAnsi="Times New Roman" w:cs="Times New Roman"/>
          <w:b/>
          <w:sz w:val="21"/>
          <w:szCs w:val="21"/>
          <w:lang w:val="en-US" w:eastAsia="zh-CN"/>
        </w:rPr>
        <w:t>-</w:t>
      </w:r>
      <w:r>
        <w:rPr>
          <w:rFonts w:hint="eastAsia" w:cs="Times New Roman"/>
          <w:b/>
          <w:sz w:val="21"/>
          <w:szCs w:val="21"/>
          <w:lang w:val="en-US" w:eastAsia="zh-CN"/>
        </w:rPr>
        <w:t>11</w:t>
      </w:r>
      <w:r>
        <w:rPr>
          <w:rFonts w:hint="default" w:ascii="Times New Roman" w:hAnsi="Times New Roman" w:cs="Times New Roman"/>
          <w:b/>
          <w:sz w:val="21"/>
          <w:szCs w:val="21"/>
          <w:lang w:val="en-US" w:eastAsia="zh-CN"/>
        </w:rPr>
        <w:t xml:space="preserve"> </w:t>
      </w:r>
      <w:r>
        <w:rPr>
          <w:rFonts w:hint="default" w:ascii="Times New Roman" w:hAnsi="Times New Roman" w:cs="Times New Roman"/>
          <w:b/>
          <w:sz w:val="21"/>
          <w:szCs w:val="21"/>
        </w:rPr>
        <w:t xml:space="preserve"> </w:t>
      </w:r>
      <w:r>
        <w:rPr>
          <w:rFonts w:hint="default" w:ascii="Times New Roman" w:hAnsi="Times New Roman" w:cs="Times New Roman"/>
          <w:b/>
          <w:sz w:val="21"/>
          <w:szCs w:val="21"/>
          <w:lang w:val="en-US" w:eastAsia="zh-CN"/>
        </w:rPr>
        <w:t>底泥</w:t>
      </w:r>
      <w:r>
        <w:rPr>
          <w:rFonts w:hint="default" w:ascii="Times New Roman" w:hAnsi="Times New Roman" w:cs="Times New Roman"/>
          <w:b/>
          <w:sz w:val="21"/>
          <w:szCs w:val="21"/>
        </w:rPr>
        <w:t>环境质量现状监测点</w:t>
      </w:r>
    </w:p>
    <w:tbl>
      <w:tblPr>
        <w:tblStyle w:val="37"/>
        <w:tblW w:w="831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19"/>
        <w:gridCol w:w="1382"/>
        <w:gridCol w:w="59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1019" w:type="dxa"/>
            <w:tcBorders>
              <w:tl2br w:val="nil"/>
              <w:tr2bl w:val="nil"/>
            </w:tcBorders>
            <w:noWrap w:val="0"/>
            <w:tcMar>
              <w:left w:w="17" w:type="dxa"/>
              <w:right w:w="17" w:type="dxa"/>
            </w:tcMar>
            <w:vAlign w:val="center"/>
          </w:tcPr>
          <w:p>
            <w:pPr>
              <w:pStyle w:val="13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编号</w:t>
            </w:r>
          </w:p>
        </w:tc>
        <w:tc>
          <w:tcPr>
            <w:tcW w:w="1382" w:type="dxa"/>
            <w:tcBorders>
              <w:tl2br w:val="nil"/>
              <w:tr2bl w:val="nil"/>
            </w:tcBorders>
            <w:noWrap w:val="0"/>
            <w:tcMar>
              <w:left w:w="17" w:type="dxa"/>
              <w:right w:w="17" w:type="dxa"/>
            </w:tcMar>
            <w:vAlign w:val="center"/>
          </w:tcPr>
          <w:p>
            <w:pPr>
              <w:pStyle w:val="13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所在水体</w:t>
            </w:r>
          </w:p>
        </w:tc>
        <w:tc>
          <w:tcPr>
            <w:tcW w:w="5917" w:type="dxa"/>
            <w:tcBorders>
              <w:tl2br w:val="nil"/>
              <w:tr2bl w:val="nil"/>
            </w:tcBorders>
            <w:noWrap w:val="0"/>
            <w:tcMar>
              <w:left w:w="17" w:type="dxa"/>
              <w:right w:w="17" w:type="dxa"/>
            </w:tcMar>
            <w:vAlign w:val="center"/>
          </w:tcPr>
          <w:p>
            <w:pPr>
              <w:pStyle w:val="13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监测点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1019" w:type="dxa"/>
            <w:tcBorders>
              <w:tl2br w:val="nil"/>
              <w:tr2bl w:val="nil"/>
            </w:tcBorders>
            <w:noWrap w:val="0"/>
            <w:tcMar>
              <w:left w:w="17" w:type="dxa"/>
              <w:right w:w="17" w:type="dxa"/>
            </w:tcMar>
            <w:vAlign w:val="center"/>
          </w:tcPr>
          <w:p>
            <w:pPr>
              <w:pStyle w:val="13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J1</w:t>
            </w:r>
          </w:p>
        </w:tc>
        <w:tc>
          <w:tcPr>
            <w:tcW w:w="1382" w:type="dxa"/>
            <w:tcBorders>
              <w:tl2br w:val="nil"/>
              <w:tr2bl w:val="nil"/>
            </w:tcBorders>
            <w:noWrap w:val="0"/>
            <w:tcMar>
              <w:left w:w="17" w:type="dxa"/>
              <w:right w:w="17" w:type="dxa"/>
            </w:tcMar>
            <w:vAlign w:val="center"/>
          </w:tcPr>
          <w:p>
            <w:pPr>
              <w:pStyle w:val="13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花垣河</w:t>
            </w:r>
          </w:p>
        </w:tc>
        <w:tc>
          <w:tcPr>
            <w:tcW w:w="5917" w:type="dxa"/>
            <w:tcBorders>
              <w:tl2br w:val="nil"/>
              <w:tr2bl w:val="nil"/>
            </w:tcBorders>
            <w:noWrap w:val="0"/>
            <w:tcMar>
              <w:left w:w="17" w:type="dxa"/>
              <w:right w:w="17" w:type="dxa"/>
            </w:tcMar>
            <w:vAlign w:val="center"/>
          </w:tcPr>
          <w:p>
            <w:pPr>
              <w:pStyle w:val="13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花垣工业集中区污水处理厂排污口上游500米处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1" w:hRule="atLeast"/>
          <w:jc w:val="center"/>
        </w:trPr>
        <w:tc>
          <w:tcPr>
            <w:tcW w:w="1019" w:type="dxa"/>
            <w:tcBorders>
              <w:tl2br w:val="nil"/>
              <w:tr2bl w:val="nil"/>
            </w:tcBorders>
            <w:noWrap w:val="0"/>
            <w:tcMar>
              <w:left w:w="17" w:type="dxa"/>
              <w:right w:w="17" w:type="dxa"/>
            </w:tcMar>
            <w:vAlign w:val="center"/>
          </w:tcPr>
          <w:p>
            <w:pPr>
              <w:pStyle w:val="13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J2</w:t>
            </w:r>
          </w:p>
        </w:tc>
        <w:tc>
          <w:tcPr>
            <w:tcW w:w="1382" w:type="dxa"/>
            <w:tcBorders>
              <w:tl2br w:val="nil"/>
              <w:tr2bl w:val="nil"/>
            </w:tcBorders>
            <w:noWrap w:val="0"/>
            <w:tcMar>
              <w:left w:w="17" w:type="dxa"/>
              <w:right w:w="17" w:type="dxa"/>
            </w:tcMar>
            <w:vAlign w:val="center"/>
          </w:tcPr>
          <w:p>
            <w:pPr>
              <w:pStyle w:val="13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花垣河</w:t>
            </w:r>
          </w:p>
        </w:tc>
        <w:tc>
          <w:tcPr>
            <w:tcW w:w="5917" w:type="dxa"/>
            <w:tcBorders>
              <w:tl2br w:val="nil"/>
              <w:tr2bl w:val="nil"/>
            </w:tcBorders>
            <w:noWrap w:val="0"/>
            <w:tcMar>
              <w:left w:w="17" w:type="dxa"/>
              <w:right w:w="17" w:type="dxa"/>
            </w:tcMar>
            <w:vAlign w:val="center"/>
          </w:tcPr>
          <w:p>
            <w:pPr>
              <w:pStyle w:val="13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花垣工业集中区污水处理厂排污口下游1500米处</w:t>
            </w:r>
          </w:p>
        </w:tc>
      </w:tr>
    </w:tbl>
    <w:p>
      <w:pPr>
        <w:pStyle w:val="12"/>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480" w:lineRule="exact"/>
        <w:ind w:left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监测因子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kern w:val="0"/>
          <w:sz w:val="24"/>
          <w:lang w:val="en-US" w:eastAsia="zh-CN"/>
        </w:rPr>
        <w:t>铬</w:t>
      </w:r>
      <w:r>
        <w:rPr>
          <w:rFonts w:hint="default" w:ascii="Times New Roman" w:hAnsi="Times New Roman" w:cs="Times New Roman"/>
          <w:kern w:val="0"/>
          <w:sz w:val="24"/>
        </w:rPr>
        <w:t>、铅、锌、</w:t>
      </w:r>
      <w:r>
        <w:rPr>
          <w:rFonts w:hint="eastAsia" w:ascii="Times New Roman" w:hAnsi="Times New Roman" w:cs="Times New Roman"/>
          <w:kern w:val="0"/>
          <w:sz w:val="24"/>
          <w:lang w:val="en-US" w:eastAsia="zh-CN"/>
        </w:rPr>
        <w:t>六价铬</w:t>
      </w:r>
      <w:r>
        <w:rPr>
          <w:rFonts w:hint="default" w:ascii="Times New Roman" w:hAnsi="Times New Roman" w:cs="Times New Roman"/>
          <w:kern w:val="0"/>
          <w:sz w:val="24"/>
        </w:rPr>
        <w:t>、</w:t>
      </w:r>
      <w:r>
        <w:rPr>
          <w:rFonts w:hint="eastAsia" w:ascii="Times New Roman" w:hAnsi="Times New Roman" w:cs="Times New Roman"/>
          <w:kern w:val="0"/>
          <w:sz w:val="24"/>
          <w:lang w:val="en-US" w:eastAsia="zh-CN"/>
        </w:rPr>
        <w:t>锰、钒</w:t>
      </w:r>
      <w:r>
        <w:rPr>
          <w:rFonts w:hint="default" w:ascii="Times New Roman" w:hAnsi="Times New Roman" w:cs="Times New Roman"/>
          <w:kern w:val="0"/>
          <w:sz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监测时间及频率</w:t>
      </w:r>
    </w:p>
    <w:p>
      <w:pPr>
        <w:pStyle w:val="12"/>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val="en-US" w:eastAsia="zh-CN"/>
        </w:rPr>
        <w:t>监测时间：202</w:t>
      </w:r>
      <w:r>
        <w:rPr>
          <w:rFonts w:hint="eastAsia"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lang w:val="en-US" w:eastAsia="zh-CN"/>
        </w:rPr>
        <w:t>年</w:t>
      </w:r>
      <w:r>
        <w:rPr>
          <w:rFonts w:hint="eastAsia" w:ascii="Times New Roman" w:hAnsi="Times New Roman" w:cs="Times New Roman"/>
          <w:color w:val="auto"/>
          <w:sz w:val="24"/>
          <w:highlight w:val="none"/>
          <w:lang w:val="en-US" w:eastAsia="zh-CN"/>
        </w:rPr>
        <w:t>4</w:t>
      </w:r>
      <w:r>
        <w:rPr>
          <w:rFonts w:hint="default" w:ascii="Times New Roman" w:hAnsi="Times New Roman" w:cs="Times New Roman"/>
          <w:color w:val="auto"/>
          <w:sz w:val="24"/>
          <w:highlight w:val="none"/>
          <w:lang w:val="en-US" w:eastAsia="zh-CN"/>
        </w:rPr>
        <w:t>月</w:t>
      </w:r>
      <w:r>
        <w:rPr>
          <w:rFonts w:hint="eastAsia" w:ascii="Times New Roman" w:hAnsi="Times New Roman" w:cs="Times New Roman"/>
          <w:color w:val="auto"/>
          <w:sz w:val="24"/>
          <w:highlight w:val="none"/>
          <w:lang w:val="en-US" w:eastAsia="zh-CN"/>
        </w:rPr>
        <w:t>22</w:t>
      </w:r>
      <w:r>
        <w:rPr>
          <w:rFonts w:hint="default" w:ascii="Times New Roman" w:hAnsi="Times New Roman" w:cs="Times New Roman"/>
          <w:color w:val="auto"/>
          <w:sz w:val="24"/>
          <w:highlight w:val="none"/>
          <w:lang w:eastAsia="zh-CN"/>
        </w:rPr>
        <w:t>日</w:t>
      </w:r>
    </w:p>
    <w:p>
      <w:pPr>
        <w:pStyle w:val="12"/>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监测频次：</w:t>
      </w:r>
      <w:r>
        <w:rPr>
          <w:rFonts w:hint="default" w:ascii="Times New Roman" w:hAnsi="Times New Roman" w:cs="Times New Roman"/>
          <w:color w:val="auto"/>
          <w:sz w:val="24"/>
          <w:highlight w:val="none"/>
        </w:rPr>
        <w:t>对</w:t>
      </w:r>
      <w:r>
        <w:rPr>
          <w:rFonts w:hint="default" w:ascii="Times New Roman" w:hAnsi="Times New Roman" w:cs="Times New Roman"/>
          <w:color w:val="auto"/>
          <w:sz w:val="24"/>
          <w:highlight w:val="none"/>
          <w:lang w:val="en-US" w:eastAsia="zh-CN"/>
        </w:rPr>
        <w:t>监测点底泥样</w:t>
      </w:r>
      <w:r>
        <w:rPr>
          <w:rFonts w:hint="default" w:ascii="Times New Roman" w:hAnsi="Times New Roman" w:cs="Times New Roman"/>
          <w:color w:val="auto"/>
          <w:sz w:val="24"/>
          <w:highlight w:val="none"/>
        </w:rPr>
        <w:t>进行了一次性采样监测</w:t>
      </w:r>
      <w:r>
        <w:rPr>
          <w:rFonts w:hint="default" w:ascii="Times New Roman" w:hAnsi="Times New Roman" w:cs="Times New Roman"/>
          <w:color w:val="auto"/>
          <w:sz w:val="24"/>
          <w:highlight w:val="none"/>
          <w:u w:val="none"/>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sz w:val="24"/>
          <w:highlight w:val="none"/>
        </w:rPr>
        <w:t>分析方法</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参照土壤环境监测标准方法进行。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）评价标准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sz w:val="24"/>
          <w:lang w:val="en-US" w:eastAsia="zh-CN"/>
        </w:rPr>
        <w:t>作为背景值，不进行评价</w:t>
      </w:r>
      <w:r>
        <w:rPr>
          <w:rFonts w:hint="default" w:ascii="Times New Roman" w:hAnsi="Times New Roman" w:cs="Times New Roman"/>
          <w:sz w:val="24"/>
          <w:lang w:val="en-US" w:eastAsia="zh-CN"/>
        </w:rPr>
        <w:t>。</w:t>
      </w:r>
    </w:p>
    <w:p>
      <w:pPr>
        <w:pStyle w:val="12"/>
        <w:keepNext w:val="0"/>
        <w:keepLines w:val="0"/>
        <w:pageBreakBefore w:val="0"/>
        <w:widowControl w:val="0"/>
        <w:numPr>
          <w:ilvl w:val="0"/>
          <w:numId w:val="0"/>
        </w:numPr>
        <w:tabs>
          <w:tab w:val="left" w:pos="1080"/>
        </w:tabs>
        <w:kinsoku/>
        <w:wordWrap/>
        <w:overflowPunct/>
        <w:topLinePunct w:val="0"/>
        <w:autoSpaceDE/>
        <w:autoSpaceDN/>
        <w:bidi w:val="0"/>
        <w:adjustRightInd/>
        <w:snapToGrid/>
        <w:spacing w:line="480" w:lineRule="exact"/>
        <w:ind w:left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监测结果</w:t>
      </w:r>
    </w:p>
    <w:p>
      <w:pPr>
        <w:pStyle w:val="12"/>
        <w:keepNext w:val="0"/>
        <w:keepLines w:val="0"/>
        <w:pageBreakBefore w:val="0"/>
        <w:widowControl w:val="0"/>
        <w:kinsoku/>
        <w:wordWrap/>
        <w:overflowPunct/>
        <w:topLinePunct w:val="0"/>
        <w:autoSpaceDE/>
        <w:autoSpaceDN/>
        <w:bidi w:val="0"/>
        <w:adjustRightInd/>
        <w:snapToGrid/>
        <w:spacing w:line="48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监测结果见表</w:t>
      </w:r>
      <w:r>
        <w:rPr>
          <w:rFonts w:hint="eastAsia" w:cs="Times New Roman"/>
          <w:color w:val="auto"/>
          <w:sz w:val="24"/>
          <w:highlight w:val="none"/>
          <w:lang w:val="en-US" w:eastAsia="zh-CN"/>
        </w:rPr>
        <w:t>3.6-12</w:t>
      </w:r>
      <w:r>
        <w:rPr>
          <w:rFonts w:hint="default" w:ascii="Times New Roman" w:hAnsi="Times New Roman" w:cs="Times New Roman"/>
          <w:color w:val="auto"/>
          <w:sz w:val="24"/>
          <w:highlight w:val="none"/>
        </w:rPr>
        <w:t>。</w:t>
      </w:r>
    </w:p>
    <w:p>
      <w:pPr>
        <w:jc w:val="center"/>
        <w:rPr>
          <w:rFonts w:hint="default" w:eastAsia="宋体"/>
          <w:b/>
          <w:bCs/>
          <w:sz w:val="21"/>
          <w:szCs w:val="21"/>
          <w:lang w:val="en-US" w:eastAsia="zh-CN"/>
        </w:rPr>
      </w:pPr>
      <w:r>
        <w:rPr>
          <w:rFonts w:hint="eastAsia" w:ascii="Times New Roman" w:hAnsi="Times New Roman" w:cs="Times New Roman"/>
          <w:b/>
          <w:bCs/>
          <w:color w:val="auto"/>
          <w:sz w:val="21"/>
          <w:szCs w:val="21"/>
          <w:highlight w:val="none"/>
          <w:lang w:val="en-US" w:eastAsia="zh-CN"/>
        </w:rPr>
        <w:t>表</w:t>
      </w:r>
      <w:r>
        <w:rPr>
          <w:rFonts w:hint="eastAsia" w:cs="Times New Roman"/>
          <w:b/>
          <w:bCs/>
          <w:color w:val="auto"/>
          <w:sz w:val="21"/>
          <w:szCs w:val="21"/>
          <w:highlight w:val="none"/>
          <w:lang w:val="en-US" w:eastAsia="zh-CN"/>
        </w:rPr>
        <w:t>3.6-12</w:t>
      </w:r>
      <w:r>
        <w:rPr>
          <w:rFonts w:hint="eastAsia" w:ascii="Times New Roman" w:hAnsi="Times New Roman" w:cs="Times New Roman"/>
          <w:b/>
          <w:bCs/>
          <w:color w:val="auto"/>
          <w:sz w:val="21"/>
          <w:szCs w:val="21"/>
          <w:highlight w:val="none"/>
          <w:lang w:val="en-US" w:eastAsia="zh-CN"/>
        </w:rPr>
        <w:t xml:space="preserve"> 底泥监测结果一览表</w:t>
      </w:r>
    </w:p>
    <w:tbl>
      <w:tblPr>
        <w:tblStyle w:val="37"/>
        <w:tblW w:w="869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fixed"/>
        <w:tblCellMar>
          <w:top w:w="0" w:type="dxa"/>
          <w:left w:w="17" w:type="dxa"/>
          <w:bottom w:w="0" w:type="dxa"/>
          <w:right w:w="17" w:type="dxa"/>
        </w:tblCellMar>
      </w:tblPr>
      <w:tblGrid>
        <w:gridCol w:w="2474"/>
        <w:gridCol w:w="2365"/>
        <w:gridCol w:w="2092"/>
        <w:gridCol w:w="176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7" w:type="dxa"/>
            <w:bottom w:w="0" w:type="dxa"/>
            <w:right w:w="17" w:type="dxa"/>
          </w:tblCellMar>
        </w:tblPrEx>
        <w:trPr>
          <w:trHeight w:val="384" w:hRule="atLeast"/>
          <w:tblHeader/>
          <w:jc w:val="center"/>
        </w:trPr>
        <w:tc>
          <w:tcPr>
            <w:tcW w:w="2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监测点位</w:t>
            </w:r>
          </w:p>
        </w:tc>
        <w:tc>
          <w:tcPr>
            <w:tcW w:w="2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监测因子</w:t>
            </w:r>
          </w:p>
        </w:tc>
        <w:tc>
          <w:tcPr>
            <w:tcW w:w="20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单位</w:t>
            </w:r>
          </w:p>
        </w:tc>
        <w:tc>
          <w:tcPr>
            <w:tcW w:w="1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监测结果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7" w:type="dxa"/>
            <w:bottom w:w="0" w:type="dxa"/>
            <w:right w:w="17" w:type="dxa"/>
          </w:tblCellMar>
        </w:tblPrEx>
        <w:trPr>
          <w:trHeight w:val="90" w:hRule="atLeast"/>
          <w:jc w:val="center"/>
        </w:trPr>
        <w:tc>
          <w:tcPr>
            <w:tcW w:w="2474" w:type="dxa"/>
            <w:vMerge w:val="restart"/>
            <w:tcBorders>
              <w:tl2br w:val="nil"/>
              <w:tr2bl w:val="nil"/>
            </w:tcBorders>
            <w:noWrap w:val="0"/>
            <w:vAlign w:val="center"/>
          </w:tcPr>
          <w:p>
            <w:pPr>
              <w:pStyle w:val="13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2"/>
                <w:sz w:val="21"/>
                <w:szCs w:val="21"/>
                <w:lang w:val="en-US" w:eastAsia="zh-CN" w:bidi="ar-SA"/>
              </w:rPr>
              <w:t>花垣工业集中区污水处理厂排污口上游500米处</w:t>
            </w:r>
          </w:p>
        </w:tc>
        <w:tc>
          <w:tcPr>
            <w:tcW w:w="2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pH</w:t>
            </w:r>
          </w:p>
        </w:tc>
        <w:tc>
          <w:tcPr>
            <w:tcW w:w="20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无量纲</w:t>
            </w:r>
          </w:p>
        </w:tc>
        <w:tc>
          <w:tcPr>
            <w:tcW w:w="1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7" w:type="dxa"/>
            <w:bottom w:w="0" w:type="dxa"/>
            <w:right w:w="17" w:type="dxa"/>
          </w:tblCellMar>
        </w:tblPrEx>
        <w:trPr>
          <w:trHeight w:val="90" w:hRule="atLeast"/>
          <w:jc w:val="center"/>
        </w:trPr>
        <w:tc>
          <w:tcPr>
            <w:tcW w:w="2474" w:type="dxa"/>
            <w:vMerge w:val="continue"/>
            <w:tcBorders>
              <w:tl2br w:val="nil"/>
              <w:tr2bl w:val="nil"/>
            </w:tcBorders>
            <w:noWrap w:val="0"/>
            <w:vAlign w:val="center"/>
          </w:tcPr>
          <w:p>
            <w:pPr>
              <w:pStyle w:val="13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kern w:val="0"/>
                <w:sz w:val="21"/>
                <w:szCs w:val="21"/>
                <w:highlight w:val="none"/>
                <w:lang w:val="en-US" w:eastAsia="zh-CN"/>
              </w:rPr>
            </w:pPr>
          </w:p>
        </w:tc>
        <w:tc>
          <w:tcPr>
            <w:tcW w:w="2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铬</w:t>
            </w:r>
          </w:p>
        </w:tc>
        <w:tc>
          <w:tcPr>
            <w:tcW w:w="20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mg/kg</w:t>
            </w:r>
          </w:p>
        </w:tc>
        <w:tc>
          <w:tcPr>
            <w:tcW w:w="1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PrEx>
        <w:trPr>
          <w:trHeight w:val="273" w:hRule="atLeast"/>
          <w:jc w:val="center"/>
        </w:trPr>
        <w:tc>
          <w:tcPr>
            <w:tcW w:w="2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p>
        </w:tc>
        <w:tc>
          <w:tcPr>
            <w:tcW w:w="2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铅</w:t>
            </w:r>
          </w:p>
        </w:tc>
        <w:tc>
          <w:tcPr>
            <w:tcW w:w="20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mg/kg</w:t>
            </w:r>
          </w:p>
        </w:tc>
        <w:tc>
          <w:tcPr>
            <w:tcW w:w="1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96.9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7" w:type="dxa"/>
            <w:bottom w:w="0" w:type="dxa"/>
            <w:right w:w="17" w:type="dxa"/>
          </w:tblCellMar>
        </w:tblPrEx>
        <w:trPr>
          <w:trHeight w:val="273" w:hRule="atLeast"/>
          <w:jc w:val="center"/>
        </w:trPr>
        <w:tc>
          <w:tcPr>
            <w:tcW w:w="2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p>
        </w:tc>
        <w:tc>
          <w:tcPr>
            <w:tcW w:w="2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锌</w:t>
            </w:r>
          </w:p>
        </w:tc>
        <w:tc>
          <w:tcPr>
            <w:tcW w:w="20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mg/kg</w:t>
            </w:r>
          </w:p>
        </w:tc>
        <w:tc>
          <w:tcPr>
            <w:tcW w:w="1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7" w:type="dxa"/>
            <w:bottom w:w="0" w:type="dxa"/>
            <w:right w:w="17" w:type="dxa"/>
          </w:tblCellMar>
        </w:tblPrEx>
        <w:trPr>
          <w:trHeight w:val="273" w:hRule="atLeast"/>
          <w:jc w:val="center"/>
        </w:trPr>
        <w:tc>
          <w:tcPr>
            <w:tcW w:w="2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p>
        </w:tc>
        <w:tc>
          <w:tcPr>
            <w:tcW w:w="2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六价铬</w:t>
            </w:r>
          </w:p>
        </w:tc>
        <w:tc>
          <w:tcPr>
            <w:tcW w:w="20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mg/kg</w:t>
            </w:r>
          </w:p>
        </w:tc>
        <w:tc>
          <w:tcPr>
            <w:tcW w:w="1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0.5L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7" w:type="dxa"/>
            <w:bottom w:w="0" w:type="dxa"/>
            <w:right w:w="17" w:type="dxa"/>
          </w:tblCellMar>
        </w:tblPrEx>
        <w:trPr>
          <w:trHeight w:val="273" w:hRule="atLeast"/>
          <w:jc w:val="center"/>
        </w:trPr>
        <w:tc>
          <w:tcPr>
            <w:tcW w:w="2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p>
        </w:tc>
        <w:tc>
          <w:tcPr>
            <w:tcW w:w="2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锰</w:t>
            </w:r>
          </w:p>
        </w:tc>
        <w:tc>
          <w:tcPr>
            <w:tcW w:w="20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mg/kg</w:t>
            </w:r>
          </w:p>
        </w:tc>
        <w:tc>
          <w:tcPr>
            <w:tcW w:w="1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893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PrEx>
        <w:trPr>
          <w:trHeight w:val="273" w:hRule="atLeast"/>
          <w:jc w:val="center"/>
        </w:trPr>
        <w:tc>
          <w:tcPr>
            <w:tcW w:w="2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p>
        </w:tc>
        <w:tc>
          <w:tcPr>
            <w:tcW w:w="2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钒</w:t>
            </w:r>
          </w:p>
        </w:tc>
        <w:tc>
          <w:tcPr>
            <w:tcW w:w="20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mg/kg</w:t>
            </w:r>
          </w:p>
        </w:tc>
        <w:tc>
          <w:tcPr>
            <w:tcW w:w="1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7" w:type="dxa"/>
            <w:bottom w:w="0" w:type="dxa"/>
            <w:right w:w="17" w:type="dxa"/>
          </w:tblCellMar>
        </w:tblPrEx>
        <w:trPr>
          <w:trHeight w:val="90" w:hRule="atLeast"/>
          <w:jc w:val="center"/>
        </w:trPr>
        <w:tc>
          <w:tcPr>
            <w:tcW w:w="2474" w:type="dxa"/>
            <w:vMerge w:val="restart"/>
            <w:tcBorders>
              <w:tl2br w:val="nil"/>
              <w:tr2bl w:val="nil"/>
            </w:tcBorders>
            <w:noWrap w:val="0"/>
            <w:vAlign w:val="center"/>
          </w:tcPr>
          <w:p>
            <w:pPr>
              <w:pStyle w:val="13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color w:val="auto"/>
                <w:kern w:val="2"/>
                <w:sz w:val="21"/>
                <w:szCs w:val="21"/>
                <w:lang w:val="en-US" w:eastAsia="zh-CN" w:bidi="ar-SA"/>
              </w:rPr>
              <w:t>花垣工业集中区污水处理厂排污口下游1500米处</w:t>
            </w:r>
          </w:p>
        </w:tc>
        <w:tc>
          <w:tcPr>
            <w:tcW w:w="2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pH</w:t>
            </w:r>
          </w:p>
        </w:tc>
        <w:tc>
          <w:tcPr>
            <w:tcW w:w="20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无量纲</w:t>
            </w:r>
          </w:p>
        </w:tc>
        <w:tc>
          <w:tcPr>
            <w:tcW w:w="1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7" w:type="dxa"/>
            <w:bottom w:w="0" w:type="dxa"/>
            <w:right w:w="17" w:type="dxa"/>
          </w:tblCellMar>
        </w:tblPrEx>
        <w:trPr>
          <w:trHeight w:val="90" w:hRule="atLeast"/>
          <w:jc w:val="center"/>
        </w:trPr>
        <w:tc>
          <w:tcPr>
            <w:tcW w:w="2474" w:type="dxa"/>
            <w:vMerge w:val="continue"/>
            <w:tcBorders>
              <w:tl2br w:val="nil"/>
              <w:tr2bl w:val="nil"/>
            </w:tcBorders>
            <w:noWrap w:val="0"/>
            <w:vAlign w:val="center"/>
          </w:tcPr>
          <w:p>
            <w:pPr>
              <w:pStyle w:val="130"/>
              <w:keepNext w:val="0"/>
              <w:keepLines w:val="0"/>
              <w:pageBreakBefore w:val="0"/>
              <w:widowControl w:val="0"/>
              <w:kinsoku/>
              <w:wordWrap/>
              <w:overflowPunct/>
              <w:topLinePunct w:val="0"/>
              <w:autoSpaceDE/>
              <w:autoSpaceDN/>
              <w:bidi w:val="0"/>
              <w:adjustRightInd/>
              <w:snapToGrid/>
              <w:spacing w:line="320" w:lineRule="exact"/>
              <w:ind w:firstLine="0" w:firstLineChars="0"/>
              <w:textAlignment w:val="auto"/>
              <w:rPr>
                <w:rFonts w:hint="default" w:ascii="Times New Roman" w:hAnsi="Times New Roman" w:eastAsia="宋体" w:cs="Times New Roman"/>
                <w:color w:val="auto"/>
                <w:kern w:val="0"/>
                <w:sz w:val="21"/>
                <w:szCs w:val="21"/>
                <w:highlight w:val="none"/>
                <w:lang w:val="en-US" w:eastAsia="zh-CN"/>
              </w:rPr>
            </w:pPr>
          </w:p>
        </w:tc>
        <w:tc>
          <w:tcPr>
            <w:tcW w:w="2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铬</w:t>
            </w:r>
          </w:p>
        </w:tc>
        <w:tc>
          <w:tcPr>
            <w:tcW w:w="20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mg/kg</w:t>
            </w:r>
          </w:p>
        </w:tc>
        <w:tc>
          <w:tcPr>
            <w:tcW w:w="1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7" w:type="dxa"/>
            <w:bottom w:w="0" w:type="dxa"/>
            <w:right w:w="17" w:type="dxa"/>
          </w:tblCellMar>
        </w:tblPrEx>
        <w:trPr>
          <w:trHeight w:val="273" w:hRule="atLeast"/>
          <w:jc w:val="center"/>
        </w:trPr>
        <w:tc>
          <w:tcPr>
            <w:tcW w:w="2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p>
        </w:tc>
        <w:tc>
          <w:tcPr>
            <w:tcW w:w="2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铅</w:t>
            </w:r>
          </w:p>
        </w:tc>
        <w:tc>
          <w:tcPr>
            <w:tcW w:w="20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mg/kg</w:t>
            </w:r>
          </w:p>
        </w:tc>
        <w:tc>
          <w:tcPr>
            <w:tcW w:w="1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PrEx>
        <w:trPr>
          <w:trHeight w:val="273" w:hRule="atLeast"/>
          <w:jc w:val="center"/>
        </w:trPr>
        <w:tc>
          <w:tcPr>
            <w:tcW w:w="2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p>
        </w:tc>
        <w:tc>
          <w:tcPr>
            <w:tcW w:w="2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锌</w:t>
            </w:r>
          </w:p>
        </w:tc>
        <w:tc>
          <w:tcPr>
            <w:tcW w:w="20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mg/kg</w:t>
            </w:r>
          </w:p>
        </w:tc>
        <w:tc>
          <w:tcPr>
            <w:tcW w:w="1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7" w:type="dxa"/>
            <w:bottom w:w="0" w:type="dxa"/>
            <w:right w:w="17" w:type="dxa"/>
          </w:tblCellMar>
        </w:tblPrEx>
        <w:trPr>
          <w:trHeight w:val="273" w:hRule="atLeast"/>
          <w:jc w:val="center"/>
        </w:trPr>
        <w:tc>
          <w:tcPr>
            <w:tcW w:w="2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p>
        </w:tc>
        <w:tc>
          <w:tcPr>
            <w:tcW w:w="2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六价铬</w:t>
            </w:r>
          </w:p>
        </w:tc>
        <w:tc>
          <w:tcPr>
            <w:tcW w:w="20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mg/kg</w:t>
            </w:r>
          </w:p>
        </w:tc>
        <w:tc>
          <w:tcPr>
            <w:tcW w:w="1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0.5L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7" w:type="dxa"/>
            <w:bottom w:w="0" w:type="dxa"/>
            <w:right w:w="17" w:type="dxa"/>
          </w:tblCellMar>
        </w:tblPrEx>
        <w:trPr>
          <w:trHeight w:val="273" w:hRule="atLeast"/>
          <w:jc w:val="center"/>
        </w:trPr>
        <w:tc>
          <w:tcPr>
            <w:tcW w:w="2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p>
        </w:tc>
        <w:tc>
          <w:tcPr>
            <w:tcW w:w="2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锰</w:t>
            </w:r>
          </w:p>
        </w:tc>
        <w:tc>
          <w:tcPr>
            <w:tcW w:w="20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mg/kg</w:t>
            </w:r>
          </w:p>
        </w:tc>
        <w:tc>
          <w:tcPr>
            <w:tcW w:w="1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649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17" w:type="dxa"/>
            <w:bottom w:w="0" w:type="dxa"/>
            <w:right w:w="17" w:type="dxa"/>
          </w:tblCellMar>
        </w:tblPrEx>
        <w:trPr>
          <w:trHeight w:val="273" w:hRule="atLeast"/>
          <w:jc w:val="center"/>
        </w:trPr>
        <w:tc>
          <w:tcPr>
            <w:tcW w:w="2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p>
        </w:tc>
        <w:tc>
          <w:tcPr>
            <w:tcW w:w="23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钒</w:t>
            </w:r>
          </w:p>
        </w:tc>
        <w:tc>
          <w:tcPr>
            <w:tcW w:w="209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mg/kg</w:t>
            </w:r>
          </w:p>
        </w:tc>
        <w:tc>
          <w:tcPr>
            <w:tcW w:w="17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156</w:t>
            </w:r>
          </w:p>
        </w:tc>
      </w:tr>
    </w:tbl>
    <w:p>
      <w:pPr>
        <w:ind w:firstLine="480"/>
        <w:rPr>
          <w:rFonts w:hint="default" w:eastAsia="宋体"/>
          <w:color w:val="000000"/>
          <w:lang w:val="en-US" w:eastAsia="zh-CN"/>
        </w:rPr>
      </w:pPr>
      <w:r>
        <w:rPr>
          <w:rFonts w:hint="eastAsia"/>
          <w:color w:val="000000"/>
          <w:lang w:val="en-US" w:eastAsia="zh-CN"/>
        </w:rPr>
        <w:t>本项目底泥监测值作为背景值，不进行现状达标评价</w:t>
      </w:r>
    </w:p>
    <w:p>
      <w:pPr>
        <w:ind w:firstLine="480"/>
        <w:rPr>
          <w:rFonts w:hint="eastAsia"/>
          <w:color w:val="000000"/>
        </w:rPr>
      </w:pPr>
    </w:p>
    <w:p>
      <w:pPr>
        <w:pStyle w:val="7"/>
        <w:ind w:firstLine="643"/>
        <w:rPr>
          <w:color w:val="00000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26" w:charSpace="0"/>
        </w:sectPr>
      </w:pPr>
      <w:bookmarkStart w:id="268" w:name="_Toc29308666"/>
    </w:p>
    <w:p>
      <w:pPr>
        <w:pStyle w:val="7"/>
        <w:ind w:firstLine="643"/>
        <w:rPr>
          <w:rFonts w:hint="eastAsia"/>
          <w:color w:val="000000"/>
        </w:rPr>
      </w:pPr>
      <w:bookmarkStart w:id="269" w:name="_Toc28345"/>
      <w:r>
        <w:rPr>
          <w:rFonts w:hint="eastAsia"/>
          <w:color w:val="000000"/>
        </w:rPr>
        <w:t>第</w:t>
      </w:r>
      <w:r>
        <w:rPr>
          <w:color w:val="000000"/>
        </w:rPr>
        <w:t>4</w:t>
      </w:r>
      <w:r>
        <w:rPr>
          <w:rFonts w:hint="eastAsia"/>
          <w:color w:val="000000"/>
        </w:rPr>
        <w:t>章  环境影响预测与评价</w:t>
      </w:r>
      <w:bookmarkEnd w:id="268"/>
      <w:bookmarkEnd w:id="269"/>
    </w:p>
    <w:p>
      <w:pPr>
        <w:pStyle w:val="86"/>
        <w:spacing w:before="163" w:after="163"/>
        <w:rPr>
          <w:rFonts w:hint="eastAsia"/>
        </w:rPr>
      </w:pPr>
      <w:bookmarkStart w:id="270" w:name="_Toc19823"/>
      <w:bookmarkStart w:id="271" w:name="_Toc29308667"/>
      <w:r>
        <w:t>4</w:t>
      </w:r>
      <w:r>
        <w:rPr>
          <w:rFonts w:hint="eastAsia"/>
        </w:rPr>
        <w:t>.1工程施工期环境影响分析评价</w:t>
      </w:r>
      <w:bookmarkEnd w:id="270"/>
      <w:bookmarkEnd w:id="271"/>
    </w:p>
    <w:p>
      <w:pPr>
        <w:bidi w:val="0"/>
        <w:rPr>
          <w:rFonts w:hint="eastAsia"/>
          <w:lang w:val="en-US" w:eastAsia="zh-CN"/>
        </w:rPr>
      </w:pPr>
      <w:r>
        <w:rPr>
          <w:rFonts w:hint="eastAsia"/>
          <w:lang w:val="en-US" w:eastAsia="zh-CN"/>
        </w:rPr>
        <w:t>本项目已经建设完成，施工期已经完毕，本次仅对施工期进行回顾性分析</w:t>
      </w:r>
    </w:p>
    <w:p>
      <w:pPr>
        <w:pStyle w:val="8"/>
        <w:spacing w:before="163"/>
        <w:rPr>
          <w:rFonts w:hint="eastAsia"/>
          <w:b w:val="0"/>
          <w:color w:val="auto"/>
          <w:kern w:val="0"/>
        </w:rPr>
      </w:pPr>
      <w:r>
        <w:rPr>
          <w:color w:val="auto"/>
        </w:rPr>
        <w:t>4</w:t>
      </w:r>
      <w:r>
        <w:rPr>
          <w:rFonts w:hint="eastAsia"/>
          <w:color w:val="auto"/>
        </w:rPr>
        <w:t>.1.1  工程施工期大气环境影响分析</w:t>
      </w:r>
    </w:p>
    <w:p>
      <w:pPr>
        <w:ind w:firstLine="480"/>
        <w:rPr>
          <w:rFonts w:hint="eastAsia"/>
          <w:color w:val="auto"/>
          <w:u w:val="single"/>
        </w:rPr>
      </w:pPr>
      <w:r>
        <w:rPr>
          <w:rFonts w:hint="eastAsia"/>
          <w:color w:val="auto"/>
          <w:kern w:val="0"/>
          <w:u w:val="single"/>
          <w:lang w:eastAsia="zh-CN"/>
        </w:rPr>
        <w:t>根据调查，项目</w:t>
      </w:r>
      <w:r>
        <w:rPr>
          <w:rFonts w:hint="eastAsia"/>
          <w:color w:val="auto"/>
          <w:kern w:val="0"/>
          <w:u w:val="single"/>
          <w:lang w:val="en-US" w:eastAsia="zh-CN"/>
        </w:rPr>
        <w:t>污水处理站</w:t>
      </w:r>
      <w:r>
        <w:rPr>
          <w:rFonts w:hint="eastAsia"/>
          <w:color w:val="auto"/>
          <w:kern w:val="0"/>
          <w:u w:val="single"/>
          <w:lang w:eastAsia="zh-CN"/>
        </w:rPr>
        <w:t>施工期项目周边</w:t>
      </w:r>
      <w:r>
        <w:rPr>
          <w:rFonts w:hint="eastAsia"/>
          <w:color w:val="auto"/>
          <w:kern w:val="0"/>
          <w:u w:val="single"/>
          <w:lang w:val="en-US" w:eastAsia="zh-CN"/>
        </w:rPr>
        <w:t>200米范围内无居民点等声环境敏感目标</w:t>
      </w:r>
      <w:r>
        <w:rPr>
          <w:rFonts w:hint="eastAsia"/>
          <w:color w:val="auto"/>
          <w:kern w:val="0"/>
          <w:u w:val="single"/>
        </w:rPr>
        <w:t>，</w:t>
      </w:r>
      <w:r>
        <w:rPr>
          <w:rFonts w:hint="eastAsia"/>
          <w:color w:val="auto"/>
          <w:kern w:val="0"/>
          <w:u w:val="single"/>
          <w:lang w:val="en-US" w:eastAsia="zh-CN"/>
        </w:rPr>
        <w:t>管网施工周边有企业生活办公区，</w:t>
      </w:r>
      <w:r>
        <w:rPr>
          <w:rFonts w:hint="eastAsia"/>
          <w:color w:val="auto"/>
          <w:kern w:val="0"/>
          <w:u w:val="single"/>
          <w:lang w:eastAsia="zh-CN"/>
        </w:rPr>
        <w:t>根据建设单位提供资料，</w:t>
      </w:r>
      <w:r>
        <w:rPr>
          <w:rFonts w:hint="eastAsia"/>
          <w:color w:val="auto"/>
          <w:kern w:val="0"/>
          <w:u w:val="single"/>
        </w:rPr>
        <w:t>项目</w:t>
      </w:r>
      <w:r>
        <w:rPr>
          <w:rFonts w:hint="eastAsia"/>
          <w:color w:val="auto"/>
          <w:kern w:val="0"/>
          <w:u w:val="single"/>
          <w:lang w:eastAsia="zh-CN"/>
        </w:rPr>
        <w:t>在</w:t>
      </w:r>
      <w:r>
        <w:rPr>
          <w:rFonts w:hint="eastAsia"/>
          <w:color w:val="auto"/>
          <w:kern w:val="0"/>
          <w:u w:val="single"/>
        </w:rPr>
        <w:t>建设施工过程中</w:t>
      </w:r>
      <w:r>
        <w:rPr>
          <w:rFonts w:hint="eastAsia"/>
          <w:color w:val="auto"/>
          <w:kern w:val="0"/>
          <w:u w:val="single"/>
          <w:lang w:eastAsia="zh-CN"/>
        </w:rPr>
        <w:t>主要</w:t>
      </w:r>
      <w:r>
        <w:rPr>
          <w:rFonts w:hint="eastAsia"/>
          <w:color w:val="auto"/>
          <w:kern w:val="0"/>
          <w:u w:val="single"/>
        </w:rPr>
        <w:t>通过加强洒水降尘、设置相应的车辆冲洗设施等措施。</w:t>
      </w:r>
      <w:r>
        <w:rPr>
          <w:rFonts w:hint="eastAsia"/>
          <w:color w:val="auto"/>
          <w:u w:val="single"/>
          <w:lang w:eastAsia="zh-CN"/>
        </w:rPr>
        <w:t>项目施工期已落实了</w:t>
      </w:r>
      <w:r>
        <w:rPr>
          <w:color w:val="auto"/>
          <w:u w:val="single"/>
        </w:rPr>
        <w:t>各项大气污染防治措施，较大程度地减少</w:t>
      </w:r>
      <w:r>
        <w:rPr>
          <w:rFonts w:hint="eastAsia"/>
          <w:color w:val="auto"/>
          <w:u w:val="single"/>
          <w:lang w:eastAsia="zh-CN"/>
        </w:rPr>
        <w:t>施工期</w:t>
      </w:r>
      <w:r>
        <w:rPr>
          <w:color w:val="auto"/>
          <w:u w:val="single"/>
        </w:rPr>
        <w:t>粉尘和废气的排放量，</w:t>
      </w:r>
      <w:r>
        <w:rPr>
          <w:rFonts w:hint="eastAsia"/>
          <w:color w:val="auto"/>
          <w:u w:val="single"/>
          <w:lang w:eastAsia="zh-CN"/>
        </w:rPr>
        <w:t>未对环境造成污染影响，根据调查施工期未受到关于施工废气对环境影响的投诉，也未遗留有环境问题</w:t>
      </w:r>
      <w:r>
        <w:rPr>
          <w:color w:val="auto"/>
          <w:u w:val="single"/>
        </w:rPr>
        <w:t>。</w:t>
      </w:r>
    </w:p>
    <w:p>
      <w:pPr>
        <w:pStyle w:val="8"/>
        <w:spacing w:before="163"/>
        <w:rPr>
          <w:rFonts w:hint="eastAsia"/>
          <w:color w:val="auto"/>
        </w:rPr>
      </w:pPr>
      <w:r>
        <w:rPr>
          <w:color w:val="auto"/>
        </w:rPr>
        <w:t>4</w:t>
      </w:r>
      <w:r>
        <w:rPr>
          <w:rFonts w:hint="eastAsia"/>
          <w:color w:val="auto"/>
        </w:rPr>
        <w:t>.1.2  工程施工期水环境影响分析</w:t>
      </w:r>
    </w:p>
    <w:p>
      <w:pPr>
        <w:ind w:firstLine="480"/>
        <w:rPr>
          <w:color w:val="auto"/>
          <w:u w:val="single"/>
        </w:rPr>
      </w:pPr>
      <w:r>
        <w:rPr>
          <w:color w:val="auto"/>
        </w:rPr>
        <w:t>施工废水</w:t>
      </w:r>
      <w:r>
        <w:rPr>
          <w:rFonts w:hint="eastAsia"/>
          <w:color w:val="auto"/>
        </w:rPr>
        <w:t>主要</w:t>
      </w:r>
      <w:r>
        <w:rPr>
          <w:rFonts w:hint="eastAsia"/>
          <w:color w:val="auto"/>
          <w:lang w:eastAsia="zh-CN"/>
        </w:rPr>
        <w:t>未</w:t>
      </w:r>
      <w:r>
        <w:rPr>
          <w:rFonts w:hint="eastAsia"/>
          <w:color w:val="auto"/>
        </w:rPr>
        <w:t>地基挖掘时的地下水和浇注浆等的冲洗水。</w:t>
      </w:r>
      <w:r>
        <w:rPr>
          <w:rFonts w:hint="eastAsia"/>
          <w:color w:val="auto"/>
          <w:u w:val="single"/>
        </w:rPr>
        <w:t>施工期生产废水应经临时沉淀池沉淀后上清液用于场地洒水降尘，底层沉淀的泥浆干燥后作为建筑垃圾清运</w:t>
      </w:r>
      <w:r>
        <w:rPr>
          <w:rFonts w:hint="eastAsia" w:hAnsi="宋体"/>
          <w:color w:val="auto"/>
          <w:u w:val="single"/>
        </w:rPr>
        <w:t>，通过上述措施施工期本工程对附近环境影响较小</w:t>
      </w:r>
      <w:r>
        <w:rPr>
          <w:rFonts w:hint="eastAsia" w:hAnsi="宋体"/>
          <w:color w:val="auto"/>
          <w:u w:val="single"/>
          <w:lang w:eastAsia="zh-CN"/>
        </w:rPr>
        <w:t>，未对环境造成污染影响，根据调查施工期未受到关于施工废水对环境影响的投诉，也未遗留有环境问题</w:t>
      </w:r>
      <w:r>
        <w:rPr>
          <w:rFonts w:hint="eastAsia" w:hAnsi="宋体"/>
          <w:color w:val="auto"/>
          <w:u w:val="single"/>
        </w:rPr>
        <w:t>。</w:t>
      </w:r>
    </w:p>
    <w:p>
      <w:pPr>
        <w:pStyle w:val="8"/>
        <w:spacing w:before="163"/>
        <w:rPr>
          <w:color w:val="auto"/>
        </w:rPr>
      </w:pPr>
      <w:r>
        <w:rPr>
          <w:color w:val="auto"/>
        </w:rPr>
        <w:t>4</w:t>
      </w:r>
      <w:r>
        <w:rPr>
          <w:rFonts w:hint="eastAsia"/>
          <w:color w:val="auto"/>
        </w:rPr>
        <w:t>.1.3  工程施工期噪声环境影响分析</w:t>
      </w:r>
    </w:p>
    <w:p>
      <w:pPr>
        <w:ind w:firstLine="480"/>
        <w:rPr>
          <w:b/>
          <w:color w:val="auto"/>
          <w:kern w:val="0"/>
          <w:u w:val="single"/>
        </w:rPr>
      </w:pPr>
      <w:r>
        <w:rPr>
          <w:color w:val="auto"/>
          <w:kern w:val="0"/>
          <w:u w:val="single"/>
        </w:rPr>
        <w:t>工程在施工期的主要噪声源是各类施工机械的辐射噪声以及原材料运输时车辆引起的交通噪声。施工机械都具有噪声高、无规则、突发性等特点。</w:t>
      </w:r>
    </w:p>
    <w:p>
      <w:pPr>
        <w:ind w:firstLine="480"/>
        <w:rPr>
          <w:rFonts w:hint="eastAsia"/>
          <w:color w:val="auto"/>
          <w:u w:val="single"/>
        </w:rPr>
      </w:pPr>
      <w:r>
        <w:rPr>
          <w:rFonts w:hint="eastAsia"/>
          <w:color w:val="auto"/>
          <w:u w:val="single"/>
        </w:rPr>
        <w:t>本项目距离</w:t>
      </w:r>
      <w:r>
        <w:rPr>
          <w:rFonts w:hint="eastAsia"/>
          <w:color w:val="auto"/>
          <w:u w:val="single"/>
          <w:lang w:val="en-US" w:eastAsia="zh-CN"/>
        </w:rPr>
        <w:t>200米范围内无居民点</w:t>
      </w:r>
      <w:r>
        <w:rPr>
          <w:rFonts w:hint="eastAsia"/>
          <w:color w:val="auto"/>
          <w:kern w:val="0"/>
          <w:u w:val="single"/>
        </w:rPr>
        <w:t>，污水施工过程对区域声环境影响较小</w:t>
      </w:r>
      <w:r>
        <w:rPr>
          <w:rFonts w:hint="eastAsia"/>
          <w:color w:val="auto"/>
          <w:kern w:val="0"/>
          <w:u w:val="single"/>
          <w:lang w:eastAsia="zh-CN"/>
        </w:rPr>
        <w:t>，</w:t>
      </w:r>
      <w:r>
        <w:rPr>
          <w:rFonts w:hint="eastAsia"/>
          <w:color w:val="auto"/>
          <w:kern w:val="0"/>
          <w:u w:val="single"/>
          <w:lang w:val="en-US" w:eastAsia="zh-CN"/>
        </w:rPr>
        <w:t>项目未在施工期收到噪声对环境影响的投诉</w:t>
      </w:r>
      <w:r>
        <w:rPr>
          <w:rFonts w:hint="eastAsia"/>
          <w:color w:val="auto"/>
          <w:kern w:val="0"/>
          <w:u w:val="single"/>
        </w:rPr>
        <w:t>。</w:t>
      </w:r>
    </w:p>
    <w:p>
      <w:pPr>
        <w:pStyle w:val="8"/>
        <w:spacing w:before="163"/>
        <w:rPr>
          <w:rFonts w:hint="eastAsia"/>
          <w:color w:val="auto"/>
        </w:rPr>
      </w:pPr>
      <w:r>
        <w:rPr>
          <w:color w:val="auto"/>
        </w:rPr>
        <w:t>4</w:t>
      </w:r>
      <w:r>
        <w:rPr>
          <w:rFonts w:hint="eastAsia"/>
          <w:color w:val="auto"/>
        </w:rPr>
        <w:t>.1.4  工程施工期固体废物</w:t>
      </w:r>
      <w:r>
        <w:rPr>
          <w:rFonts w:hint="eastAsia"/>
          <w:color w:val="auto"/>
          <w:lang w:eastAsia="zh-CN"/>
        </w:rPr>
        <w:t>回顾性</w:t>
      </w:r>
      <w:r>
        <w:rPr>
          <w:rFonts w:hint="eastAsia"/>
          <w:color w:val="auto"/>
        </w:rPr>
        <w:t>影响分析</w:t>
      </w:r>
    </w:p>
    <w:p>
      <w:pPr>
        <w:ind w:firstLine="480"/>
        <w:rPr>
          <w:rFonts w:hint="eastAsia"/>
          <w:color w:val="auto"/>
          <w:kern w:val="0"/>
          <w:u w:val="single"/>
        </w:rPr>
      </w:pPr>
      <w:r>
        <w:rPr>
          <w:rFonts w:hint="eastAsia"/>
          <w:color w:val="auto"/>
          <w:u w:val="single"/>
          <w:lang w:val="en-US" w:eastAsia="zh-CN"/>
        </w:rPr>
        <w:t>根据调查，施工期建设单位</w:t>
      </w:r>
      <w:r>
        <w:rPr>
          <w:rFonts w:hint="eastAsia"/>
          <w:color w:val="auto"/>
          <w:u w:val="single"/>
        </w:rPr>
        <w:t>对其做简易遮挡避免扬尘，并且及时委托渣土运输部门</w:t>
      </w:r>
      <w:r>
        <w:rPr>
          <w:rFonts w:hint="eastAsia"/>
          <w:color w:val="auto"/>
          <w:u w:val="single"/>
          <w:lang w:eastAsia="zh-CN"/>
        </w:rPr>
        <w:t>外运至</w:t>
      </w:r>
      <w:r>
        <w:rPr>
          <w:rFonts w:hint="eastAsia"/>
          <w:color w:val="auto"/>
          <w:u w:val="single"/>
        </w:rPr>
        <w:t>渣土回填，运输过程工程车要求为全密闭车辆，不允许将工程弃土随意脱落至道路地面，污染道路，建设方在按上述要求处理本工程土石方后，工程土石方对环境影响较小</w:t>
      </w:r>
      <w:r>
        <w:rPr>
          <w:rFonts w:hint="eastAsia"/>
          <w:color w:val="auto"/>
          <w:u w:val="single"/>
          <w:lang w:eastAsia="zh-CN"/>
        </w:rPr>
        <w:t>；</w:t>
      </w:r>
      <w:r>
        <w:rPr>
          <w:rFonts w:hint="eastAsia"/>
          <w:color w:val="auto"/>
          <w:kern w:val="0"/>
          <w:u w:val="single"/>
        </w:rPr>
        <w:t>建筑垃圾</w:t>
      </w:r>
      <w:r>
        <w:rPr>
          <w:color w:val="auto"/>
          <w:kern w:val="0"/>
          <w:u w:val="single"/>
        </w:rPr>
        <w:t>施工后尽可能回收利用，其余无法综合利用建筑垃圾运至当地渣土管理部门指定地点处置</w:t>
      </w:r>
      <w:r>
        <w:rPr>
          <w:rFonts w:hint="eastAsia"/>
          <w:color w:val="auto"/>
          <w:kern w:val="0"/>
          <w:u w:val="single"/>
          <w:lang w:eastAsia="zh-CN"/>
        </w:rPr>
        <w:t>；生活垃圾</w:t>
      </w:r>
      <w:r>
        <w:rPr>
          <w:rFonts w:hint="eastAsia"/>
          <w:color w:val="auto"/>
          <w:kern w:val="0"/>
          <w:u w:val="single"/>
        </w:rPr>
        <w:t>在施工营地设立垃圾贮存产所，暂存后由环卫部分统一清运。</w:t>
      </w:r>
    </w:p>
    <w:p>
      <w:pPr>
        <w:pStyle w:val="2"/>
        <w:rPr>
          <w:rFonts w:hint="eastAsia" w:eastAsia="宋体"/>
          <w:color w:val="auto"/>
          <w:lang w:eastAsia="zh-CN"/>
        </w:rPr>
      </w:pPr>
      <w:r>
        <w:rPr>
          <w:rFonts w:hint="eastAsia"/>
          <w:color w:val="auto"/>
          <w:kern w:val="0"/>
          <w:u w:val="single"/>
          <w:lang w:eastAsia="zh-CN"/>
        </w:rPr>
        <w:t>根据现场踏勘，项目未发现遗留的弃土弃渣，施工期未遗留有环境问题。</w:t>
      </w:r>
    </w:p>
    <w:p>
      <w:pPr>
        <w:widowControl w:val="0"/>
        <w:suppressAutoHyphens/>
        <w:wordWrap w:val="0"/>
        <w:topLinePunct/>
        <w:ind w:firstLine="480"/>
        <w:rPr>
          <w:rFonts w:hint="eastAsia" w:eastAsia="宋体"/>
          <w:color w:val="auto"/>
          <w:u w:val="single"/>
          <w:lang w:eastAsia="zh-CN"/>
        </w:rPr>
      </w:pPr>
      <w:r>
        <w:rPr>
          <w:rFonts w:hint="eastAsia"/>
          <w:color w:val="auto"/>
          <w:u w:val="single"/>
        </w:rPr>
        <w:t>本工程施工期生态环境影响主要表现为工程的永久占地以及临时占地，但由于工程区域内周边附近生态环境相似，因工程永久占地受到影响的生物可移到非施工区相似生态环境，其生存不会受到威胁，建设方在合理施工的基础上工程施工对生态环境影响较小。</w:t>
      </w:r>
      <w:r>
        <w:rPr>
          <w:rFonts w:hint="eastAsia"/>
          <w:color w:val="auto"/>
          <w:u w:val="single"/>
          <w:lang w:eastAsia="zh-CN"/>
        </w:rPr>
        <w:t>根据现场踏勘，项目现场已进行了场地硬化，无施工期遗留的环境问题。</w:t>
      </w:r>
    </w:p>
    <w:p>
      <w:pPr>
        <w:pStyle w:val="86"/>
        <w:spacing w:before="163" w:after="163"/>
        <w:rPr>
          <w:rFonts w:hint="eastAsia"/>
        </w:rPr>
      </w:pPr>
      <w:bookmarkStart w:id="272" w:name="_Toc26174606"/>
      <w:bookmarkStart w:id="273" w:name="_Toc140"/>
      <w:r>
        <w:t>4.2</w:t>
      </w:r>
      <w:r>
        <w:rPr>
          <w:rFonts w:hint="eastAsia"/>
        </w:rPr>
        <w:t>工程运营期环境影响分析与评价</w:t>
      </w:r>
      <w:bookmarkEnd w:id="272"/>
      <w:bookmarkEnd w:id="273"/>
    </w:p>
    <w:p>
      <w:pPr>
        <w:keepNext/>
        <w:keepLines/>
        <w:widowControl w:val="0"/>
        <w:adjustRightInd w:val="0"/>
        <w:snapToGrid w:val="0"/>
        <w:spacing w:before="163" w:beforeLines="50"/>
        <w:ind w:firstLine="0" w:firstLineChars="0"/>
        <w:outlineLvl w:val="1"/>
        <w:rPr>
          <w:rFonts w:hint="eastAsia"/>
          <w:b/>
          <w:color w:val="000000"/>
          <w:sz w:val="28"/>
          <w:szCs w:val="32"/>
        </w:rPr>
      </w:pPr>
      <w:r>
        <w:rPr>
          <w:b/>
          <w:color w:val="000000"/>
          <w:sz w:val="28"/>
          <w:szCs w:val="32"/>
        </w:rPr>
        <w:t>4.2</w:t>
      </w:r>
      <w:r>
        <w:rPr>
          <w:rFonts w:hint="eastAsia"/>
          <w:b/>
          <w:color w:val="000000"/>
          <w:sz w:val="28"/>
          <w:szCs w:val="32"/>
        </w:rPr>
        <w:t>.1工程大气环境影响预测与评价</w:t>
      </w:r>
    </w:p>
    <w:p>
      <w:pPr>
        <w:ind w:firstLine="482"/>
        <w:rPr>
          <w:rFonts w:hint="eastAsia"/>
          <w:b/>
          <w:color w:val="000000"/>
          <w:kern w:val="0"/>
          <w:u w:val="single"/>
        </w:rPr>
      </w:pPr>
      <w:r>
        <w:rPr>
          <w:rFonts w:hint="eastAsia"/>
          <w:b/>
          <w:color w:val="000000"/>
          <w:kern w:val="0"/>
          <w:u w:val="single"/>
        </w:rPr>
        <w:t>（1）污水处理</w:t>
      </w:r>
      <w:r>
        <w:rPr>
          <w:rFonts w:hint="eastAsia"/>
          <w:b/>
          <w:color w:val="000000"/>
          <w:kern w:val="0"/>
          <w:u w:val="single"/>
          <w:lang w:eastAsia="zh-CN"/>
        </w:rPr>
        <w:t>站</w:t>
      </w:r>
      <w:r>
        <w:rPr>
          <w:rFonts w:hint="eastAsia"/>
          <w:b/>
          <w:color w:val="000000"/>
          <w:kern w:val="0"/>
          <w:u w:val="single"/>
        </w:rPr>
        <w:t>工程</w:t>
      </w:r>
    </w:p>
    <w:p>
      <w:pPr>
        <w:pStyle w:val="16"/>
        <w:ind w:left="0" w:firstLine="480" w:firstLineChars="200"/>
        <w:rPr>
          <w:rFonts w:hint="eastAsia" w:ascii="Times New Roman" w:hAnsi="Times New Roman" w:eastAsia="宋体" w:cs="Times New Roman"/>
          <w:color w:val="000000"/>
          <w:u w:val="single"/>
          <w:lang w:eastAsia="zh-CN"/>
        </w:rPr>
      </w:pPr>
      <w:r>
        <w:rPr>
          <w:rFonts w:hint="eastAsia" w:ascii="Times New Roman" w:hAnsi="Times New Roman" w:cs="Times New Roman"/>
          <w:color w:val="000000"/>
          <w:u w:val="single"/>
          <w:lang w:eastAsia="zh-CN"/>
        </w:rPr>
        <w:t>本项目</w:t>
      </w:r>
      <w:r>
        <w:rPr>
          <w:rFonts w:hint="eastAsia" w:ascii="Times New Roman" w:hAnsi="Times New Roman" w:cs="Times New Roman"/>
          <w:color w:val="000000"/>
          <w:u w:val="single"/>
        </w:rPr>
        <w:t>运营期污水主要污染物为重金属，</w:t>
      </w:r>
      <w:r>
        <w:rPr>
          <w:rFonts w:hint="eastAsia" w:ascii="Times New Roman" w:hAnsi="Times New Roman" w:cs="Times New Roman"/>
          <w:color w:val="000000"/>
          <w:u w:val="single"/>
          <w:lang w:eastAsia="zh-CN"/>
        </w:rPr>
        <w:t>项目采用工艺为“化学混凝沉淀分离+石英砂过滤”，不考虑对</w:t>
      </w:r>
      <w:r>
        <w:rPr>
          <w:rFonts w:hint="eastAsia" w:ascii="Times New Roman" w:hAnsi="Times New Roman" w:cs="Times New Roman"/>
          <w:color w:val="000000"/>
          <w:u w:val="single"/>
        </w:rPr>
        <w:t>有机物COD、BOD</w:t>
      </w:r>
      <w:r>
        <w:rPr>
          <w:rFonts w:hint="eastAsia" w:ascii="Times New Roman" w:hAnsi="Times New Roman" w:cs="Times New Roman"/>
          <w:color w:val="000000"/>
          <w:u w:val="single"/>
          <w:lang w:eastAsia="zh-CN"/>
        </w:rPr>
        <w:t>进行处理</w:t>
      </w:r>
      <w:r>
        <w:rPr>
          <w:rFonts w:hint="eastAsia" w:ascii="Times New Roman" w:hAnsi="Times New Roman" w:cs="Times New Roman"/>
          <w:color w:val="000000"/>
          <w:u w:val="single"/>
        </w:rPr>
        <w:t>，不会产生氨、硫化氢恶臭气体</w:t>
      </w:r>
      <w:r>
        <w:rPr>
          <w:rFonts w:hint="eastAsia" w:ascii="Times New Roman" w:hAnsi="Times New Roman" w:cs="Times New Roman"/>
          <w:color w:val="000000"/>
          <w:u w:val="single"/>
          <w:lang w:eastAsia="zh-CN"/>
        </w:rPr>
        <w:t>，项目在处理过程中会加入盐酸，会产生少量酸性气体挥发，为无组织排放，排放量较少，对环境影响可以接受，不会改变区域环境质量现状，本环评仅进行定性分析。</w:t>
      </w:r>
    </w:p>
    <w:p>
      <w:pPr>
        <w:ind w:firstLine="480"/>
        <w:rPr>
          <w:rFonts w:hint="eastAsia"/>
          <w:b/>
          <w:bCs/>
          <w:color w:val="000000"/>
          <w:kern w:val="0"/>
          <w:u w:val="single"/>
        </w:rPr>
      </w:pPr>
      <w:r>
        <w:rPr>
          <w:rFonts w:hint="eastAsia"/>
          <w:b/>
          <w:bCs/>
          <w:color w:val="000000"/>
          <w:kern w:val="0"/>
          <w:u w:val="single"/>
        </w:rPr>
        <w:t>2）食堂油烟</w:t>
      </w:r>
    </w:p>
    <w:p>
      <w:pPr>
        <w:ind w:firstLine="480"/>
        <w:rPr>
          <w:rFonts w:hint="eastAsia"/>
          <w:color w:val="000000"/>
          <w:kern w:val="0"/>
          <w:u w:val="single"/>
        </w:rPr>
      </w:pPr>
      <w:r>
        <w:rPr>
          <w:rFonts w:hint="eastAsia"/>
          <w:color w:val="000000"/>
          <w:kern w:val="0"/>
          <w:u w:val="single"/>
          <w:lang w:eastAsia="zh-CN"/>
        </w:rPr>
        <w:t>项目仅设置值班室，不设置有厨房，无油烟废气产生</w:t>
      </w:r>
      <w:r>
        <w:rPr>
          <w:rFonts w:hint="eastAsia"/>
          <w:color w:val="000000"/>
          <w:kern w:val="0"/>
          <w:u w:val="single"/>
        </w:rPr>
        <w:t>。</w:t>
      </w:r>
    </w:p>
    <w:p>
      <w:pPr>
        <w:keepNext/>
        <w:keepLines/>
        <w:widowControl w:val="0"/>
        <w:adjustRightInd w:val="0"/>
        <w:snapToGrid w:val="0"/>
        <w:spacing w:before="120" w:beforeLines="50"/>
        <w:ind w:firstLine="0" w:firstLineChars="0"/>
        <w:outlineLvl w:val="1"/>
        <w:rPr>
          <w:rFonts w:hint="eastAsia"/>
          <w:b/>
          <w:color w:val="000000"/>
          <w:sz w:val="28"/>
          <w:szCs w:val="32"/>
          <w:u w:val="none"/>
        </w:rPr>
      </w:pPr>
      <w:r>
        <w:rPr>
          <w:b/>
          <w:color w:val="000000"/>
          <w:sz w:val="28"/>
          <w:szCs w:val="32"/>
          <w:u w:val="none"/>
        </w:rPr>
        <w:t>4.2</w:t>
      </w:r>
      <w:r>
        <w:rPr>
          <w:rFonts w:hint="eastAsia"/>
          <w:b/>
          <w:color w:val="000000"/>
          <w:sz w:val="28"/>
          <w:szCs w:val="32"/>
          <w:u w:val="none"/>
        </w:rPr>
        <w:t>.</w:t>
      </w:r>
      <w:r>
        <w:rPr>
          <w:b/>
          <w:color w:val="000000"/>
          <w:sz w:val="28"/>
          <w:szCs w:val="32"/>
          <w:u w:val="none"/>
        </w:rPr>
        <w:t>2</w:t>
      </w:r>
      <w:r>
        <w:rPr>
          <w:rFonts w:hint="eastAsia"/>
          <w:b/>
          <w:color w:val="000000"/>
          <w:sz w:val="28"/>
          <w:szCs w:val="32"/>
          <w:u w:val="none"/>
        </w:rPr>
        <w:t>工程地表水环境影响预测与评价</w:t>
      </w:r>
    </w:p>
    <w:p>
      <w:pPr>
        <w:pStyle w:val="16"/>
        <w:spacing w:before="135" w:line="348" w:lineRule="auto"/>
        <w:ind w:right="117" w:firstLine="480"/>
        <w:jc w:val="both"/>
        <w:rPr>
          <w:rFonts w:hint="default" w:ascii="Times New Roman" w:hAnsi="Times New Roman" w:cs="Times New Roman"/>
          <w:lang w:val="en-US" w:eastAsia="zh-CN"/>
        </w:rPr>
      </w:pPr>
      <w:r>
        <w:rPr>
          <w:rFonts w:hint="eastAsia" w:ascii="Times New Roman" w:hAnsi="Times New Roman"/>
          <w:color w:val="000000"/>
          <w:kern w:val="0"/>
          <w:lang w:val="en-US" w:eastAsia="zh-CN"/>
        </w:rPr>
        <w:t>根据前文分析，本项目属于花垣工业集中区污水处理站预处理设施，出水达</w:t>
      </w:r>
      <w:r>
        <w:rPr>
          <w:rFonts w:hint="eastAsia" w:ascii="宋体" w:hAnsi="宋体" w:cs="宋体"/>
          <w:lang w:val="en-US" w:eastAsia="zh-CN"/>
        </w:rPr>
        <w:t>标排入花垣工业集中区污水处理厂，</w:t>
      </w:r>
      <w:r>
        <w:rPr>
          <w:rFonts w:hint="eastAsia" w:cs="宋体"/>
          <w:lang w:val="en-US" w:eastAsia="zh-CN"/>
        </w:rPr>
        <w:t>项目生活污水直接排放至花垣工业集中区污水处理厂，</w:t>
      </w:r>
      <w:r>
        <w:rPr>
          <w:rFonts w:hint="eastAsia" w:ascii="宋体" w:hAnsi="宋体" w:cs="宋体"/>
          <w:lang w:val="en-US" w:eastAsia="zh-CN"/>
        </w:rPr>
        <w:t>项目不单独设置排污口，项目属于间接排放，</w:t>
      </w:r>
      <w:r>
        <w:rPr>
          <w:rFonts w:hint="default" w:ascii="Times New Roman" w:hAnsi="Times New Roman" w:cs="Times New Roman"/>
          <w:lang w:val="en-US" w:eastAsia="zh-CN"/>
        </w:rPr>
        <w:t>项目地表水评价等级为三级B，根据《环境影响评价技术导则－地面水环境》（HJ/T2.3－2018）中三级B可不进行地表水环境影响预测，</w:t>
      </w:r>
      <w:r>
        <w:rPr>
          <w:rFonts w:hint="eastAsia" w:ascii="Times New Roman" w:hAnsi="Times New Roman" w:cs="Times New Roman"/>
          <w:lang w:val="en-US" w:eastAsia="zh-CN"/>
        </w:rPr>
        <w:t>且根据查阅花垣工业集中区污水处理厂环评报告以及花垣工业集中区污水处理厂入河排污口论证报告，均考虑到园区重金属废水的废水量，本项目属于花垣工业集中区污水处理厂的预处理设施，本项目纳污范围废水属于花垣工业集中区污水处理厂纳污范围，花垣工业集中区污水处理厂已对尾水排入花垣河的重金属污染物进行了预测评价，本次不再进行预测分析。</w:t>
      </w:r>
      <w:r>
        <w:rPr>
          <w:rFonts w:hint="default" w:ascii="Times New Roman" w:hAnsi="Times New Roman" w:cs="Times New Roman"/>
          <w:lang w:val="en-US" w:eastAsia="zh-CN"/>
        </w:rPr>
        <w:t>本次地表水环境影响分析内容主要为依托污水处理设施环境可行性分析。</w:t>
      </w:r>
    </w:p>
    <w:p>
      <w:pPr>
        <w:keepNext/>
        <w:keepLines/>
        <w:widowControl w:val="0"/>
        <w:adjustRightInd w:val="0"/>
        <w:snapToGrid w:val="0"/>
        <w:spacing w:before="163" w:beforeLines="50"/>
        <w:ind w:firstLine="0" w:firstLineChars="0"/>
        <w:outlineLvl w:val="1"/>
        <w:rPr>
          <w:rFonts w:ascii="Times New Roman" w:hAnsi="Times New Roman" w:eastAsia="宋体" w:cs="Times New Roman"/>
          <w:b/>
          <w:color w:val="000000"/>
          <w:sz w:val="28"/>
          <w:szCs w:val="32"/>
        </w:rPr>
      </w:pPr>
      <w:r>
        <w:rPr>
          <w:rFonts w:hint="eastAsia" w:ascii="Times New Roman" w:hAnsi="Times New Roman" w:eastAsia="宋体" w:cs="Times New Roman"/>
          <w:b/>
          <w:color w:val="000000"/>
          <w:sz w:val="28"/>
          <w:szCs w:val="32"/>
          <w:lang w:val="en-US" w:eastAsia="zh-CN"/>
        </w:rPr>
        <w:t>4.2.2.1</w:t>
      </w:r>
      <w:r>
        <w:rPr>
          <w:rFonts w:ascii="Times New Roman" w:hAnsi="Times New Roman" w:eastAsia="宋体" w:cs="Times New Roman"/>
          <w:b/>
          <w:color w:val="000000"/>
          <w:sz w:val="28"/>
          <w:szCs w:val="32"/>
        </w:rPr>
        <w:t xml:space="preserve">  </w:t>
      </w:r>
      <w:bookmarkStart w:id="274" w:name="6.1.1.预测因子的选择"/>
      <w:bookmarkEnd w:id="274"/>
      <w:r>
        <w:rPr>
          <w:rFonts w:hint="eastAsia" w:ascii="Times New Roman" w:hAnsi="Times New Roman" w:eastAsia="宋体" w:cs="Times New Roman"/>
          <w:b/>
          <w:color w:val="000000"/>
          <w:sz w:val="28"/>
          <w:szCs w:val="32"/>
          <w:lang w:val="en-US" w:eastAsia="zh-CN"/>
        </w:rPr>
        <w:t>本项目尾水出水情况</w:t>
      </w:r>
    </w:p>
    <w:p>
      <w:pPr>
        <w:pStyle w:val="16"/>
        <w:wordWrap w:val="0"/>
        <w:spacing w:before="15"/>
        <w:ind w:left="0" w:right="284" w:firstLine="480" w:firstLineChars="200"/>
        <w:rPr>
          <w:rFonts w:hint="eastAsia" w:ascii="Times New Roman" w:hAnsi="Times New Roman" w:cs="Times New Roman"/>
          <w:color w:val="000000"/>
          <w:lang w:eastAsia="zh-CN"/>
        </w:rPr>
      </w:pPr>
      <w:r>
        <w:rPr>
          <w:rFonts w:hint="eastAsia" w:ascii="Times New Roman" w:hAnsi="Times New Roman" w:cs="Times New Roman"/>
          <w:color w:val="000000"/>
          <w:lang w:eastAsia="zh-CN"/>
        </w:rPr>
        <w:t>本项目运营后将使污水中的主要污染物SS、Mn、铬、铅、锌、钒等重金属均得到不同程度地削减，废水经本项目污水处理站处理后出水水质总钒指标执行《钒工业污染物排放标准》（GB26452-2001），其他污染物指标达到《城镇污水处理厂污染物排放标准》（GB18918-2002）表2、表3中标准限值后进入花垣工业集中区污水处理厂进一步处理，根据花垣工业集中区污水处理厂入河排污口论证报告可知。经花垣县污水处理厂进一步处理后废水达标排入花垣河，结果见下表</w:t>
      </w:r>
      <w:r>
        <w:rPr>
          <w:rFonts w:ascii="Times New Roman" w:hAnsi="Times New Roman" w:cs="Times New Roman"/>
          <w:color w:val="000000"/>
          <w:lang w:eastAsia="zh-CN"/>
        </w:rPr>
        <w:t>。</w:t>
      </w:r>
    </w:p>
    <w:p>
      <w:pPr>
        <w:pStyle w:val="16"/>
        <w:spacing w:before="15"/>
        <w:ind w:left="232" w:right="284" w:firstLine="422" w:firstLineChars="200"/>
        <w:jc w:val="center"/>
        <w:rPr>
          <w:rFonts w:hint="default" w:ascii="Times New Roman" w:hAnsi="Times New Roman" w:cs="Times New Roman"/>
          <w:b/>
          <w:color w:val="000000"/>
          <w:sz w:val="21"/>
          <w:szCs w:val="21"/>
          <w:lang w:val="en-US" w:eastAsia="zh-CN"/>
        </w:rPr>
      </w:pPr>
      <w:r>
        <w:rPr>
          <w:rFonts w:ascii="Times New Roman" w:hAnsi="Times New Roman" w:cs="Times New Roman"/>
          <w:b/>
          <w:color w:val="000000"/>
          <w:sz w:val="21"/>
          <w:szCs w:val="21"/>
          <w:lang w:eastAsia="zh-CN"/>
        </w:rPr>
        <w:t>表</w:t>
      </w:r>
      <w:r>
        <w:rPr>
          <w:rFonts w:hint="eastAsia" w:ascii="Times New Roman" w:hAnsi="Times New Roman" w:cs="Times New Roman"/>
          <w:b/>
          <w:color w:val="000000"/>
          <w:sz w:val="21"/>
          <w:szCs w:val="21"/>
          <w:lang w:val="en-US" w:eastAsia="zh-CN"/>
        </w:rPr>
        <w:t>4.2</w:t>
      </w:r>
      <w:r>
        <w:rPr>
          <w:rFonts w:ascii="Times New Roman" w:hAnsi="Times New Roman" w:cs="Times New Roman"/>
          <w:b/>
          <w:color w:val="000000"/>
          <w:sz w:val="21"/>
          <w:szCs w:val="21"/>
          <w:lang w:eastAsia="zh-CN"/>
        </w:rPr>
        <w:t>-</w:t>
      </w:r>
      <w:r>
        <w:rPr>
          <w:rFonts w:hint="eastAsia" w:ascii="Times New Roman" w:hAnsi="Times New Roman" w:cs="Times New Roman"/>
          <w:b/>
          <w:color w:val="000000"/>
          <w:sz w:val="21"/>
          <w:szCs w:val="21"/>
          <w:lang w:val="en-US" w:eastAsia="zh-CN"/>
        </w:rPr>
        <w:t>1</w:t>
      </w:r>
      <w:r>
        <w:rPr>
          <w:rFonts w:ascii="Times New Roman" w:hAnsi="Times New Roman" w:cs="Times New Roman"/>
          <w:b/>
          <w:color w:val="000000"/>
          <w:sz w:val="21"/>
          <w:szCs w:val="21"/>
          <w:lang w:eastAsia="zh-CN"/>
        </w:rPr>
        <w:t xml:space="preserve"> 污染物削减</w:t>
      </w:r>
      <w:r>
        <w:rPr>
          <w:rFonts w:hint="eastAsia" w:ascii="Times New Roman" w:hAnsi="Times New Roman" w:cs="Times New Roman"/>
          <w:b/>
          <w:color w:val="000000"/>
          <w:sz w:val="21"/>
          <w:szCs w:val="21"/>
          <w:lang w:val="en-US" w:eastAsia="zh-CN"/>
        </w:rPr>
        <w:t>情况表</w:t>
      </w:r>
    </w:p>
    <w:tbl>
      <w:tblPr>
        <w:tblStyle w:val="37"/>
        <w:tblW w:w="485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7"/>
        <w:gridCol w:w="915"/>
        <w:gridCol w:w="1076"/>
        <w:gridCol w:w="835"/>
        <w:gridCol w:w="760"/>
        <w:gridCol w:w="787"/>
        <w:gridCol w:w="818"/>
        <w:gridCol w:w="390"/>
        <w:gridCol w:w="988"/>
        <w:gridCol w:w="788"/>
        <w:gridCol w:w="3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5" w:hRule="atLeast"/>
          <w:jc w:val="center"/>
        </w:trPr>
        <w:tc>
          <w:tcPr>
            <w:tcW w:w="318" w:type="pct"/>
            <w:vMerge w:val="restart"/>
            <w:tcBorders>
              <w:tl2br w:val="nil"/>
              <w:tr2bl w:val="nil"/>
            </w:tcBorders>
            <w:noWrap w:val="0"/>
            <w:vAlign w:val="center"/>
          </w:tcPr>
          <w:p>
            <w:pPr>
              <w:pStyle w:val="132"/>
              <w:keepNext w:val="0"/>
              <w:keepLines w:val="0"/>
              <w:widowControl w:val="0"/>
              <w:rPr>
                <w:b/>
                <w:bCs/>
              </w:rPr>
            </w:pPr>
            <w:r>
              <w:rPr>
                <w:b/>
                <w:bCs/>
              </w:rPr>
              <w:t>处理量</w:t>
            </w:r>
          </w:p>
        </w:tc>
        <w:tc>
          <w:tcPr>
            <w:tcW w:w="552" w:type="pct"/>
            <w:vMerge w:val="restart"/>
            <w:tcBorders>
              <w:tl2br w:val="nil"/>
              <w:tr2bl w:val="nil"/>
            </w:tcBorders>
            <w:noWrap w:val="0"/>
            <w:vAlign w:val="center"/>
          </w:tcPr>
          <w:p>
            <w:pPr>
              <w:pStyle w:val="132"/>
              <w:keepNext w:val="0"/>
              <w:keepLines w:val="0"/>
              <w:widowControl w:val="0"/>
              <w:rPr>
                <w:b/>
                <w:bCs/>
              </w:rPr>
            </w:pPr>
            <w:r>
              <w:rPr>
                <w:b/>
                <w:bCs/>
              </w:rPr>
              <w:t>污染因子</w:t>
            </w:r>
          </w:p>
        </w:tc>
        <w:tc>
          <w:tcPr>
            <w:tcW w:w="1154" w:type="pct"/>
            <w:gridSpan w:val="2"/>
            <w:tcBorders>
              <w:tl2br w:val="nil"/>
              <w:tr2bl w:val="nil"/>
            </w:tcBorders>
            <w:noWrap w:val="0"/>
            <w:vAlign w:val="center"/>
          </w:tcPr>
          <w:p>
            <w:pPr>
              <w:pStyle w:val="132"/>
              <w:keepNext w:val="0"/>
              <w:keepLines w:val="0"/>
              <w:widowControl w:val="0"/>
              <w:rPr>
                <w:b/>
                <w:bCs/>
              </w:rPr>
            </w:pPr>
            <w:r>
              <w:rPr>
                <w:b/>
                <w:bCs/>
              </w:rPr>
              <w:t>处理前</w:t>
            </w:r>
          </w:p>
        </w:tc>
        <w:tc>
          <w:tcPr>
            <w:tcW w:w="934" w:type="pct"/>
            <w:gridSpan w:val="2"/>
            <w:tcBorders>
              <w:tl2br w:val="nil"/>
              <w:tr2bl w:val="nil"/>
            </w:tcBorders>
            <w:noWrap w:val="0"/>
            <w:vAlign w:val="center"/>
          </w:tcPr>
          <w:p>
            <w:pPr>
              <w:pStyle w:val="132"/>
              <w:keepNext w:val="0"/>
              <w:keepLines w:val="0"/>
              <w:widowControl w:val="0"/>
              <w:rPr>
                <w:b/>
                <w:bCs/>
              </w:rPr>
            </w:pPr>
            <w:r>
              <w:rPr>
                <w:b/>
                <w:bCs/>
              </w:rPr>
              <w:t>处理后</w:t>
            </w:r>
          </w:p>
        </w:tc>
        <w:tc>
          <w:tcPr>
            <w:tcW w:w="494" w:type="pct"/>
            <w:vMerge w:val="restart"/>
            <w:tcBorders>
              <w:tl2br w:val="nil"/>
              <w:tr2bl w:val="nil"/>
            </w:tcBorders>
            <w:noWrap w:val="0"/>
            <w:vAlign w:val="center"/>
          </w:tcPr>
          <w:p>
            <w:pPr>
              <w:pStyle w:val="132"/>
              <w:keepNext w:val="0"/>
              <w:keepLines w:val="0"/>
              <w:widowControl w:val="0"/>
              <w:rPr>
                <w:b/>
                <w:bCs/>
              </w:rPr>
            </w:pPr>
            <w:r>
              <w:rPr>
                <w:b/>
                <w:bCs/>
              </w:rPr>
              <w:t>削减量（t/a）</w:t>
            </w:r>
          </w:p>
        </w:tc>
        <w:tc>
          <w:tcPr>
            <w:tcW w:w="235" w:type="pct"/>
            <w:vMerge w:val="restart"/>
            <w:tcBorders>
              <w:tl2br w:val="nil"/>
              <w:tr2bl w:val="nil"/>
            </w:tcBorders>
            <w:noWrap w:val="0"/>
            <w:vAlign w:val="center"/>
          </w:tcPr>
          <w:p>
            <w:pPr>
              <w:pStyle w:val="132"/>
              <w:keepNext w:val="0"/>
              <w:keepLines w:val="0"/>
              <w:widowControl w:val="0"/>
              <w:rPr>
                <w:rFonts w:hint="eastAsia" w:eastAsia="宋体"/>
                <w:lang w:eastAsia="zh-CN"/>
              </w:rPr>
            </w:pPr>
            <w:r>
              <w:rPr>
                <w:rFonts w:hint="eastAsia"/>
                <w:lang w:eastAsia="zh-CN"/>
              </w:rPr>
              <w:t>花垣工业集中区污水处理厂</w:t>
            </w:r>
          </w:p>
        </w:tc>
        <w:tc>
          <w:tcPr>
            <w:tcW w:w="1073" w:type="pct"/>
            <w:gridSpan w:val="2"/>
            <w:tcBorders>
              <w:tl2br w:val="nil"/>
              <w:tr2bl w:val="nil"/>
            </w:tcBorders>
            <w:noWrap w:val="0"/>
            <w:vAlign w:val="center"/>
          </w:tcPr>
          <w:p>
            <w:pPr>
              <w:pStyle w:val="132"/>
              <w:keepNext w:val="0"/>
              <w:keepLines w:val="0"/>
              <w:widowControl w:val="0"/>
              <w:rPr>
                <w:b/>
                <w:bCs/>
              </w:rPr>
            </w:pPr>
            <w:r>
              <w:rPr>
                <w:rFonts w:hint="eastAsia"/>
                <w:b/>
                <w:bCs/>
                <w:lang w:eastAsia="zh-CN"/>
              </w:rPr>
              <w:t>处理后</w:t>
            </w:r>
          </w:p>
        </w:tc>
        <w:tc>
          <w:tcPr>
            <w:tcW w:w="236" w:type="pct"/>
            <w:vMerge w:val="restart"/>
            <w:tcBorders>
              <w:tl2br w:val="nil"/>
              <w:tr2bl w:val="nil"/>
            </w:tcBorders>
            <w:noWrap w:val="0"/>
            <w:vAlign w:val="center"/>
          </w:tcPr>
          <w:p>
            <w:pPr>
              <w:pStyle w:val="132"/>
              <w:keepNext w:val="0"/>
              <w:keepLines w:val="0"/>
              <w:widowControl w:val="0"/>
              <w:rPr>
                <w:b/>
                <w:bCs/>
              </w:rPr>
            </w:pPr>
            <w:r>
              <w:rPr>
                <w:b/>
                <w:bCs/>
              </w:rPr>
              <w:t>污水去向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801" w:hRule="atLeast"/>
          <w:jc w:val="center"/>
        </w:trPr>
        <w:tc>
          <w:tcPr>
            <w:tcW w:w="318" w:type="pct"/>
            <w:vMerge w:val="continue"/>
            <w:tcBorders>
              <w:tl2br w:val="nil"/>
              <w:tr2bl w:val="nil"/>
            </w:tcBorders>
            <w:noWrap w:val="0"/>
            <w:vAlign w:val="center"/>
          </w:tcPr>
          <w:p>
            <w:pPr>
              <w:pStyle w:val="132"/>
              <w:keepNext w:val="0"/>
              <w:keepLines w:val="0"/>
              <w:widowControl w:val="0"/>
            </w:pPr>
          </w:p>
        </w:tc>
        <w:tc>
          <w:tcPr>
            <w:tcW w:w="552" w:type="pct"/>
            <w:vMerge w:val="continue"/>
            <w:tcBorders>
              <w:tl2br w:val="nil"/>
              <w:tr2bl w:val="nil"/>
            </w:tcBorders>
            <w:noWrap w:val="0"/>
            <w:vAlign w:val="center"/>
          </w:tcPr>
          <w:p>
            <w:pPr>
              <w:pStyle w:val="132"/>
              <w:keepNext w:val="0"/>
              <w:keepLines w:val="0"/>
              <w:widowControl w:val="0"/>
            </w:pPr>
          </w:p>
        </w:tc>
        <w:tc>
          <w:tcPr>
            <w:tcW w:w="650" w:type="pct"/>
            <w:tcBorders>
              <w:tl2br w:val="nil"/>
              <w:tr2bl w:val="nil"/>
            </w:tcBorders>
            <w:noWrap w:val="0"/>
            <w:vAlign w:val="center"/>
          </w:tcPr>
          <w:p>
            <w:pPr>
              <w:pStyle w:val="132"/>
              <w:keepNext w:val="0"/>
              <w:keepLines w:val="0"/>
              <w:widowControl w:val="0"/>
              <w:rPr>
                <w:b/>
                <w:bCs/>
              </w:rPr>
            </w:pPr>
            <w:r>
              <w:rPr>
                <w:b/>
                <w:bCs/>
              </w:rPr>
              <w:t>浓度（mg/L）</w:t>
            </w:r>
          </w:p>
        </w:tc>
        <w:tc>
          <w:tcPr>
            <w:tcW w:w="504" w:type="pct"/>
            <w:tcBorders>
              <w:tl2br w:val="nil"/>
              <w:tr2bl w:val="nil"/>
            </w:tcBorders>
            <w:noWrap w:val="0"/>
            <w:vAlign w:val="center"/>
          </w:tcPr>
          <w:p>
            <w:pPr>
              <w:pStyle w:val="132"/>
              <w:keepNext w:val="0"/>
              <w:keepLines w:val="0"/>
              <w:widowControl w:val="0"/>
              <w:rPr>
                <w:b/>
                <w:bCs/>
              </w:rPr>
            </w:pPr>
            <w:r>
              <w:rPr>
                <w:b/>
                <w:bCs/>
              </w:rPr>
              <w:t>产生量（t/</w:t>
            </w:r>
            <w:r>
              <w:rPr>
                <w:rFonts w:hint="eastAsia"/>
                <w:b/>
                <w:bCs/>
                <w:lang w:val="en-US" w:eastAsia="zh-CN"/>
              </w:rPr>
              <w:t>d</w:t>
            </w:r>
            <w:r>
              <w:rPr>
                <w:b/>
                <w:bCs/>
              </w:rPr>
              <w:t>）</w:t>
            </w:r>
          </w:p>
        </w:tc>
        <w:tc>
          <w:tcPr>
            <w:tcW w:w="459" w:type="pct"/>
            <w:tcBorders>
              <w:tl2br w:val="nil"/>
              <w:tr2bl w:val="nil"/>
            </w:tcBorders>
            <w:noWrap w:val="0"/>
            <w:vAlign w:val="center"/>
          </w:tcPr>
          <w:p>
            <w:pPr>
              <w:pStyle w:val="132"/>
              <w:keepNext w:val="0"/>
              <w:keepLines w:val="0"/>
              <w:widowControl w:val="0"/>
              <w:rPr>
                <w:b/>
                <w:bCs/>
              </w:rPr>
            </w:pPr>
            <w:r>
              <w:rPr>
                <w:b/>
                <w:bCs/>
              </w:rPr>
              <w:t>浓度（mg/L）</w:t>
            </w:r>
          </w:p>
        </w:tc>
        <w:tc>
          <w:tcPr>
            <w:tcW w:w="475" w:type="pct"/>
            <w:tcBorders>
              <w:tl2br w:val="nil"/>
              <w:tr2bl w:val="nil"/>
            </w:tcBorders>
            <w:noWrap w:val="0"/>
            <w:vAlign w:val="center"/>
          </w:tcPr>
          <w:p>
            <w:pPr>
              <w:pStyle w:val="132"/>
              <w:keepNext w:val="0"/>
              <w:keepLines w:val="0"/>
              <w:widowControl w:val="0"/>
              <w:rPr>
                <w:b/>
                <w:bCs/>
              </w:rPr>
            </w:pPr>
            <w:r>
              <w:rPr>
                <w:rFonts w:hint="eastAsia"/>
                <w:b/>
                <w:bCs/>
                <w:lang w:eastAsia="zh-CN"/>
              </w:rPr>
              <w:t>出水</w:t>
            </w:r>
            <w:r>
              <w:rPr>
                <w:b/>
                <w:bCs/>
              </w:rPr>
              <w:t>量（t/</w:t>
            </w:r>
            <w:r>
              <w:rPr>
                <w:rFonts w:hint="eastAsia"/>
                <w:b/>
                <w:bCs/>
                <w:lang w:val="en-US" w:eastAsia="zh-CN"/>
              </w:rPr>
              <w:t>d</w:t>
            </w:r>
            <w:r>
              <w:rPr>
                <w:b/>
                <w:bCs/>
              </w:rPr>
              <w:t>）</w:t>
            </w:r>
          </w:p>
        </w:tc>
        <w:tc>
          <w:tcPr>
            <w:tcW w:w="494" w:type="pct"/>
            <w:vMerge w:val="continue"/>
            <w:tcBorders>
              <w:tl2br w:val="nil"/>
              <w:tr2bl w:val="nil"/>
            </w:tcBorders>
            <w:noWrap w:val="0"/>
            <w:vAlign w:val="center"/>
          </w:tcPr>
          <w:p>
            <w:pPr>
              <w:pStyle w:val="132"/>
              <w:keepNext w:val="0"/>
              <w:keepLines w:val="0"/>
              <w:widowControl w:val="0"/>
            </w:pPr>
          </w:p>
        </w:tc>
        <w:tc>
          <w:tcPr>
            <w:tcW w:w="235" w:type="pct"/>
            <w:vMerge w:val="continue"/>
            <w:tcBorders>
              <w:tl2br w:val="nil"/>
              <w:tr2bl w:val="nil"/>
            </w:tcBorders>
            <w:noWrap w:val="0"/>
            <w:vAlign w:val="center"/>
          </w:tcPr>
          <w:p>
            <w:pPr>
              <w:pStyle w:val="132"/>
              <w:keepNext w:val="0"/>
              <w:keepLines w:val="0"/>
              <w:widowControl w:val="0"/>
            </w:pPr>
          </w:p>
        </w:tc>
        <w:tc>
          <w:tcPr>
            <w:tcW w:w="596" w:type="pct"/>
            <w:tcBorders>
              <w:tl2br w:val="nil"/>
              <w:tr2bl w:val="nil"/>
            </w:tcBorders>
            <w:noWrap w:val="0"/>
            <w:vAlign w:val="center"/>
          </w:tcPr>
          <w:p>
            <w:pPr>
              <w:pStyle w:val="132"/>
              <w:keepNext w:val="0"/>
              <w:keepLines w:val="0"/>
              <w:widowControl w:val="0"/>
              <w:ind w:firstLine="0" w:firstLineChars="0"/>
            </w:pPr>
            <w:r>
              <w:rPr>
                <w:b/>
                <w:bCs/>
              </w:rPr>
              <w:t>浓度（mg/L）</w:t>
            </w:r>
          </w:p>
        </w:tc>
        <w:tc>
          <w:tcPr>
            <w:tcW w:w="476" w:type="pct"/>
            <w:tcBorders>
              <w:tl2br w:val="nil"/>
              <w:tr2bl w:val="nil"/>
            </w:tcBorders>
            <w:noWrap w:val="0"/>
            <w:vAlign w:val="center"/>
          </w:tcPr>
          <w:p>
            <w:pPr>
              <w:pStyle w:val="132"/>
              <w:keepNext w:val="0"/>
              <w:keepLines w:val="0"/>
              <w:widowControl w:val="0"/>
              <w:ind w:firstLine="0" w:firstLineChars="0"/>
            </w:pPr>
            <w:r>
              <w:rPr>
                <w:rFonts w:hint="eastAsia"/>
                <w:b/>
                <w:bCs/>
                <w:lang w:eastAsia="zh-CN"/>
              </w:rPr>
              <w:t>排放</w:t>
            </w:r>
            <w:r>
              <w:rPr>
                <w:b/>
                <w:bCs/>
              </w:rPr>
              <w:t>量（t/</w:t>
            </w:r>
            <w:r>
              <w:rPr>
                <w:rFonts w:hint="eastAsia"/>
                <w:b/>
                <w:bCs/>
                <w:lang w:val="en-US" w:eastAsia="zh-CN"/>
              </w:rPr>
              <w:t>d</w:t>
            </w:r>
            <w:r>
              <w:rPr>
                <w:b/>
                <w:bCs/>
              </w:rPr>
              <w:t>）</w:t>
            </w:r>
          </w:p>
        </w:tc>
        <w:tc>
          <w:tcPr>
            <w:tcW w:w="236" w:type="pct"/>
            <w:vMerge w:val="continue"/>
            <w:tcBorders>
              <w:tl2br w:val="nil"/>
              <w:tr2bl w:val="nil"/>
            </w:tcBorders>
            <w:noWrap w:val="0"/>
            <w:vAlign w:val="center"/>
          </w:tcPr>
          <w:p>
            <w:pPr>
              <w:pStyle w:val="132"/>
              <w:keepNext w:val="0"/>
              <w:keepLines w:val="0"/>
              <w:widowControl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22" w:hRule="atLeast"/>
          <w:jc w:val="center"/>
        </w:trPr>
        <w:tc>
          <w:tcPr>
            <w:tcW w:w="318" w:type="pct"/>
            <w:vMerge w:val="restart"/>
            <w:tcBorders>
              <w:tl2br w:val="nil"/>
              <w:tr2bl w:val="nil"/>
            </w:tcBorders>
            <w:noWrap w:val="0"/>
            <w:vAlign w:val="center"/>
          </w:tcPr>
          <w:p>
            <w:pPr>
              <w:pStyle w:val="132"/>
              <w:keepNext w:val="0"/>
              <w:keepLines w:val="0"/>
              <w:widowControl w:val="0"/>
              <w:rPr>
                <w:rFonts w:hint="eastAsia" w:eastAsia="宋体"/>
                <w:lang w:eastAsia="zh-CN"/>
              </w:rPr>
            </w:pPr>
            <w:r>
              <w:rPr>
                <w:rFonts w:hint="eastAsia"/>
                <w:lang w:val="en-US" w:eastAsia="zh-CN"/>
              </w:rPr>
              <w:t>3000</w:t>
            </w:r>
            <w:r>
              <w:t>m</w:t>
            </w:r>
            <w:r>
              <w:rPr>
                <w:rFonts w:hint="eastAsia"/>
                <w:vertAlign w:val="superscript"/>
              </w:rPr>
              <w:t>3</w:t>
            </w:r>
            <w:r>
              <w:t>/</w:t>
            </w:r>
            <w:r>
              <w:rPr>
                <w:rFonts w:hint="eastAsia"/>
                <w:lang w:val="en-US" w:eastAsia="zh-CN"/>
              </w:rPr>
              <w:t>d</w:t>
            </w:r>
          </w:p>
        </w:tc>
        <w:tc>
          <w:tcPr>
            <w:tcW w:w="552" w:type="pct"/>
            <w:tcBorders>
              <w:tl2br w:val="nil"/>
              <w:tr2bl w:val="nil"/>
            </w:tcBorders>
            <w:noWrap w:val="0"/>
            <w:vAlign w:val="center"/>
          </w:tcPr>
          <w:p>
            <w:pPr>
              <w:pStyle w:val="132"/>
              <w:keepNext w:val="0"/>
              <w:keepLines w:val="0"/>
              <w:widowControl w:val="0"/>
              <w:rPr>
                <w:rFonts w:hint="eastAsia" w:eastAsia="宋体"/>
                <w:vertAlign w:val="subscript"/>
                <w:lang w:eastAsia="zh-CN"/>
              </w:rPr>
            </w:pPr>
            <w:r>
              <w:rPr>
                <w:rFonts w:hint="eastAsia"/>
                <w:lang w:eastAsia="zh-CN"/>
              </w:rPr>
              <w:t>总锰</w:t>
            </w:r>
          </w:p>
        </w:tc>
        <w:tc>
          <w:tcPr>
            <w:tcW w:w="650" w:type="pct"/>
            <w:tcBorders>
              <w:tl2br w:val="nil"/>
              <w:tr2bl w:val="nil"/>
            </w:tcBorders>
            <w:noWrap w:val="0"/>
            <w:vAlign w:val="center"/>
          </w:tcPr>
          <w:p>
            <w:pPr>
              <w:pStyle w:val="132"/>
              <w:keepNext w:val="0"/>
              <w:keepLines w:val="0"/>
              <w:widowControl w:val="0"/>
              <w:rPr>
                <w:rFonts w:hint="default" w:eastAsia="宋体"/>
                <w:lang w:val="en-US" w:eastAsia="zh-CN"/>
              </w:rPr>
            </w:pPr>
            <w:r>
              <w:rPr>
                <w:rFonts w:hint="eastAsia"/>
                <w:lang w:val="en-US" w:eastAsia="zh-CN"/>
              </w:rPr>
              <w:t>25.0</w:t>
            </w:r>
          </w:p>
        </w:tc>
        <w:tc>
          <w:tcPr>
            <w:tcW w:w="504" w:type="pct"/>
            <w:tcBorders>
              <w:tl2br w:val="nil"/>
              <w:tr2bl w:val="nil"/>
            </w:tcBorders>
            <w:noWrap w:val="0"/>
            <w:vAlign w:val="center"/>
          </w:tcPr>
          <w:p>
            <w:pPr>
              <w:pStyle w:val="132"/>
              <w:keepNext w:val="0"/>
              <w:keepLines w:val="0"/>
              <w:widowControl w:val="0"/>
              <w:rPr>
                <w:rFonts w:hint="default" w:eastAsia="宋体"/>
                <w:lang w:val="en-US" w:eastAsia="zh-CN"/>
              </w:rPr>
            </w:pPr>
            <w:r>
              <w:rPr>
                <w:rFonts w:hint="eastAsia"/>
                <w:lang w:val="en-US" w:eastAsia="zh-CN"/>
              </w:rPr>
              <w:t>0.075</w:t>
            </w:r>
          </w:p>
        </w:tc>
        <w:tc>
          <w:tcPr>
            <w:tcW w:w="459" w:type="pct"/>
            <w:tcBorders>
              <w:tl2br w:val="nil"/>
              <w:tr2bl w:val="nil"/>
            </w:tcBorders>
            <w:noWrap w:val="0"/>
            <w:vAlign w:val="center"/>
          </w:tcPr>
          <w:p>
            <w:pPr>
              <w:pStyle w:val="132"/>
              <w:keepNext w:val="0"/>
              <w:keepLines w:val="0"/>
              <w:widowControl w:val="0"/>
              <w:rPr>
                <w:rFonts w:hint="default" w:eastAsia="宋体"/>
                <w:lang w:val="en-US" w:eastAsia="zh-CN"/>
              </w:rPr>
            </w:pPr>
            <w:r>
              <w:rPr>
                <w:rFonts w:hint="eastAsia"/>
                <w:lang w:val="en-US" w:eastAsia="zh-CN"/>
              </w:rPr>
              <w:t>2.0</w:t>
            </w:r>
          </w:p>
        </w:tc>
        <w:tc>
          <w:tcPr>
            <w:tcW w:w="475" w:type="pct"/>
            <w:tcBorders>
              <w:tl2br w:val="nil"/>
              <w:tr2bl w:val="nil"/>
            </w:tcBorders>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0.006</w:t>
            </w:r>
          </w:p>
        </w:tc>
        <w:tc>
          <w:tcPr>
            <w:tcW w:w="494" w:type="pct"/>
            <w:tcBorders>
              <w:tl2br w:val="nil"/>
              <w:tr2bl w:val="nil"/>
            </w:tcBorders>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0.069</w:t>
            </w:r>
          </w:p>
        </w:tc>
        <w:tc>
          <w:tcPr>
            <w:tcW w:w="235" w:type="pct"/>
            <w:vMerge w:val="continue"/>
            <w:tcBorders>
              <w:tl2br w:val="nil"/>
              <w:tr2bl w:val="nil"/>
            </w:tcBorders>
            <w:noWrap w:val="0"/>
            <w:vAlign w:val="center"/>
          </w:tcPr>
          <w:p>
            <w:pPr>
              <w:pStyle w:val="132"/>
              <w:keepNext w:val="0"/>
              <w:keepLines w:val="0"/>
              <w:widowControl w:val="0"/>
              <w:rPr>
                <w:rFonts w:hint="eastAsia" w:eastAsia="宋体"/>
                <w:lang w:eastAsia="zh-CN"/>
              </w:rPr>
            </w:pPr>
          </w:p>
        </w:tc>
        <w:tc>
          <w:tcPr>
            <w:tcW w:w="596" w:type="pct"/>
            <w:tcBorders>
              <w:tl2br w:val="nil"/>
              <w:tr2bl w:val="nil"/>
            </w:tcBorders>
            <w:noWrap w:val="0"/>
            <w:vAlign w:val="center"/>
          </w:tcPr>
          <w:p>
            <w:pPr>
              <w:pStyle w:val="132"/>
              <w:keepNext w:val="0"/>
              <w:keepLines w:val="0"/>
              <w:widowControl w:val="0"/>
              <w:rPr>
                <w:rFonts w:hint="default" w:eastAsia="宋体"/>
                <w:lang w:val="en-US" w:eastAsia="zh-CN"/>
              </w:rPr>
            </w:pPr>
            <w:r>
              <w:rPr>
                <w:rFonts w:hint="eastAsia"/>
                <w:lang w:val="en-US" w:eastAsia="zh-CN"/>
              </w:rPr>
              <w:t>1.0</w:t>
            </w:r>
          </w:p>
        </w:tc>
        <w:tc>
          <w:tcPr>
            <w:tcW w:w="476" w:type="pct"/>
            <w:tcBorders>
              <w:tl2br w:val="nil"/>
              <w:tr2bl w:val="nil"/>
            </w:tcBorders>
            <w:noWrap w:val="0"/>
            <w:vAlign w:val="center"/>
          </w:tcPr>
          <w:p>
            <w:pPr>
              <w:pStyle w:val="132"/>
              <w:keepNext w:val="0"/>
              <w:keepLines w:val="0"/>
              <w:widowControl w:val="0"/>
              <w:rPr>
                <w:rFonts w:hint="default" w:eastAsia="宋体"/>
                <w:lang w:val="en-US" w:eastAsia="zh-CN"/>
              </w:rPr>
            </w:pPr>
            <w:r>
              <w:rPr>
                <w:rFonts w:hint="eastAsia"/>
                <w:lang w:val="en-US" w:eastAsia="zh-CN"/>
              </w:rPr>
              <w:t>0.003</w:t>
            </w:r>
          </w:p>
        </w:tc>
        <w:tc>
          <w:tcPr>
            <w:tcW w:w="236" w:type="pct"/>
            <w:vMerge w:val="restart"/>
            <w:tcBorders>
              <w:tl2br w:val="nil"/>
              <w:tr2bl w:val="nil"/>
            </w:tcBorders>
            <w:noWrap w:val="0"/>
            <w:vAlign w:val="center"/>
          </w:tcPr>
          <w:p>
            <w:pPr>
              <w:pStyle w:val="132"/>
              <w:keepNext w:val="0"/>
              <w:keepLines w:val="0"/>
              <w:widowControl w:val="0"/>
              <w:rPr>
                <w:rFonts w:hint="eastAsia" w:eastAsia="宋体"/>
                <w:lang w:eastAsia="zh-CN"/>
              </w:rPr>
            </w:pPr>
            <w:r>
              <w:rPr>
                <w:rFonts w:hint="eastAsia"/>
                <w:lang w:eastAsia="zh-CN"/>
              </w:rPr>
              <w:t>花垣河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3" w:hRule="atLeast"/>
          <w:jc w:val="center"/>
        </w:trPr>
        <w:tc>
          <w:tcPr>
            <w:tcW w:w="318" w:type="pct"/>
            <w:vMerge w:val="continue"/>
            <w:tcBorders>
              <w:tl2br w:val="nil"/>
              <w:tr2bl w:val="nil"/>
            </w:tcBorders>
            <w:noWrap w:val="0"/>
            <w:vAlign w:val="center"/>
          </w:tcPr>
          <w:p>
            <w:pPr>
              <w:pStyle w:val="132"/>
              <w:keepNext w:val="0"/>
              <w:keepLines w:val="0"/>
              <w:widowControl w:val="0"/>
            </w:pPr>
          </w:p>
        </w:tc>
        <w:tc>
          <w:tcPr>
            <w:tcW w:w="552" w:type="pct"/>
            <w:tcBorders>
              <w:tl2br w:val="nil"/>
              <w:tr2bl w:val="nil"/>
            </w:tcBorders>
            <w:noWrap w:val="0"/>
            <w:vAlign w:val="center"/>
          </w:tcPr>
          <w:p>
            <w:pPr>
              <w:pStyle w:val="132"/>
              <w:keepNext w:val="0"/>
              <w:keepLines w:val="0"/>
              <w:widowControl w:val="0"/>
              <w:rPr>
                <w:rFonts w:hint="eastAsia" w:eastAsia="宋体"/>
                <w:vertAlign w:val="subscript"/>
                <w:lang w:eastAsia="zh-CN"/>
              </w:rPr>
            </w:pPr>
            <w:r>
              <w:rPr>
                <w:rFonts w:hint="eastAsia"/>
                <w:lang w:eastAsia="zh-CN"/>
              </w:rPr>
              <w:t>总铬</w:t>
            </w:r>
          </w:p>
        </w:tc>
        <w:tc>
          <w:tcPr>
            <w:tcW w:w="650" w:type="pct"/>
            <w:tcBorders>
              <w:tl2br w:val="nil"/>
              <w:tr2bl w:val="nil"/>
            </w:tcBorders>
            <w:noWrap w:val="0"/>
            <w:vAlign w:val="center"/>
          </w:tcPr>
          <w:p>
            <w:pPr>
              <w:pStyle w:val="132"/>
              <w:keepNext w:val="0"/>
              <w:keepLines w:val="0"/>
              <w:widowControl w:val="0"/>
              <w:rPr>
                <w:rFonts w:hint="default" w:eastAsia="宋体"/>
                <w:lang w:val="en-US" w:eastAsia="zh-CN"/>
              </w:rPr>
            </w:pPr>
            <w:r>
              <w:rPr>
                <w:rFonts w:hint="eastAsia"/>
                <w:lang w:val="en-US" w:eastAsia="zh-CN"/>
              </w:rPr>
              <w:t>1.5</w:t>
            </w:r>
          </w:p>
        </w:tc>
        <w:tc>
          <w:tcPr>
            <w:tcW w:w="504" w:type="pct"/>
            <w:tcBorders>
              <w:tl2br w:val="nil"/>
              <w:tr2bl w:val="nil"/>
            </w:tcBorders>
            <w:noWrap w:val="0"/>
            <w:vAlign w:val="center"/>
          </w:tcPr>
          <w:p>
            <w:pPr>
              <w:pStyle w:val="132"/>
              <w:keepNext w:val="0"/>
              <w:keepLines w:val="0"/>
              <w:widowControl w:val="0"/>
              <w:rPr>
                <w:rFonts w:hint="default" w:eastAsia="宋体"/>
                <w:lang w:val="en-US" w:eastAsia="zh-CN"/>
              </w:rPr>
            </w:pPr>
            <w:r>
              <w:rPr>
                <w:rFonts w:hint="eastAsia"/>
                <w:lang w:val="en-US" w:eastAsia="zh-CN"/>
              </w:rPr>
              <w:t>0.0045</w:t>
            </w:r>
          </w:p>
        </w:tc>
        <w:tc>
          <w:tcPr>
            <w:tcW w:w="459" w:type="pct"/>
            <w:tcBorders>
              <w:tl2br w:val="nil"/>
              <w:tr2bl w:val="nil"/>
            </w:tcBorders>
            <w:noWrap w:val="0"/>
            <w:vAlign w:val="center"/>
          </w:tcPr>
          <w:p>
            <w:pPr>
              <w:pStyle w:val="132"/>
              <w:keepNext w:val="0"/>
              <w:keepLines w:val="0"/>
              <w:widowControl w:val="0"/>
              <w:rPr>
                <w:rFonts w:hint="default" w:eastAsia="宋体"/>
                <w:lang w:val="en-US" w:eastAsia="zh-CN"/>
              </w:rPr>
            </w:pPr>
            <w:r>
              <w:rPr>
                <w:rFonts w:hint="eastAsia"/>
                <w:lang w:val="en-US" w:eastAsia="zh-CN"/>
              </w:rPr>
              <w:t>0.1</w:t>
            </w:r>
          </w:p>
        </w:tc>
        <w:tc>
          <w:tcPr>
            <w:tcW w:w="475" w:type="pct"/>
            <w:tcBorders>
              <w:tl2br w:val="nil"/>
              <w:tr2bl w:val="nil"/>
            </w:tcBorders>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0.0003</w:t>
            </w:r>
          </w:p>
        </w:tc>
        <w:tc>
          <w:tcPr>
            <w:tcW w:w="494" w:type="pct"/>
            <w:tcBorders>
              <w:tl2br w:val="nil"/>
              <w:tr2bl w:val="nil"/>
            </w:tcBorders>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0.0042</w:t>
            </w:r>
          </w:p>
        </w:tc>
        <w:tc>
          <w:tcPr>
            <w:tcW w:w="235" w:type="pct"/>
            <w:vMerge w:val="continue"/>
            <w:tcBorders>
              <w:tl2br w:val="nil"/>
              <w:tr2bl w:val="nil"/>
            </w:tcBorders>
            <w:noWrap w:val="0"/>
            <w:vAlign w:val="center"/>
          </w:tcPr>
          <w:p>
            <w:pPr>
              <w:pStyle w:val="132"/>
              <w:keepNext w:val="0"/>
              <w:keepLines w:val="0"/>
              <w:widowControl w:val="0"/>
            </w:pPr>
          </w:p>
        </w:tc>
        <w:tc>
          <w:tcPr>
            <w:tcW w:w="596" w:type="pct"/>
            <w:tcBorders>
              <w:tl2br w:val="nil"/>
              <w:tr2bl w:val="nil"/>
            </w:tcBorders>
            <w:noWrap w:val="0"/>
            <w:vAlign w:val="center"/>
          </w:tcPr>
          <w:p>
            <w:pPr>
              <w:pStyle w:val="132"/>
              <w:keepNext w:val="0"/>
              <w:keepLines w:val="0"/>
              <w:widowControl w:val="0"/>
              <w:ind w:firstLine="0" w:firstLineChars="0"/>
            </w:pPr>
            <w:r>
              <w:rPr>
                <w:rFonts w:hint="eastAsia"/>
                <w:lang w:val="en-US" w:eastAsia="zh-CN"/>
              </w:rPr>
              <w:t>0.1</w:t>
            </w:r>
          </w:p>
        </w:tc>
        <w:tc>
          <w:tcPr>
            <w:tcW w:w="476" w:type="pct"/>
            <w:tcBorders>
              <w:tl2br w:val="nil"/>
              <w:tr2bl w:val="nil"/>
            </w:tcBorders>
            <w:noWrap w:val="0"/>
            <w:vAlign w:val="center"/>
          </w:tcPr>
          <w:p>
            <w:pPr>
              <w:pStyle w:val="132"/>
              <w:keepNext w:val="0"/>
              <w:keepLines w:val="0"/>
              <w:widowControl w:val="0"/>
              <w:ind w:firstLine="0" w:firstLineChars="0"/>
            </w:pPr>
            <w:r>
              <w:rPr>
                <w:rFonts w:hint="eastAsia" w:ascii="Times New Roman" w:hAnsi="Times New Roman" w:eastAsia="宋体" w:cs="Times New Roman"/>
                <w:lang w:val="en-US" w:eastAsia="zh-CN"/>
              </w:rPr>
              <w:t>0.0003</w:t>
            </w:r>
          </w:p>
        </w:tc>
        <w:tc>
          <w:tcPr>
            <w:tcW w:w="236" w:type="pct"/>
            <w:vMerge w:val="continue"/>
            <w:tcBorders>
              <w:tl2br w:val="nil"/>
              <w:tr2bl w:val="nil"/>
            </w:tcBorders>
            <w:noWrap w:val="0"/>
            <w:vAlign w:val="center"/>
          </w:tcPr>
          <w:p>
            <w:pPr>
              <w:pStyle w:val="132"/>
              <w:keepNext w:val="0"/>
              <w:keepLines w:val="0"/>
              <w:widowControl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77" w:hRule="atLeast"/>
          <w:jc w:val="center"/>
        </w:trPr>
        <w:tc>
          <w:tcPr>
            <w:tcW w:w="318" w:type="pct"/>
            <w:vMerge w:val="continue"/>
            <w:tcBorders>
              <w:tl2br w:val="nil"/>
              <w:tr2bl w:val="nil"/>
            </w:tcBorders>
            <w:noWrap w:val="0"/>
            <w:vAlign w:val="center"/>
          </w:tcPr>
          <w:p>
            <w:pPr>
              <w:pStyle w:val="132"/>
              <w:keepNext w:val="0"/>
              <w:keepLines w:val="0"/>
              <w:widowControl w:val="0"/>
            </w:pPr>
          </w:p>
        </w:tc>
        <w:tc>
          <w:tcPr>
            <w:tcW w:w="552" w:type="pct"/>
            <w:tcBorders>
              <w:tl2br w:val="nil"/>
              <w:tr2bl w:val="nil"/>
            </w:tcBorders>
            <w:noWrap w:val="0"/>
            <w:vAlign w:val="center"/>
          </w:tcPr>
          <w:p>
            <w:pPr>
              <w:pStyle w:val="132"/>
              <w:keepNext w:val="0"/>
              <w:keepLines w:val="0"/>
              <w:widowControl w:val="0"/>
              <w:rPr>
                <w:rFonts w:hint="eastAsia" w:eastAsia="宋体"/>
                <w:lang w:eastAsia="zh-CN"/>
              </w:rPr>
            </w:pPr>
            <w:r>
              <w:rPr>
                <w:rFonts w:hint="eastAsia"/>
                <w:lang w:eastAsia="zh-CN"/>
              </w:rPr>
              <w:t>六价铬</w:t>
            </w:r>
          </w:p>
        </w:tc>
        <w:tc>
          <w:tcPr>
            <w:tcW w:w="650" w:type="pct"/>
            <w:tcBorders>
              <w:tl2br w:val="nil"/>
              <w:tr2bl w:val="nil"/>
            </w:tcBorders>
            <w:noWrap w:val="0"/>
            <w:vAlign w:val="center"/>
          </w:tcPr>
          <w:p>
            <w:pPr>
              <w:pStyle w:val="132"/>
              <w:keepNext w:val="0"/>
              <w:keepLines w:val="0"/>
              <w:widowControl w:val="0"/>
              <w:rPr>
                <w:rFonts w:hint="default" w:eastAsia="宋体"/>
                <w:lang w:val="en-US" w:eastAsia="zh-CN"/>
              </w:rPr>
            </w:pPr>
            <w:r>
              <w:rPr>
                <w:rFonts w:hint="eastAsia"/>
                <w:lang w:val="en-US" w:eastAsia="zh-CN"/>
              </w:rPr>
              <w:t>0.5</w:t>
            </w:r>
          </w:p>
        </w:tc>
        <w:tc>
          <w:tcPr>
            <w:tcW w:w="504" w:type="pct"/>
            <w:tcBorders>
              <w:tl2br w:val="nil"/>
              <w:tr2bl w:val="nil"/>
            </w:tcBorders>
            <w:noWrap w:val="0"/>
            <w:vAlign w:val="center"/>
          </w:tcPr>
          <w:p>
            <w:pPr>
              <w:pStyle w:val="132"/>
              <w:keepNext w:val="0"/>
              <w:keepLines w:val="0"/>
              <w:widowControl w:val="0"/>
              <w:rPr>
                <w:rFonts w:hint="default" w:eastAsia="宋体"/>
                <w:lang w:val="en-US" w:eastAsia="zh-CN"/>
              </w:rPr>
            </w:pPr>
            <w:r>
              <w:rPr>
                <w:rFonts w:hint="eastAsia"/>
                <w:lang w:val="en-US" w:eastAsia="zh-CN"/>
              </w:rPr>
              <w:t>0.0015</w:t>
            </w:r>
          </w:p>
        </w:tc>
        <w:tc>
          <w:tcPr>
            <w:tcW w:w="459" w:type="pct"/>
            <w:tcBorders>
              <w:tl2br w:val="nil"/>
              <w:tr2bl w:val="nil"/>
            </w:tcBorders>
            <w:noWrap w:val="0"/>
            <w:vAlign w:val="center"/>
          </w:tcPr>
          <w:p>
            <w:pPr>
              <w:pStyle w:val="132"/>
              <w:keepNext w:val="0"/>
              <w:keepLines w:val="0"/>
              <w:widowControl w:val="0"/>
              <w:rPr>
                <w:rFonts w:hint="default" w:eastAsia="宋体"/>
                <w:lang w:val="en-US" w:eastAsia="zh-CN"/>
              </w:rPr>
            </w:pPr>
            <w:r>
              <w:rPr>
                <w:rFonts w:hint="eastAsia"/>
                <w:lang w:val="en-US" w:eastAsia="zh-CN"/>
              </w:rPr>
              <w:t>0.05</w:t>
            </w:r>
          </w:p>
        </w:tc>
        <w:tc>
          <w:tcPr>
            <w:tcW w:w="475" w:type="pct"/>
            <w:tcBorders>
              <w:tl2br w:val="nil"/>
              <w:tr2bl w:val="nil"/>
            </w:tcBorders>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0.00015</w:t>
            </w:r>
          </w:p>
        </w:tc>
        <w:tc>
          <w:tcPr>
            <w:tcW w:w="494" w:type="pct"/>
            <w:tcBorders>
              <w:tl2br w:val="nil"/>
              <w:tr2bl w:val="nil"/>
            </w:tcBorders>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0.00135</w:t>
            </w:r>
          </w:p>
        </w:tc>
        <w:tc>
          <w:tcPr>
            <w:tcW w:w="235" w:type="pct"/>
            <w:vMerge w:val="continue"/>
            <w:tcBorders>
              <w:tl2br w:val="nil"/>
              <w:tr2bl w:val="nil"/>
            </w:tcBorders>
            <w:noWrap w:val="0"/>
            <w:vAlign w:val="center"/>
          </w:tcPr>
          <w:p>
            <w:pPr>
              <w:pStyle w:val="132"/>
              <w:keepNext w:val="0"/>
              <w:keepLines w:val="0"/>
              <w:widowControl w:val="0"/>
              <w:rPr>
                <w:rFonts w:hint="eastAsia"/>
              </w:rPr>
            </w:pPr>
          </w:p>
        </w:tc>
        <w:tc>
          <w:tcPr>
            <w:tcW w:w="596" w:type="pct"/>
            <w:tcBorders>
              <w:tl2br w:val="nil"/>
              <w:tr2bl w:val="nil"/>
            </w:tcBorders>
            <w:noWrap w:val="0"/>
            <w:vAlign w:val="center"/>
          </w:tcPr>
          <w:p>
            <w:pPr>
              <w:pStyle w:val="132"/>
              <w:keepNext w:val="0"/>
              <w:keepLines w:val="0"/>
              <w:widowControl w:val="0"/>
              <w:ind w:firstLine="0" w:firstLineChars="0"/>
              <w:rPr>
                <w:color w:val="auto"/>
              </w:rPr>
            </w:pPr>
            <w:r>
              <w:rPr>
                <w:rFonts w:hint="eastAsia"/>
                <w:color w:val="auto"/>
                <w:lang w:val="en-US" w:eastAsia="zh-CN"/>
              </w:rPr>
              <w:t>0.05</w:t>
            </w:r>
          </w:p>
        </w:tc>
        <w:tc>
          <w:tcPr>
            <w:tcW w:w="476" w:type="pct"/>
            <w:tcBorders>
              <w:tl2br w:val="nil"/>
              <w:tr2bl w:val="nil"/>
            </w:tcBorders>
            <w:noWrap w:val="0"/>
            <w:vAlign w:val="center"/>
          </w:tcPr>
          <w:p>
            <w:pPr>
              <w:pStyle w:val="132"/>
              <w:keepNext w:val="0"/>
              <w:keepLines w:val="0"/>
              <w:widowControl w:val="0"/>
              <w:ind w:firstLine="0" w:firstLineChars="0"/>
            </w:pPr>
            <w:r>
              <w:rPr>
                <w:rFonts w:hint="eastAsia" w:ascii="Times New Roman" w:hAnsi="Times New Roman" w:eastAsia="宋体" w:cs="Times New Roman"/>
                <w:lang w:val="en-US" w:eastAsia="zh-CN"/>
              </w:rPr>
              <w:t>0.00015</w:t>
            </w:r>
          </w:p>
        </w:tc>
        <w:tc>
          <w:tcPr>
            <w:tcW w:w="236" w:type="pct"/>
            <w:vMerge w:val="continue"/>
            <w:tcBorders>
              <w:tl2br w:val="nil"/>
              <w:tr2bl w:val="nil"/>
            </w:tcBorders>
            <w:noWrap w:val="0"/>
            <w:vAlign w:val="center"/>
          </w:tcPr>
          <w:p>
            <w:pPr>
              <w:pStyle w:val="132"/>
              <w:keepNext w:val="0"/>
              <w:keepLines w:val="0"/>
              <w:widowControl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3" w:hRule="atLeast"/>
          <w:jc w:val="center"/>
        </w:trPr>
        <w:tc>
          <w:tcPr>
            <w:tcW w:w="318" w:type="pct"/>
            <w:vMerge w:val="continue"/>
            <w:tcBorders>
              <w:tl2br w:val="nil"/>
              <w:tr2bl w:val="nil"/>
            </w:tcBorders>
            <w:noWrap w:val="0"/>
            <w:vAlign w:val="center"/>
          </w:tcPr>
          <w:p>
            <w:pPr>
              <w:pStyle w:val="132"/>
              <w:keepNext w:val="0"/>
              <w:keepLines w:val="0"/>
              <w:widowControl w:val="0"/>
            </w:pPr>
          </w:p>
        </w:tc>
        <w:tc>
          <w:tcPr>
            <w:tcW w:w="552" w:type="pct"/>
            <w:tcBorders>
              <w:tl2br w:val="nil"/>
              <w:tr2bl w:val="nil"/>
            </w:tcBorders>
            <w:noWrap w:val="0"/>
            <w:vAlign w:val="center"/>
          </w:tcPr>
          <w:p>
            <w:pPr>
              <w:pStyle w:val="132"/>
              <w:keepNext w:val="0"/>
              <w:keepLines w:val="0"/>
              <w:widowControl w:val="0"/>
              <w:rPr>
                <w:rFonts w:hint="eastAsia" w:eastAsia="宋体"/>
                <w:u w:val="single"/>
                <w:lang w:eastAsia="zh-CN"/>
              </w:rPr>
            </w:pPr>
            <w:r>
              <w:rPr>
                <w:rFonts w:hint="eastAsia"/>
                <w:u w:val="single"/>
                <w:lang w:eastAsia="zh-CN"/>
              </w:rPr>
              <w:t>总钒</w:t>
            </w:r>
          </w:p>
        </w:tc>
        <w:tc>
          <w:tcPr>
            <w:tcW w:w="650" w:type="pct"/>
            <w:tcBorders>
              <w:tl2br w:val="nil"/>
              <w:tr2bl w:val="nil"/>
            </w:tcBorders>
            <w:noWrap w:val="0"/>
            <w:vAlign w:val="center"/>
          </w:tcPr>
          <w:p>
            <w:pPr>
              <w:pStyle w:val="132"/>
              <w:keepNext w:val="0"/>
              <w:keepLines w:val="0"/>
              <w:widowControl w:val="0"/>
              <w:rPr>
                <w:rFonts w:hint="default" w:eastAsia="宋体"/>
                <w:u w:val="single"/>
                <w:lang w:val="en-US" w:eastAsia="zh-CN"/>
              </w:rPr>
            </w:pPr>
            <w:r>
              <w:rPr>
                <w:rFonts w:hint="eastAsia"/>
                <w:u w:val="single"/>
                <w:lang w:val="en-US" w:eastAsia="zh-CN"/>
              </w:rPr>
              <w:t>4.0</w:t>
            </w:r>
          </w:p>
        </w:tc>
        <w:tc>
          <w:tcPr>
            <w:tcW w:w="504" w:type="pct"/>
            <w:tcBorders>
              <w:tl2br w:val="nil"/>
              <w:tr2bl w:val="nil"/>
            </w:tcBorders>
            <w:noWrap w:val="0"/>
            <w:vAlign w:val="center"/>
          </w:tcPr>
          <w:p>
            <w:pPr>
              <w:pStyle w:val="132"/>
              <w:keepNext w:val="0"/>
              <w:keepLines w:val="0"/>
              <w:widowControl w:val="0"/>
              <w:rPr>
                <w:rFonts w:hint="default" w:eastAsia="宋体"/>
                <w:u w:val="single"/>
                <w:lang w:val="en-US" w:eastAsia="zh-CN"/>
              </w:rPr>
            </w:pPr>
            <w:r>
              <w:rPr>
                <w:rFonts w:hint="eastAsia"/>
                <w:u w:val="single"/>
                <w:lang w:val="en-US" w:eastAsia="zh-CN"/>
              </w:rPr>
              <w:t>0.012</w:t>
            </w:r>
          </w:p>
        </w:tc>
        <w:tc>
          <w:tcPr>
            <w:tcW w:w="459" w:type="pct"/>
            <w:tcBorders>
              <w:tl2br w:val="nil"/>
              <w:tr2bl w:val="nil"/>
            </w:tcBorders>
            <w:noWrap w:val="0"/>
            <w:vAlign w:val="center"/>
          </w:tcPr>
          <w:p>
            <w:pPr>
              <w:pStyle w:val="132"/>
              <w:keepNext w:val="0"/>
              <w:keepLines w:val="0"/>
              <w:widowControl w:val="0"/>
              <w:rPr>
                <w:rFonts w:hint="default" w:eastAsia="宋体"/>
                <w:color w:val="auto"/>
                <w:u w:val="single"/>
                <w:lang w:val="en-US" w:eastAsia="zh-CN"/>
              </w:rPr>
            </w:pPr>
            <w:r>
              <w:rPr>
                <w:rFonts w:hint="eastAsia"/>
                <w:color w:val="auto"/>
                <w:u w:val="single"/>
                <w:lang w:val="en-US" w:eastAsia="zh-CN"/>
              </w:rPr>
              <w:t>1.0</w:t>
            </w:r>
          </w:p>
        </w:tc>
        <w:tc>
          <w:tcPr>
            <w:tcW w:w="475" w:type="pct"/>
            <w:tcBorders>
              <w:tl2br w:val="nil"/>
              <w:tr2bl w:val="nil"/>
            </w:tcBorders>
            <w:noWrap w:val="0"/>
            <w:vAlign w:val="center"/>
          </w:tcPr>
          <w:p>
            <w:pPr>
              <w:pStyle w:val="132"/>
              <w:keepNext w:val="0"/>
              <w:keepLines w:val="0"/>
              <w:widowControl w:val="0"/>
              <w:rPr>
                <w:rFonts w:hint="default" w:ascii="Times New Roman" w:hAnsi="Times New Roman" w:eastAsia="宋体" w:cs="Times New Roman"/>
                <w:color w:val="auto"/>
                <w:u w:val="single"/>
                <w:lang w:val="en-US" w:eastAsia="zh-CN"/>
              </w:rPr>
            </w:pPr>
            <w:r>
              <w:rPr>
                <w:rFonts w:hint="eastAsia" w:ascii="Times New Roman" w:hAnsi="Times New Roman" w:eastAsia="宋体" w:cs="Times New Roman"/>
                <w:color w:val="auto"/>
                <w:u w:val="single"/>
                <w:lang w:val="en-US" w:eastAsia="zh-CN"/>
              </w:rPr>
              <w:t>0.00</w:t>
            </w:r>
            <w:r>
              <w:rPr>
                <w:rFonts w:hint="eastAsia" w:eastAsia="宋体" w:cs="Times New Roman"/>
                <w:color w:val="auto"/>
                <w:u w:val="single"/>
                <w:lang w:val="en-US" w:eastAsia="zh-CN"/>
              </w:rPr>
              <w:t>3</w:t>
            </w:r>
          </w:p>
        </w:tc>
        <w:tc>
          <w:tcPr>
            <w:tcW w:w="494" w:type="pct"/>
            <w:tcBorders>
              <w:tl2br w:val="nil"/>
              <w:tr2bl w:val="nil"/>
            </w:tcBorders>
            <w:noWrap w:val="0"/>
            <w:vAlign w:val="center"/>
          </w:tcPr>
          <w:p>
            <w:pPr>
              <w:pStyle w:val="132"/>
              <w:keepNext w:val="0"/>
              <w:keepLines w:val="0"/>
              <w:widowControl w:val="0"/>
              <w:rPr>
                <w:rFonts w:hint="eastAsia" w:ascii="Times New Roman" w:hAnsi="Times New Roman" w:eastAsia="宋体" w:cs="Times New Roman"/>
                <w:color w:val="auto"/>
                <w:u w:val="single"/>
                <w:lang w:val="en-US" w:eastAsia="zh-CN"/>
              </w:rPr>
            </w:pPr>
            <w:r>
              <w:rPr>
                <w:rFonts w:hint="eastAsia" w:ascii="Times New Roman" w:hAnsi="Times New Roman" w:eastAsia="宋体" w:cs="Times New Roman"/>
                <w:color w:val="auto"/>
                <w:u w:val="single"/>
                <w:lang w:val="en-US" w:eastAsia="zh-CN"/>
              </w:rPr>
              <w:t>0.00</w:t>
            </w:r>
            <w:r>
              <w:rPr>
                <w:rFonts w:hint="eastAsia" w:eastAsia="宋体" w:cs="Times New Roman"/>
                <w:color w:val="auto"/>
                <w:u w:val="single"/>
                <w:lang w:val="en-US" w:eastAsia="zh-CN"/>
              </w:rPr>
              <w:t>9</w:t>
            </w:r>
          </w:p>
        </w:tc>
        <w:tc>
          <w:tcPr>
            <w:tcW w:w="235" w:type="pct"/>
            <w:vMerge w:val="continue"/>
            <w:tcBorders>
              <w:tl2br w:val="nil"/>
              <w:tr2bl w:val="nil"/>
            </w:tcBorders>
            <w:noWrap w:val="0"/>
            <w:vAlign w:val="center"/>
          </w:tcPr>
          <w:p>
            <w:pPr>
              <w:pStyle w:val="132"/>
              <w:keepNext w:val="0"/>
              <w:keepLines w:val="0"/>
              <w:widowControl w:val="0"/>
              <w:rPr>
                <w:u w:val="single"/>
              </w:rPr>
            </w:pPr>
          </w:p>
        </w:tc>
        <w:tc>
          <w:tcPr>
            <w:tcW w:w="596" w:type="pct"/>
            <w:tcBorders>
              <w:tl2br w:val="nil"/>
              <w:tr2bl w:val="nil"/>
            </w:tcBorders>
            <w:noWrap w:val="0"/>
            <w:vAlign w:val="center"/>
          </w:tcPr>
          <w:p>
            <w:pPr>
              <w:pStyle w:val="132"/>
              <w:keepNext w:val="0"/>
              <w:keepLines w:val="0"/>
              <w:widowControl w:val="0"/>
              <w:ind w:firstLine="0" w:firstLineChars="0"/>
              <w:rPr>
                <w:color w:val="auto"/>
                <w:u w:val="single"/>
              </w:rPr>
            </w:pPr>
            <w:r>
              <w:rPr>
                <w:rFonts w:hint="eastAsia"/>
                <w:color w:val="auto"/>
                <w:u w:val="single"/>
                <w:lang w:val="en-US" w:eastAsia="zh-CN"/>
              </w:rPr>
              <w:t>1.0</w:t>
            </w:r>
          </w:p>
        </w:tc>
        <w:tc>
          <w:tcPr>
            <w:tcW w:w="476" w:type="pct"/>
            <w:tcBorders>
              <w:tl2br w:val="nil"/>
              <w:tr2bl w:val="nil"/>
            </w:tcBorders>
            <w:noWrap w:val="0"/>
            <w:vAlign w:val="center"/>
          </w:tcPr>
          <w:p>
            <w:pPr>
              <w:pStyle w:val="132"/>
              <w:keepNext w:val="0"/>
              <w:keepLines w:val="0"/>
              <w:widowControl w:val="0"/>
              <w:ind w:firstLine="0" w:firstLineChars="0"/>
              <w:rPr>
                <w:u w:val="single"/>
              </w:rPr>
            </w:pPr>
            <w:r>
              <w:rPr>
                <w:rFonts w:hint="eastAsia" w:ascii="Times New Roman" w:hAnsi="Times New Roman" w:eastAsia="宋体" w:cs="Times New Roman"/>
                <w:u w:val="single"/>
                <w:lang w:val="en-US" w:eastAsia="zh-CN"/>
              </w:rPr>
              <w:t>0.00</w:t>
            </w:r>
            <w:r>
              <w:rPr>
                <w:rFonts w:hint="eastAsia" w:eastAsia="宋体" w:cs="Times New Roman"/>
                <w:u w:val="single"/>
                <w:lang w:val="en-US" w:eastAsia="zh-CN"/>
              </w:rPr>
              <w:t>3</w:t>
            </w:r>
          </w:p>
        </w:tc>
        <w:tc>
          <w:tcPr>
            <w:tcW w:w="236" w:type="pct"/>
            <w:vMerge w:val="continue"/>
            <w:tcBorders>
              <w:tl2br w:val="nil"/>
              <w:tr2bl w:val="nil"/>
            </w:tcBorders>
            <w:noWrap w:val="0"/>
            <w:vAlign w:val="center"/>
          </w:tcPr>
          <w:p>
            <w:pPr>
              <w:pStyle w:val="132"/>
              <w:keepNext w:val="0"/>
              <w:keepLines w:val="0"/>
              <w:widowControl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73" w:hRule="atLeast"/>
          <w:jc w:val="center"/>
        </w:trPr>
        <w:tc>
          <w:tcPr>
            <w:tcW w:w="318" w:type="pct"/>
            <w:vMerge w:val="continue"/>
            <w:tcBorders>
              <w:tl2br w:val="nil"/>
              <w:tr2bl w:val="nil"/>
            </w:tcBorders>
            <w:noWrap w:val="0"/>
            <w:vAlign w:val="center"/>
          </w:tcPr>
          <w:p>
            <w:pPr>
              <w:pStyle w:val="132"/>
              <w:keepNext w:val="0"/>
              <w:keepLines w:val="0"/>
              <w:widowControl w:val="0"/>
            </w:pPr>
          </w:p>
        </w:tc>
        <w:tc>
          <w:tcPr>
            <w:tcW w:w="552" w:type="pct"/>
            <w:tcBorders>
              <w:tl2br w:val="nil"/>
              <w:tr2bl w:val="nil"/>
            </w:tcBorders>
            <w:noWrap w:val="0"/>
            <w:vAlign w:val="center"/>
          </w:tcPr>
          <w:p>
            <w:pPr>
              <w:pStyle w:val="132"/>
              <w:keepNext w:val="0"/>
              <w:keepLines w:val="0"/>
              <w:widowControl w:val="0"/>
              <w:rPr>
                <w:rFonts w:hint="eastAsia" w:eastAsia="宋体"/>
                <w:lang w:eastAsia="zh-CN"/>
              </w:rPr>
            </w:pPr>
            <w:r>
              <w:rPr>
                <w:rFonts w:hint="eastAsia"/>
                <w:lang w:eastAsia="zh-CN"/>
              </w:rPr>
              <w:t>总锌</w:t>
            </w:r>
          </w:p>
        </w:tc>
        <w:tc>
          <w:tcPr>
            <w:tcW w:w="650" w:type="pct"/>
            <w:tcBorders>
              <w:tl2br w:val="nil"/>
              <w:tr2bl w:val="nil"/>
            </w:tcBorders>
            <w:noWrap w:val="0"/>
            <w:vAlign w:val="center"/>
          </w:tcPr>
          <w:p>
            <w:pPr>
              <w:pStyle w:val="132"/>
              <w:keepNext w:val="0"/>
              <w:keepLines w:val="0"/>
              <w:widowControl w:val="0"/>
              <w:rPr>
                <w:rFonts w:hint="default" w:eastAsia="宋体"/>
                <w:lang w:val="en-US" w:eastAsia="zh-CN"/>
              </w:rPr>
            </w:pPr>
            <w:r>
              <w:rPr>
                <w:rFonts w:hint="eastAsia"/>
                <w:lang w:val="en-US" w:eastAsia="zh-CN"/>
              </w:rPr>
              <w:t>5.0</w:t>
            </w:r>
          </w:p>
        </w:tc>
        <w:tc>
          <w:tcPr>
            <w:tcW w:w="504" w:type="pct"/>
            <w:tcBorders>
              <w:tl2br w:val="nil"/>
              <w:tr2bl w:val="nil"/>
            </w:tcBorders>
            <w:noWrap w:val="0"/>
            <w:vAlign w:val="center"/>
          </w:tcPr>
          <w:p>
            <w:pPr>
              <w:pStyle w:val="132"/>
              <w:keepNext w:val="0"/>
              <w:keepLines w:val="0"/>
              <w:widowControl w:val="0"/>
              <w:rPr>
                <w:rFonts w:hint="default" w:eastAsia="宋体"/>
                <w:lang w:val="en-US" w:eastAsia="zh-CN"/>
              </w:rPr>
            </w:pPr>
            <w:r>
              <w:rPr>
                <w:rFonts w:hint="eastAsia"/>
                <w:lang w:val="en-US" w:eastAsia="zh-CN"/>
              </w:rPr>
              <w:t>0.015</w:t>
            </w:r>
          </w:p>
        </w:tc>
        <w:tc>
          <w:tcPr>
            <w:tcW w:w="459" w:type="pct"/>
            <w:tcBorders>
              <w:tl2br w:val="nil"/>
              <w:tr2bl w:val="nil"/>
            </w:tcBorders>
            <w:noWrap w:val="0"/>
            <w:vAlign w:val="center"/>
          </w:tcPr>
          <w:p>
            <w:pPr>
              <w:pStyle w:val="132"/>
              <w:keepNext w:val="0"/>
              <w:keepLines w:val="0"/>
              <w:widowControl w:val="0"/>
              <w:rPr>
                <w:rFonts w:hint="default" w:eastAsia="宋体"/>
                <w:lang w:val="en-US" w:eastAsia="zh-CN"/>
              </w:rPr>
            </w:pPr>
            <w:r>
              <w:rPr>
                <w:rFonts w:hint="eastAsia"/>
                <w:lang w:val="en-US" w:eastAsia="zh-CN"/>
              </w:rPr>
              <w:t>1.0</w:t>
            </w:r>
          </w:p>
        </w:tc>
        <w:tc>
          <w:tcPr>
            <w:tcW w:w="475" w:type="pct"/>
            <w:tcBorders>
              <w:tl2br w:val="nil"/>
              <w:tr2bl w:val="nil"/>
            </w:tcBorders>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0.003</w:t>
            </w:r>
          </w:p>
        </w:tc>
        <w:tc>
          <w:tcPr>
            <w:tcW w:w="494" w:type="pct"/>
            <w:tcBorders>
              <w:tl2br w:val="nil"/>
              <w:tr2bl w:val="nil"/>
            </w:tcBorders>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0.012</w:t>
            </w:r>
          </w:p>
        </w:tc>
        <w:tc>
          <w:tcPr>
            <w:tcW w:w="235" w:type="pct"/>
            <w:vMerge w:val="continue"/>
            <w:tcBorders>
              <w:tl2br w:val="nil"/>
              <w:tr2bl w:val="nil"/>
            </w:tcBorders>
            <w:noWrap w:val="0"/>
            <w:vAlign w:val="center"/>
          </w:tcPr>
          <w:p>
            <w:pPr>
              <w:pStyle w:val="132"/>
              <w:keepNext w:val="0"/>
              <w:keepLines w:val="0"/>
              <w:widowControl w:val="0"/>
            </w:pPr>
          </w:p>
        </w:tc>
        <w:tc>
          <w:tcPr>
            <w:tcW w:w="596" w:type="pct"/>
            <w:tcBorders>
              <w:tl2br w:val="nil"/>
              <w:tr2bl w:val="nil"/>
            </w:tcBorders>
            <w:noWrap w:val="0"/>
            <w:vAlign w:val="center"/>
          </w:tcPr>
          <w:p>
            <w:pPr>
              <w:pStyle w:val="132"/>
              <w:keepNext w:val="0"/>
              <w:keepLines w:val="0"/>
              <w:widowControl w:val="0"/>
              <w:ind w:firstLine="0" w:firstLineChars="0"/>
              <w:rPr>
                <w:color w:val="auto"/>
              </w:rPr>
            </w:pPr>
            <w:r>
              <w:rPr>
                <w:rFonts w:hint="eastAsia"/>
                <w:color w:val="auto"/>
                <w:lang w:val="en-US" w:eastAsia="zh-CN"/>
              </w:rPr>
              <w:t>1.0</w:t>
            </w:r>
          </w:p>
        </w:tc>
        <w:tc>
          <w:tcPr>
            <w:tcW w:w="476" w:type="pct"/>
            <w:tcBorders>
              <w:tl2br w:val="nil"/>
              <w:tr2bl w:val="nil"/>
            </w:tcBorders>
            <w:noWrap w:val="0"/>
            <w:vAlign w:val="center"/>
          </w:tcPr>
          <w:p>
            <w:pPr>
              <w:pStyle w:val="132"/>
              <w:keepNext w:val="0"/>
              <w:keepLines w:val="0"/>
              <w:widowControl w:val="0"/>
              <w:ind w:firstLine="0" w:firstLineChars="0"/>
            </w:pPr>
            <w:r>
              <w:rPr>
                <w:rFonts w:hint="eastAsia" w:ascii="Times New Roman" w:hAnsi="Times New Roman" w:eastAsia="宋体" w:cs="Times New Roman"/>
                <w:lang w:val="en-US" w:eastAsia="zh-CN"/>
              </w:rPr>
              <w:t>0.003</w:t>
            </w:r>
          </w:p>
        </w:tc>
        <w:tc>
          <w:tcPr>
            <w:tcW w:w="236" w:type="pct"/>
            <w:vMerge w:val="continue"/>
            <w:tcBorders>
              <w:tl2br w:val="nil"/>
              <w:tr2bl w:val="nil"/>
            </w:tcBorders>
            <w:noWrap w:val="0"/>
            <w:vAlign w:val="center"/>
          </w:tcPr>
          <w:p>
            <w:pPr>
              <w:pStyle w:val="132"/>
              <w:keepNext w:val="0"/>
              <w:keepLines w:val="0"/>
              <w:widowControl w:val="0"/>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89" w:hRule="atLeast"/>
          <w:jc w:val="center"/>
        </w:trPr>
        <w:tc>
          <w:tcPr>
            <w:tcW w:w="318" w:type="pct"/>
            <w:vMerge w:val="continue"/>
            <w:tcBorders>
              <w:tl2br w:val="nil"/>
              <w:tr2bl w:val="nil"/>
            </w:tcBorders>
            <w:noWrap w:val="0"/>
            <w:vAlign w:val="center"/>
          </w:tcPr>
          <w:p>
            <w:pPr>
              <w:pStyle w:val="132"/>
              <w:keepNext w:val="0"/>
              <w:keepLines w:val="0"/>
              <w:widowControl w:val="0"/>
            </w:pPr>
          </w:p>
        </w:tc>
        <w:tc>
          <w:tcPr>
            <w:tcW w:w="552" w:type="pct"/>
            <w:tcBorders>
              <w:tl2br w:val="nil"/>
              <w:tr2bl w:val="nil"/>
            </w:tcBorders>
            <w:noWrap w:val="0"/>
            <w:vAlign w:val="center"/>
          </w:tcPr>
          <w:p>
            <w:pPr>
              <w:pStyle w:val="132"/>
              <w:keepNext w:val="0"/>
              <w:keepLines w:val="0"/>
              <w:widowControl w:val="0"/>
              <w:rPr>
                <w:rFonts w:hint="eastAsia" w:eastAsia="宋体"/>
                <w:lang w:eastAsia="zh-CN"/>
              </w:rPr>
            </w:pPr>
            <w:r>
              <w:rPr>
                <w:rFonts w:hint="eastAsia"/>
                <w:lang w:eastAsia="zh-CN"/>
              </w:rPr>
              <w:t>总铅</w:t>
            </w:r>
          </w:p>
        </w:tc>
        <w:tc>
          <w:tcPr>
            <w:tcW w:w="650" w:type="pct"/>
            <w:tcBorders>
              <w:tl2br w:val="nil"/>
              <w:tr2bl w:val="nil"/>
            </w:tcBorders>
            <w:noWrap w:val="0"/>
            <w:vAlign w:val="center"/>
          </w:tcPr>
          <w:p>
            <w:pPr>
              <w:pStyle w:val="132"/>
              <w:keepNext w:val="0"/>
              <w:keepLines w:val="0"/>
              <w:widowControl w:val="0"/>
              <w:rPr>
                <w:rFonts w:hint="default" w:eastAsia="宋体"/>
                <w:lang w:val="en-US" w:eastAsia="zh-CN"/>
              </w:rPr>
            </w:pPr>
            <w:r>
              <w:rPr>
                <w:rFonts w:hint="eastAsia"/>
                <w:lang w:val="en-US" w:eastAsia="zh-CN"/>
              </w:rPr>
              <w:t>1.0</w:t>
            </w:r>
          </w:p>
        </w:tc>
        <w:tc>
          <w:tcPr>
            <w:tcW w:w="504" w:type="pct"/>
            <w:tcBorders>
              <w:tl2br w:val="nil"/>
              <w:tr2bl w:val="nil"/>
            </w:tcBorders>
            <w:noWrap w:val="0"/>
            <w:vAlign w:val="center"/>
          </w:tcPr>
          <w:p>
            <w:pPr>
              <w:pStyle w:val="132"/>
              <w:keepNext w:val="0"/>
              <w:keepLines w:val="0"/>
              <w:widowControl w:val="0"/>
              <w:rPr>
                <w:rFonts w:hint="default" w:eastAsia="宋体"/>
                <w:lang w:val="en-US" w:eastAsia="zh-CN"/>
              </w:rPr>
            </w:pPr>
            <w:r>
              <w:rPr>
                <w:rFonts w:hint="eastAsia"/>
                <w:lang w:val="en-US" w:eastAsia="zh-CN"/>
              </w:rPr>
              <w:t>0.003</w:t>
            </w:r>
          </w:p>
        </w:tc>
        <w:tc>
          <w:tcPr>
            <w:tcW w:w="459" w:type="pct"/>
            <w:tcBorders>
              <w:tl2br w:val="nil"/>
              <w:tr2bl w:val="nil"/>
            </w:tcBorders>
            <w:noWrap w:val="0"/>
            <w:vAlign w:val="center"/>
          </w:tcPr>
          <w:p>
            <w:pPr>
              <w:pStyle w:val="132"/>
              <w:keepNext w:val="0"/>
              <w:keepLines w:val="0"/>
              <w:widowControl w:val="0"/>
              <w:rPr>
                <w:rFonts w:hint="default" w:eastAsia="宋体"/>
                <w:lang w:val="en-US" w:eastAsia="zh-CN"/>
              </w:rPr>
            </w:pPr>
            <w:r>
              <w:rPr>
                <w:rFonts w:hint="eastAsia"/>
                <w:lang w:val="en-US" w:eastAsia="zh-CN"/>
              </w:rPr>
              <w:t>0.1</w:t>
            </w:r>
          </w:p>
        </w:tc>
        <w:tc>
          <w:tcPr>
            <w:tcW w:w="475" w:type="pct"/>
            <w:tcBorders>
              <w:tl2br w:val="nil"/>
              <w:tr2bl w:val="nil"/>
            </w:tcBorders>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0.0003</w:t>
            </w:r>
          </w:p>
        </w:tc>
        <w:tc>
          <w:tcPr>
            <w:tcW w:w="494" w:type="pct"/>
            <w:tcBorders>
              <w:tl2br w:val="nil"/>
              <w:tr2bl w:val="nil"/>
            </w:tcBorders>
            <w:noWrap w:val="0"/>
            <w:vAlign w:val="center"/>
          </w:tcPr>
          <w:p>
            <w:pPr>
              <w:pStyle w:val="132"/>
              <w:keepNext w:val="0"/>
              <w:keepLines w:val="0"/>
              <w:widowControl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0.0027</w:t>
            </w:r>
          </w:p>
        </w:tc>
        <w:tc>
          <w:tcPr>
            <w:tcW w:w="235" w:type="pct"/>
            <w:vMerge w:val="continue"/>
            <w:tcBorders>
              <w:tl2br w:val="nil"/>
              <w:tr2bl w:val="nil"/>
            </w:tcBorders>
            <w:noWrap w:val="0"/>
            <w:vAlign w:val="center"/>
          </w:tcPr>
          <w:p>
            <w:pPr>
              <w:pStyle w:val="132"/>
              <w:keepNext w:val="0"/>
              <w:keepLines w:val="0"/>
              <w:widowControl w:val="0"/>
            </w:pPr>
          </w:p>
        </w:tc>
        <w:tc>
          <w:tcPr>
            <w:tcW w:w="596" w:type="pct"/>
            <w:tcBorders>
              <w:tl2br w:val="nil"/>
              <w:tr2bl w:val="nil"/>
            </w:tcBorders>
            <w:noWrap w:val="0"/>
            <w:vAlign w:val="center"/>
          </w:tcPr>
          <w:p>
            <w:pPr>
              <w:pStyle w:val="132"/>
              <w:keepNext w:val="0"/>
              <w:keepLines w:val="0"/>
              <w:widowControl w:val="0"/>
              <w:ind w:firstLine="0" w:firstLineChars="0"/>
              <w:rPr>
                <w:color w:val="auto"/>
              </w:rPr>
            </w:pPr>
            <w:r>
              <w:rPr>
                <w:rFonts w:hint="eastAsia"/>
                <w:color w:val="auto"/>
                <w:lang w:val="en-US" w:eastAsia="zh-CN"/>
              </w:rPr>
              <w:t>0.1</w:t>
            </w:r>
          </w:p>
        </w:tc>
        <w:tc>
          <w:tcPr>
            <w:tcW w:w="476" w:type="pct"/>
            <w:tcBorders>
              <w:tl2br w:val="nil"/>
              <w:tr2bl w:val="nil"/>
            </w:tcBorders>
            <w:noWrap w:val="0"/>
            <w:vAlign w:val="center"/>
          </w:tcPr>
          <w:p>
            <w:pPr>
              <w:pStyle w:val="132"/>
              <w:keepNext w:val="0"/>
              <w:keepLines w:val="0"/>
              <w:widowControl w:val="0"/>
              <w:ind w:firstLine="0" w:firstLineChars="0"/>
            </w:pPr>
            <w:r>
              <w:rPr>
                <w:rFonts w:hint="eastAsia" w:ascii="Times New Roman" w:hAnsi="Times New Roman" w:eastAsia="宋体" w:cs="Times New Roman"/>
                <w:lang w:val="en-US" w:eastAsia="zh-CN"/>
              </w:rPr>
              <w:t>0.0003</w:t>
            </w:r>
          </w:p>
        </w:tc>
        <w:tc>
          <w:tcPr>
            <w:tcW w:w="236" w:type="pct"/>
            <w:vMerge w:val="continue"/>
            <w:tcBorders>
              <w:tl2br w:val="nil"/>
              <w:tr2bl w:val="nil"/>
            </w:tcBorders>
            <w:noWrap w:val="0"/>
            <w:vAlign w:val="center"/>
          </w:tcPr>
          <w:p>
            <w:pPr>
              <w:pStyle w:val="132"/>
              <w:keepNext w:val="0"/>
              <w:keepLines w:val="0"/>
              <w:widowControl w:val="0"/>
            </w:pPr>
          </w:p>
        </w:tc>
      </w:tr>
    </w:tbl>
    <w:p>
      <w:pPr>
        <w:keepNext/>
        <w:keepLines/>
        <w:widowControl w:val="0"/>
        <w:adjustRightInd w:val="0"/>
        <w:snapToGrid w:val="0"/>
        <w:spacing w:before="163" w:beforeLines="50"/>
        <w:ind w:firstLine="0" w:firstLineChars="0"/>
        <w:outlineLvl w:val="1"/>
        <w:rPr>
          <w:rFonts w:hint="default" w:ascii="Times New Roman" w:hAnsi="Times New Roman" w:eastAsia="宋体" w:cs="Times New Roman"/>
          <w:b/>
          <w:color w:val="000000"/>
          <w:sz w:val="28"/>
          <w:szCs w:val="32"/>
          <w:lang w:val="en-US" w:eastAsia="zh-CN"/>
        </w:rPr>
      </w:pPr>
      <w:r>
        <w:rPr>
          <w:rFonts w:hint="eastAsia" w:ascii="Times New Roman" w:hAnsi="Times New Roman" w:eastAsia="宋体" w:cs="Times New Roman"/>
          <w:b/>
          <w:color w:val="000000"/>
          <w:sz w:val="28"/>
          <w:szCs w:val="32"/>
          <w:lang w:val="en-US" w:eastAsia="zh-CN"/>
        </w:rPr>
        <w:t>4.2.2.2 项目进出水水质情况</w:t>
      </w:r>
    </w:p>
    <w:p>
      <w:pPr>
        <w:pStyle w:val="16"/>
        <w:spacing w:before="135" w:line="355" w:lineRule="auto"/>
        <w:ind w:left="237" w:right="115" w:firstLine="480"/>
        <w:jc w:val="left"/>
      </w:pPr>
      <w:r>
        <w:rPr>
          <w:rFonts w:hint="eastAsia"/>
          <w:spacing w:val="-3"/>
          <w:lang w:val="en-US" w:eastAsia="zh-CN"/>
        </w:rPr>
        <w:t>本项目污水处理站进出水水质见下表：</w:t>
      </w:r>
    </w:p>
    <w:p>
      <w:pPr>
        <w:spacing w:line="360" w:lineRule="auto"/>
        <w:ind w:firstLine="422"/>
        <w:jc w:val="center"/>
        <w:rPr>
          <w:rFonts w:hint="eastAsia" w:ascii="Times New Roman" w:hAnsi="Times New Roman" w:eastAsia="宋体" w:cs="Times New Roman"/>
          <w:b/>
          <w:color w:val="000000"/>
          <w:kern w:val="0"/>
          <w:sz w:val="21"/>
          <w:szCs w:val="21"/>
        </w:rPr>
      </w:pPr>
      <w:r>
        <w:rPr>
          <w:rFonts w:hint="eastAsia" w:ascii="Times New Roman" w:hAnsi="Times New Roman" w:eastAsia="宋体" w:cs="Times New Roman"/>
          <w:b/>
          <w:color w:val="000000"/>
          <w:kern w:val="0"/>
          <w:sz w:val="21"/>
          <w:szCs w:val="21"/>
        </w:rPr>
        <w:t xml:space="preserve">表 </w:t>
      </w:r>
      <w:r>
        <w:rPr>
          <w:rFonts w:hint="eastAsia" w:eastAsia="宋体" w:cs="Times New Roman"/>
          <w:b/>
          <w:color w:val="000000"/>
          <w:kern w:val="0"/>
          <w:sz w:val="21"/>
          <w:szCs w:val="21"/>
          <w:lang w:val="en-US" w:eastAsia="zh-CN"/>
        </w:rPr>
        <w:t>4.2</w:t>
      </w:r>
      <w:r>
        <w:rPr>
          <w:rFonts w:hint="eastAsia" w:ascii="Times New Roman" w:hAnsi="Times New Roman" w:eastAsia="宋体" w:cs="Times New Roman"/>
          <w:b/>
          <w:color w:val="000000"/>
          <w:kern w:val="0"/>
          <w:sz w:val="21"/>
          <w:szCs w:val="21"/>
        </w:rPr>
        <w:t>-</w:t>
      </w:r>
      <w:r>
        <w:rPr>
          <w:rFonts w:hint="eastAsia" w:eastAsia="宋体" w:cs="Times New Roman"/>
          <w:b/>
          <w:color w:val="000000"/>
          <w:kern w:val="0"/>
          <w:sz w:val="21"/>
          <w:szCs w:val="21"/>
          <w:lang w:val="en-US" w:eastAsia="zh-CN"/>
        </w:rPr>
        <w:t>2</w:t>
      </w:r>
      <w:r>
        <w:rPr>
          <w:rFonts w:hint="eastAsia" w:ascii="Times New Roman" w:hAnsi="Times New Roman" w:eastAsia="宋体" w:cs="Times New Roman"/>
          <w:b/>
          <w:color w:val="000000"/>
          <w:kern w:val="0"/>
          <w:sz w:val="21"/>
          <w:szCs w:val="21"/>
        </w:rPr>
        <w:t xml:space="preserve"> 废水处理站进、出水水质</w:t>
      </w:r>
      <w:r>
        <w:rPr>
          <w:rFonts w:hint="eastAsia" w:eastAsia="宋体" w:cs="Times New Roman"/>
          <w:b/>
          <w:color w:val="000000"/>
          <w:kern w:val="0"/>
          <w:sz w:val="21"/>
          <w:szCs w:val="21"/>
          <w:lang w:eastAsia="zh-CN"/>
        </w:rPr>
        <w:t>一览表</w:t>
      </w:r>
      <w:r>
        <w:rPr>
          <w:rFonts w:hint="eastAsia" w:ascii="Times New Roman" w:hAnsi="Times New Roman" w:eastAsia="宋体" w:cs="Times New Roman"/>
          <w:b/>
          <w:color w:val="000000"/>
          <w:kern w:val="0"/>
          <w:sz w:val="21"/>
          <w:szCs w:val="21"/>
        </w:rPr>
        <w:t>（单位 mg/L）</w:t>
      </w:r>
    </w:p>
    <w:tbl>
      <w:tblPr>
        <w:tblStyle w:val="37"/>
        <w:tblW w:w="0" w:type="auto"/>
        <w:tblInd w:w="117" w:type="dxa"/>
        <w:tblLayout w:type="fixed"/>
        <w:tblCellMar>
          <w:top w:w="0" w:type="dxa"/>
          <w:left w:w="0" w:type="dxa"/>
          <w:bottom w:w="0" w:type="dxa"/>
          <w:right w:w="0" w:type="dxa"/>
        </w:tblCellMar>
      </w:tblPr>
      <w:tblGrid>
        <w:gridCol w:w="1866"/>
        <w:gridCol w:w="959"/>
        <w:gridCol w:w="1043"/>
        <w:gridCol w:w="958"/>
        <w:gridCol w:w="958"/>
        <w:gridCol w:w="1096"/>
        <w:gridCol w:w="1096"/>
      </w:tblGrid>
      <w:tr>
        <w:trPr>
          <w:trHeight w:val="367" w:hRule="exact"/>
        </w:trPr>
        <w:tc>
          <w:tcPr>
            <w:tcW w:w="1866" w:type="dxa"/>
            <w:tcBorders>
              <w:top w:val="single" w:color="000000" w:sz="12"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项目</w:t>
            </w:r>
          </w:p>
        </w:tc>
        <w:tc>
          <w:tcPr>
            <w:tcW w:w="959" w:type="dxa"/>
            <w:tcBorders>
              <w:top w:val="single" w:color="000000" w:sz="12"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总锰</w:t>
            </w:r>
          </w:p>
        </w:tc>
        <w:tc>
          <w:tcPr>
            <w:tcW w:w="1043" w:type="dxa"/>
            <w:tcBorders>
              <w:top w:val="single" w:color="000000" w:sz="12"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总铬</w:t>
            </w:r>
          </w:p>
        </w:tc>
        <w:tc>
          <w:tcPr>
            <w:tcW w:w="958" w:type="dxa"/>
            <w:tcBorders>
              <w:top w:val="single" w:color="000000" w:sz="12"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六价铬</w:t>
            </w:r>
          </w:p>
        </w:tc>
        <w:tc>
          <w:tcPr>
            <w:tcW w:w="958" w:type="dxa"/>
            <w:tcBorders>
              <w:top w:val="single" w:color="000000" w:sz="12"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总钒</w:t>
            </w:r>
          </w:p>
        </w:tc>
        <w:tc>
          <w:tcPr>
            <w:tcW w:w="1096" w:type="dxa"/>
            <w:tcBorders>
              <w:top w:val="single" w:color="000000" w:sz="12"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锌</w:t>
            </w:r>
          </w:p>
        </w:tc>
        <w:tc>
          <w:tcPr>
            <w:tcW w:w="1096" w:type="dxa"/>
            <w:tcBorders>
              <w:top w:val="single" w:color="000000" w:sz="12"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铅</w:t>
            </w:r>
          </w:p>
        </w:tc>
      </w:tr>
      <w:tr>
        <w:trPr>
          <w:trHeight w:val="358" w:hRule="exact"/>
        </w:trPr>
        <w:tc>
          <w:tcPr>
            <w:tcW w:w="1866" w:type="dxa"/>
            <w:tcBorders>
              <w:top w:val="single" w:color="000000" w:sz="4"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设计进水水质</w:t>
            </w:r>
          </w:p>
        </w:tc>
        <w:tc>
          <w:tcPr>
            <w:tcW w:w="959"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eastAsia" w:eastAsia="宋体" w:cs="Times New Roman"/>
                <w:sz w:val="21"/>
                <w:szCs w:val="21"/>
                <w:u w:val="none"/>
                <w:lang w:val="en-US" w:eastAsia="zh-CN"/>
              </w:rPr>
              <w:t>2</w:t>
            </w:r>
            <w:r>
              <w:rPr>
                <w:rFonts w:hint="default" w:ascii="Times New Roman" w:hAnsi="Times New Roman" w:eastAsia="宋体" w:cs="Times New Roman"/>
                <w:sz w:val="21"/>
                <w:szCs w:val="21"/>
                <w:u w:val="none"/>
              </w:rPr>
              <w:t>5.0</w:t>
            </w:r>
          </w:p>
        </w:tc>
        <w:tc>
          <w:tcPr>
            <w:tcW w:w="1043"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1.5</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0.5</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4.0</w:t>
            </w:r>
          </w:p>
        </w:tc>
        <w:tc>
          <w:tcPr>
            <w:tcW w:w="1096"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5.0</w:t>
            </w:r>
          </w:p>
        </w:tc>
        <w:tc>
          <w:tcPr>
            <w:tcW w:w="1096" w:type="dxa"/>
            <w:tcBorders>
              <w:top w:val="single" w:color="000000" w:sz="4"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1.0</w:t>
            </w:r>
          </w:p>
        </w:tc>
      </w:tr>
      <w:tr>
        <w:trPr>
          <w:trHeight w:val="358" w:hRule="exact"/>
        </w:trPr>
        <w:tc>
          <w:tcPr>
            <w:tcW w:w="1866" w:type="dxa"/>
            <w:tcBorders>
              <w:top w:val="single" w:color="000000" w:sz="4" w:space="0"/>
              <w:left w:val="nil"/>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设计出水水质</w:t>
            </w:r>
          </w:p>
        </w:tc>
        <w:tc>
          <w:tcPr>
            <w:tcW w:w="959" w:type="dxa"/>
            <w:tcBorders>
              <w:top w:val="single" w:color="000000" w:sz="4" w:space="0"/>
              <w:left w:val="single" w:color="000000" w:sz="4" w:space="0"/>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2.0</w:t>
            </w:r>
          </w:p>
        </w:tc>
        <w:tc>
          <w:tcPr>
            <w:tcW w:w="1043" w:type="dxa"/>
            <w:tcBorders>
              <w:top w:val="single" w:color="000000" w:sz="4" w:space="0"/>
              <w:left w:val="single" w:color="000000" w:sz="4" w:space="0"/>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0.1</w:t>
            </w:r>
          </w:p>
        </w:tc>
        <w:tc>
          <w:tcPr>
            <w:tcW w:w="958" w:type="dxa"/>
            <w:tcBorders>
              <w:top w:val="single" w:color="000000" w:sz="4" w:space="0"/>
              <w:left w:val="single" w:color="000000" w:sz="4" w:space="0"/>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0.05</w:t>
            </w:r>
          </w:p>
        </w:tc>
        <w:tc>
          <w:tcPr>
            <w:tcW w:w="958" w:type="dxa"/>
            <w:tcBorders>
              <w:top w:val="single" w:color="000000" w:sz="4" w:space="0"/>
              <w:left w:val="single" w:color="000000" w:sz="4" w:space="0"/>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eastAsia" w:eastAsia="宋体" w:cs="Times New Roman"/>
                <w:sz w:val="21"/>
                <w:szCs w:val="21"/>
                <w:u w:val="none"/>
                <w:lang w:val="en-US" w:eastAsia="zh-CN"/>
              </w:rPr>
              <w:t>1</w:t>
            </w:r>
            <w:r>
              <w:rPr>
                <w:rFonts w:hint="default" w:ascii="Times New Roman" w:hAnsi="Times New Roman" w:eastAsia="宋体" w:cs="Times New Roman"/>
                <w:sz w:val="21"/>
                <w:szCs w:val="21"/>
                <w:u w:val="none"/>
              </w:rPr>
              <w:t>.0</w:t>
            </w:r>
          </w:p>
        </w:tc>
        <w:tc>
          <w:tcPr>
            <w:tcW w:w="1096" w:type="dxa"/>
            <w:tcBorders>
              <w:top w:val="single" w:color="000000" w:sz="4" w:space="0"/>
              <w:left w:val="single" w:color="000000" w:sz="4" w:space="0"/>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1.0</w:t>
            </w:r>
          </w:p>
        </w:tc>
        <w:tc>
          <w:tcPr>
            <w:tcW w:w="1096" w:type="dxa"/>
            <w:tcBorders>
              <w:top w:val="single" w:color="000000" w:sz="4" w:space="0"/>
              <w:left w:val="single" w:color="000000" w:sz="4" w:space="0"/>
              <w:bottom w:val="single" w:color="000000" w:sz="12"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none"/>
              </w:rPr>
            </w:pPr>
            <w:r>
              <w:rPr>
                <w:rFonts w:hint="default" w:ascii="Times New Roman" w:hAnsi="Times New Roman" w:eastAsia="宋体" w:cs="Times New Roman"/>
                <w:sz w:val="21"/>
                <w:szCs w:val="21"/>
                <w:u w:val="none"/>
              </w:rPr>
              <w:t>0.1</w:t>
            </w:r>
          </w:p>
        </w:tc>
      </w:tr>
    </w:tbl>
    <w:p>
      <w:pPr>
        <w:keepNext/>
        <w:keepLines/>
        <w:widowControl w:val="0"/>
        <w:adjustRightInd w:val="0"/>
        <w:snapToGrid w:val="0"/>
        <w:spacing w:before="163" w:beforeLines="50"/>
        <w:ind w:firstLine="0" w:firstLineChars="0"/>
        <w:outlineLvl w:val="1"/>
        <w:rPr>
          <w:rFonts w:hint="default" w:ascii="Times New Roman" w:hAnsi="Times New Roman" w:eastAsia="宋体" w:cs="Times New Roman"/>
          <w:b/>
          <w:color w:val="000000"/>
          <w:sz w:val="28"/>
          <w:szCs w:val="32"/>
          <w:lang w:val="en-US" w:eastAsia="zh-CN"/>
        </w:rPr>
      </w:pPr>
      <w:r>
        <w:rPr>
          <w:rFonts w:hint="eastAsia" w:ascii="Times New Roman" w:hAnsi="Times New Roman" w:eastAsia="宋体" w:cs="Times New Roman"/>
          <w:b/>
          <w:color w:val="000000"/>
          <w:sz w:val="28"/>
          <w:szCs w:val="32"/>
          <w:lang w:val="en-US" w:eastAsia="zh-CN"/>
        </w:rPr>
        <w:t>4.2.2.3 花垣工业集中区污水处理厂进出水水质要求</w:t>
      </w:r>
    </w:p>
    <w:p>
      <w:pPr>
        <w:widowControl w:val="0"/>
        <w:suppressAutoHyphens/>
        <w:wordWrap w:val="0"/>
        <w:topLinePunct/>
        <w:ind w:firstLine="480"/>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根据花垣县工业集中区污水处理厂环境影响评价报告可知，其环评批复的尾水排放标准为《城市污水处理厂污染物排放标准》（GB18918-2002）一级标准的B标准，由于污水处理厂环评编制时间较早，根据最新的污水处理厂入河排污口报告可知，花垣县工业集中区污水处理厂出水标准执行国家《城市污水处理厂污染物排放标准》（GB18918-2002）一级标准的A标准。本次环评按照最新的排放标准要求进行分析。</w:t>
      </w:r>
      <w:r>
        <w:rPr>
          <w:rFonts w:hint="eastAsia" w:ascii="Times New Roman" w:hAnsi="Times New Roman" w:eastAsia="宋体" w:cs="Times New Roman"/>
          <w:lang w:val="en-US" w:eastAsia="zh-CN"/>
        </w:rPr>
        <w:t>具体进出水水质见下表：</w:t>
      </w:r>
    </w:p>
    <w:p>
      <w:pPr>
        <w:tabs>
          <w:tab w:val="left" w:pos="909"/>
        </w:tabs>
        <w:spacing w:before="59"/>
        <w:ind w:left="0" w:right="12" w:firstLine="0"/>
        <w:jc w:val="center"/>
        <w:rPr>
          <w:rFonts w:hint="default"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 xml:space="preserve">表 </w:t>
      </w:r>
      <w:r>
        <w:rPr>
          <w:rFonts w:hint="eastAsia" w:eastAsia="宋体" w:cs="Times New Roman"/>
          <w:b/>
          <w:bCs/>
          <w:sz w:val="21"/>
          <w:szCs w:val="21"/>
          <w:u w:val="single"/>
          <w:lang w:val="en-US" w:eastAsia="zh-CN"/>
        </w:rPr>
        <w:t>4.2</w:t>
      </w:r>
      <w:r>
        <w:rPr>
          <w:rFonts w:hint="default" w:ascii="Times New Roman" w:hAnsi="Times New Roman" w:eastAsia="宋体" w:cs="Times New Roman"/>
          <w:b/>
          <w:bCs/>
          <w:sz w:val="21"/>
          <w:szCs w:val="21"/>
          <w:u w:val="single"/>
        </w:rPr>
        <w:t>-</w:t>
      </w:r>
      <w:r>
        <w:rPr>
          <w:rFonts w:hint="eastAsia" w:eastAsia="宋体" w:cs="Times New Roman"/>
          <w:b/>
          <w:bCs/>
          <w:sz w:val="21"/>
          <w:szCs w:val="21"/>
          <w:u w:val="single"/>
          <w:lang w:val="en-US" w:eastAsia="zh-CN"/>
        </w:rPr>
        <w:t>3</w:t>
      </w:r>
      <w:r>
        <w:rPr>
          <w:rFonts w:hint="default" w:ascii="Times New Roman" w:hAnsi="Times New Roman" w:eastAsia="宋体" w:cs="Times New Roman"/>
          <w:b/>
          <w:bCs/>
          <w:sz w:val="21"/>
          <w:szCs w:val="21"/>
          <w:u w:val="single"/>
        </w:rPr>
        <w:tab/>
      </w:r>
      <w:r>
        <w:rPr>
          <w:rFonts w:hint="default" w:ascii="Times New Roman" w:hAnsi="Times New Roman" w:eastAsia="宋体" w:cs="Times New Roman"/>
          <w:b/>
          <w:bCs/>
          <w:sz w:val="21"/>
          <w:szCs w:val="21"/>
          <w:u w:val="single"/>
        </w:rPr>
        <w:t>设计进、出水质及处理程度表（单位：mg/L）</w:t>
      </w:r>
    </w:p>
    <w:tbl>
      <w:tblPr>
        <w:tblStyle w:val="37"/>
        <w:tblW w:w="8593"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Layout w:type="fixed"/>
        <w:tblCellMar>
          <w:top w:w="0" w:type="dxa"/>
          <w:left w:w="0" w:type="dxa"/>
          <w:bottom w:w="0" w:type="dxa"/>
          <w:right w:w="0" w:type="dxa"/>
        </w:tblCellMar>
      </w:tblPr>
      <w:tblGrid>
        <w:gridCol w:w="1005"/>
        <w:gridCol w:w="821"/>
        <w:gridCol w:w="756"/>
        <w:gridCol w:w="646"/>
        <w:gridCol w:w="912"/>
        <w:gridCol w:w="646"/>
        <w:gridCol w:w="502"/>
        <w:gridCol w:w="661"/>
        <w:gridCol w:w="661"/>
        <w:gridCol w:w="661"/>
        <w:gridCol w:w="661"/>
        <w:gridCol w:w="66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PrEx>
        <w:trPr>
          <w:trHeight w:val="303" w:hRule="exact"/>
          <w:jc w:val="center"/>
        </w:trPr>
        <w:tc>
          <w:tcPr>
            <w:tcW w:w="1005"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line="241" w:lineRule="exact"/>
              <w:ind w:right="0"/>
              <w:jc w:val="center"/>
              <w:textAlignment w:val="auto"/>
              <w:rPr>
                <w:rFonts w:ascii="宋体" w:hAnsi="宋体" w:eastAsia="宋体" w:cs="宋体"/>
                <w:sz w:val="21"/>
                <w:szCs w:val="21"/>
                <w:u w:val="single"/>
              </w:rPr>
            </w:pPr>
            <w:r>
              <w:rPr>
                <w:rFonts w:ascii="宋体" w:hAnsi="宋体" w:eastAsia="宋体" w:cs="宋体"/>
                <w:b/>
                <w:bCs/>
                <w:sz w:val="21"/>
                <w:szCs w:val="21"/>
                <w:u w:val="single"/>
              </w:rPr>
              <w:t>水质指标</w:t>
            </w:r>
          </w:p>
        </w:tc>
        <w:tc>
          <w:tcPr>
            <w:tcW w:w="82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2" w:line="240" w:lineRule="auto"/>
              <w:ind w:right="0"/>
              <w:jc w:val="center"/>
              <w:textAlignment w:val="auto"/>
              <w:rPr>
                <w:rFonts w:ascii="Times New Roman" w:hAnsi="Times New Roman" w:eastAsia="Times New Roman" w:cs="Times New Roman"/>
                <w:sz w:val="13"/>
                <w:szCs w:val="13"/>
                <w:u w:val="single"/>
              </w:rPr>
            </w:pPr>
            <w:r>
              <w:rPr>
                <w:rFonts w:ascii="Times New Roman"/>
                <w:b/>
                <w:position w:val="2"/>
                <w:sz w:val="21"/>
                <w:u w:val="single"/>
              </w:rPr>
              <w:t>BOD</w:t>
            </w:r>
            <w:r>
              <w:rPr>
                <w:rFonts w:ascii="Times New Roman"/>
                <w:b/>
                <w:sz w:val="13"/>
                <w:u w:val="single"/>
              </w:rPr>
              <w:t>5</w:t>
            </w:r>
          </w:p>
        </w:tc>
        <w:tc>
          <w:tcPr>
            <w:tcW w:w="75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b/>
                <w:sz w:val="21"/>
                <w:u w:val="single"/>
              </w:rPr>
              <w:t>COD</w:t>
            </w:r>
          </w:p>
        </w:tc>
        <w:tc>
          <w:tcPr>
            <w:tcW w:w="64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b/>
                <w:sz w:val="21"/>
                <w:u w:val="single"/>
              </w:rPr>
              <w:t>SS</w:t>
            </w:r>
          </w:p>
        </w:tc>
        <w:tc>
          <w:tcPr>
            <w:tcW w:w="912"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2" w:line="240" w:lineRule="auto"/>
              <w:ind w:right="0"/>
              <w:jc w:val="center"/>
              <w:textAlignment w:val="auto"/>
              <w:rPr>
                <w:rFonts w:ascii="Times New Roman" w:hAnsi="Times New Roman" w:eastAsia="Times New Roman" w:cs="Times New Roman"/>
                <w:sz w:val="21"/>
                <w:szCs w:val="21"/>
                <w:u w:val="single"/>
              </w:rPr>
            </w:pPr>
            <w:r>
              <w:rPr>
                <w:rFonts w:ascii="Times New Roman"/>
                <w:b/>
                <w:position w:val="2"/>
                <w:sz w:val="21"/>
                <w:u w:val="single"/>
              </w:rPr>
              <w:t>NH</w:t>
            </w:r>
            <w:r>
              <w:rPr>
                <w:rFonts w:ascii="Times New Roman"/>
                <w:b/>
                <w:sz w:val="13"/>
                <w:u w:val="single"/>
              </w:rPr>
              <w:t>3</w:t>
            </w:r>
            <w:r>
              <w:rPr>
                <w:rFonts w:ascii="Times New Roman"/>
                <w:b/>
                <w:position w:val="2"/>
                <w:sz w:val="21"/>
                <w:u w:val="single"/>
              </w:rPr>
              <w:t>-N</w:t>
            </w:r>
          </w:p>
        </w:tc>
        <w:tc>
          <w:tcPr>
            <w:tcW w:w="64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1"/>
              <w:jc w:val="center"/>
              <w:textAlignment w:val="auto"/>
              <w:rPr>
                <w:rFonts w:ascii="Times New Roman" w:hAnsi="Times New Roman" w:eastAsia="Times New Roman" w:cs="Times New Roman"/>
                <w:sz w:val="21"/>
                <w:szCs w:val="21"/>
                <w:u w:val="single"/>
              </w:rPr>
            </w:pPr>
            <w:r>
              <w:rPr>
                <w:rFonts w:ascii="Times New Roman"/>
                <w:b/>
                <w:sz w:val="21"/>
                <w:u w:val="single"/>
              </w:rPr>
              <w:t>TN</w:t>
            </w:r>
          </w:p>
        </w:tc>
        <w:tc>
          <w:tcPr>
            <w:tcW w:w="502"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b/>
                <w:sz w:val="21"/>
                <w:u w:val="single"/>
              </w:rPr>
              <w:t>TP</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line="241" w:lineRule="exact"/>
              <w:ind w:right="0"/>
              <w:jc w:val="center"/>
              <w:textAlignment w:val="auto"/>
              <w:rPr>
                <w:rFonts w:ascii="宋体" w:hAnsi="宋体" w:eastAsia="宋体" w:cs="宋体"/>
                <w:sz w:val="21"/>
                <w:szCs w:val="21"/>
                <w:u w:val="single"/>
              </w:rPr>
            </w:pPr>
            <w:r>
              <w:rPr>
                <w:rFonts w:ascii="宋体" w:hAnsi="宋体" w:eastAsia="宋体" w:cs="宋体"/>
                <w:b/>
                <w:bCs/>
                <w:sz w:val="21"/>
                <w:szCs w:val="21"/>
                <w:u w:val="single"/>
              </w:rPr>
              <w:t>总锰</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line="241" w:lineRule="exact"/>
              <w:ind w:right="0"/>
              <w:jc w:val="center"/>
              <w:textAlignment w:val="auto"/>
              <w:rPr>
                <w:rFonts w:ascii="宋体" w:hAnsi="宋体" w:eastAsia="宋体" w:cs="宋体"/>
                <w:b/>
                <w:bCs/>
                <w:sz w:val="21"/>
                <w:szCs w:val="21"/>
                <w:u w:val="single"/>
              </w:rPr>
            </w:pPr>
            <w:r>
              <w:rPr>
                <w:rFonts w:ascii="宋体" w:hAnsi="宋体" w:eastAsia="宋体" w:cs="宋体"/>
                <w:b/>
                <w:bCs/>
                <w:w w:val="95"/>
                <w:sz w:val="21"/>
                <w:szCs w:val="21"/>
                <w:u w:val="single"/>
              </w:rPr>
              <w:t>Cr</w:t>
            </w:r>
            <w:r>
              <w:rPr>
                <w:rFonts w:ascii="宋体" w:hAnsi="宋体" w:eastAsia="宋体" w:cs="宋体"/>
                <w:b/>
                <w:bCs/>
                <w:w w:val="95"/>
                <w:sz w:val="21"/>
                <w:szCs w:val="21"/>
                <w:u w:val="single"/>
                <w:vertAlign w:val="superscript"/>
              </w:rPr>
              <w:t>6+</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line="241" w:lineRule="exact"/>
              <w:ind w:right="0"/>
              <w:jc w:val="center"/>
              <w:textAlignment w:val="auto"/>
              <w:rPr>
                <w:rFonts w:ascii="宋体" w:hAnsi="宋体" w:eastAsia="宋体" w:cs="宋体"/>
                <w:b/>
                <w:bCs/>
                <w:sz w:val="21"/>
                <w:szCs w:val="21"/>
                <w:u w:val="single"/>
              </w:rPr>
            </w:pPr>
            <w:r>
              <w:rPr>
                <w:rFonts w:hint="eastAsia" w:ascii="宋体" w:hAnsi="宋体" w:eastAsia="宋体" w:cs="宋体"/>
                <w:b/>
                <w:bCs/>
                <w:w w:val="95"/>
                <w:sz w:val="21"/>
                <w:szCs w:val="21"/>
                <w:u w:val="single"/>
              </w:rPr>
              <w:t>Zn</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line="241" w:lineRule="exact"/>
              <w:ind w:right="0"/>
              <w:jc w:val="center"/>
              <w:textAlignment w:val="auto"/>
              <w:rPr>
                <w:rFonts w:ascii="宋体" w:hAnsi="宋体" w:eastAsia="宋体" w:cs="宋体"/>
                <w:b/>
                <w:bCs/>
                <w:sz w:val="21"/>
                <w:szCs w:val="21"/>
                <w:u w:val="single"/>
              </w:rPr>
            </w:pPr>
            <w:r>
              <w:rPr>
                <w:rFonts w:ascii="宋体" w:hAnsi="宋体" w:eastAsia="宋体" w:cs="宋体"/>
                <w:b/>
                <w:bCs/>
                <w:w w:val="95"/>
                <w:sz w:val="21"/>
                <w:szCs w:val="21"/>
                <w:u w:val="single"/>
              </w:rPr>
              <w:t>Pb</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line="241" w:lineRule="exact"/>
              <w:ind w:right="0"/>
              <w:jc w:val="center"/>
              <w:textAlignment w:val="auto"/>
              <w:rPr>
                <w:rFonts w:hint="default" w:ascii="宋体" w:hAnsi="宋体" w:eastAsia="宋体" w:cs="宋体"/>
                <w:b/>
                <w:bCs/>
                <w:w w:val="95"/>
                <w:sz w:val="21"/>
                <w:szCs w:val="21"/>
                <w:u w:val="single"/>
                <w:lang w:val="en-US" w:eastAsia="zh-CN"/>
              </w:rPr>
            </w:pPr>
            <w:r>
              <w:rPr>
                <w:rFonts w:ascii="宋体" w:hAnsi="宋体" w:eastAsia="宋体" w:cs="宋体"/>
                <w:b/>
                <w:bCs/>
                <w:sz w:val="21"/>
                <w:szCs w:val="21"/>
                <w:u w:val="single"/>
              </w:rPr>
              <w:t>总钒</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PrEx>
        <w:trPr>
          <w:trHeight w:val="374" w:hRule="exact"/>
          <w:jc w:val="center"/>
        </w:trPr>
        <w:tc>
          <w:tcPr>
            <w:tcW w:w="1005" w:type="dxa"/>
            <w:tcBorders>
              <w:tl2br w:val="nil"/>
              <w:tr2bl w:val="nil"/>
            </w:tcBorders>
            <w:noWrap w:val="0"/>
            <w:vAlign w:val="center"/>
          </w:tcPr>
          <w:p>
            <w:pPr>
              <w:pStyle w:val="104"/>
              <w:keepNext w:val="0"/>
              <w:keepLines w:val="0"/>
              <w:pageBreakBefore w:val="0"/>
              <w:widowControl/>
              <w:tabs>
                <w:tab w:val="left" w:pos="832"/>
              </w:tabs>
              <w:kinsoku/>
              <w:wordWrap w:val="0"/>
              <w:overflowPunct/>
              <w:topLinePunct w:val="0"/>
              <w:autoSpaceDE w:val="0"/>
              <w:autoSpaceDN w:val="0"/>
              <w:bidi w:val="0"/>
              <w:adjustRightInd/>
              <w:snapToGrid/>
              <w:spacing w:line="241" w:lineRule="exact"/>
              <w:ind w:right="0"/>
              <w:jc w:val="center"/>
              <w:textAlignment w:val="auto"/>
              <w:rPr>
                <w:rFonts w:ascii="宋体" w:hAnsi="宋体" w:eastAsia="宋体" w:cs="宋体"/>
                <w:sz w:val="21"/>
                <w:szCs w:val="21"/>
                <w:u w:val="single"/>
              </w:rPr>
            </w:pPr>
            <w:r>
              <w:rPr>
                <w:rFonts w:ascii="宋体" w:hAnsi="宋体" w:eastAsia="宋体" w:cs="宋体"/>
                <w:w w:val="95"/>
                <w:sz w:val="21"/>
                <w:szCs w:val="21"/>
                <w:u w:val="single"/>
              </w:rPr>
              <w:t>进</w:t>
            </w:r>
            <w:r>
              <w:rPr>
                <w:rFonts w:ascii="宋体" w:hAnsi="宋体" w:eastAsia="宋体" w:cs="宋体"/>
                <w:sz w:val="21"/>
                <w:szCs w:val="21"/>
                <w:u w:val="single"/>
              </w:rPr>
              <w:t>水</w:t>
            </w:r>
          </w:p>
        </w:tc>
        <w:tc>
          <w:tcPr>
            <w:tcW w:w="82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sz w:val="21"/>
                <w:u w:val="single"/>
              </w:rPr>
              <w:t>170</w:t>
            </w:r>
          </w:p>
        </w:tc>
        <w:tc>
          <w:tcPr>
            <w:tcW w:w="75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sz w:val="21"/>
                <w:u w:val="single"/>
              </w:rPr>
              <w:t>500</w:t>
            </w:r>
          </w:p>
        </w:tc>
        <w:tc>
          <w:tcPr>
            <w:tcW w:w="64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sz w:val="21"/>
                <w:u w:val="single"/>
              </w:rPr>
              <w:t>250</w:t>
            </w:r>
          </w:p>
        </w:tc>
        <w:tc>
          <w:tcPr>
            <w:tcW w:w="912"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sz w:val="21"/>
                <w:u w:val="single"/>
              </w:rPr>
              <w:t>40</w:t>
            </w:r>
          </w:p>
        </w:tc>
        <w:tc>
          <w:tcPr>
            <w:tcW w:w="64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sz w:val="21"/>
                <w:u w:val="single"/>
              </w:rPr>
              <w:t>50</w:t>
            </w:r>
          </w:p>
        </w:tc>
        <w:tc>
          <w:tcPr>
            <w:tcW w:w="502"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w w:val="99"/>
                <w:sz w:val="21"/>
                <w:u w:val="single"/>
              </w:rPr>
              <w:t>3</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w w:val="99"/>
                <w:sz w:val="21"/>
                <w:u w:val="single"/>
              </w:rPr>
              <w:t>2</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hint="default" w:ascii="Times New Roman" w:eastAsia="宋体"/>
                <w:w w:val="99"/>
                <w:sz w:val="21"/>
                <w:u w:val="single"/>
                <w:lang w:val="en-US" w:eastAsia="zh-CN"/>
              </w:rPr>
            </w:pPr>
            <w:r>
              <w:rPr>
                <w:rFonts w:hint="eastAsia" w:ascii="Times New Roman"/>
                <w:w w:val="99"/>
                <w:sz w:val="21"/>
                <w:u w:val="single"/>
                <w:lang w:val="en-US" w:eastAsia="zh-CN"/>
              </w:rPr>
              <w:t>0.05</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w w:val="99"/>
                <w:sz w:val="21"/>
                <w:u w:val="single"/>
              </w:rPr>
            </w:pPr>
            <w:r>
              <w:rPr>
                <w:rFonts w:ascii="Times New Roman"/>
                <w:sz w:val="21"/>
                <w:u w:val="single"/>
              </w:rPr>
              <w:t>1.0</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hint="default" w:ascii="Times New Roman" w:eastAsia="宋体"/>
                <w:w w:val="99"/>
                <w:sz w:val="21"/>
                <w:u w:val="single"/>
                <w:lang w:val="en-US" w:eastAsia="zh-CN"/>
              </w:rPr>
            </w:pPr>
            <w:r>
              <w:rPr>
                <w:rFonts w:hint="eastAsia" w:ascii="Times New Roman"/>
                <w:w w:val="99"/>
                <w:sz w:val="21"/>
                <w:u w:val="single"/>
                <w:lang w:val="en-US" w:eastAsia="zh-CN"/>
              </w:rPr>
              <w:t>0.1</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hint="default" w:ascii="Times New Roman" w:eastAsia="宋体"/>
                <w:w w:val="99"/>
                <w:sz w:val="21"/>
                <w:u w:val="single"/>
                <w:lang w:val="en-US" w:eastAsia="zh-CN"/>
              </w:rPr>
            </w:pPr>
            <w:r>
              <w:rPr>
                <w:rFonts w:hint="eastAsia" w:ascii="Times New Roman"/>
                <w:w w:val="99"/>
                <w:sz w:val="21"/>
                <w:u w:val="single"/>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8" w:space="0"/>
          </w:tblBorders>
        </w:tblPrEx>
        <w:trPr>
          <w:trHeight w:val="311" w:hRule="exact"/>
          <w:jc w:val="center"/>
        </w:trPr>
        <w:tc>
          <w:tcPr>
            <w:tcW w:w="1005" w:type="dxa"/>
            <w:tcBorders>
              <w:tl2br w:val="nil"/>
              <w:tr2bl w:val="nil"/>
            </w:tcBorders>
            <w:noWrap w:val="0"/>
            <w:vAlign w:val="center"/>
          </w:tcPr>
          <w:p>
            <w:pPr>
              <w:pStyle w:val="104"/>
              <w:keepNext w:val="0"/>
              <w:keepLines w:val="0"/>
              <w:pageBreakBefore w:val="0"/>
              <w:widowControl/>
              <w:tabs>
                <w:tab w:val="left" w:pos="832"/>
              </w:tabs>
              <w:kinsoku/>
              <w:wordWrap w:val="0"/>
              <w:overflowPunct/>
              <w:topLinePunct w:val="0"/>
              <w:autoSpaceDE w:val="0"/>
              <w:autoSpaceDN w:val="0"/>
              <w:bidi w:val="0"/>
              <w:adjustRightInd/>
              <w:snapToGrid/>
              <w:spacing w:line="241" w:lineRule="exact"/>
              <w:ind w:right="0"/>
              <w:jc w:val="center"/>
              <w:textAlignment w:val="auto"/>
              <w:rPr>
                <w:rFonts w:ascii="宋体" w:hAnsi="宋体" w:eastAsia="宋体" w:cs="宋体"/>
                <w:sz w:val="21"/>
                <w:szCs w:val="21"/>
                <w:u w:val="single"/>
              </w:rPr>
            </w:pPr>
            <w:r>
              <w:rPr>
                <w:rFonts w:ascii="宋体" w:hAnsi="宋体" w:eastAsia="宋体" w:cs="宋体"/>
                <w:w w:val="95"/>
                <w:sz w:val="21"/>
                <w:szCs w:val="21"/>
                <w:u w:val="single"/>
              </w:rPr>
              <w:t>出</w:t>
            </w:r>
            <w:r>
              <w:rPr>
                <w:rFonts w:ascii="宋体" w:hAnsi="宋体" w:eastAsia="宋体" w:cs="宋体"/>
                <w:sz w:val="21"/>
                <w:szCs w:val="21"/>
                <w:u w:val="single"/>
              </w:rPr>
              <w:t>水</w:t>
            </w:r>
          </w:p>
        </w:tc>
        <w:tc>
          <w:tcPr>
            <w:tcW w:w="82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≤10</w:t>
            </w:r>
          </w:p>
        </w:tc>
        <w:tc>
          <w:tcPr>
            <w:tcW w:w="75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≤50</w:t>
            </w:r>
          </w:p>
        </w:tc>
        <w:tc>
          <w:tcPr>
            <w:tcW w:w="64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≤10</w:t>
            </w:r>
          </w:p>
        </w:tc>
        <w:tc>
          <w:tcPr>
            <w:tcW w:w="912"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≤5</w:t>
            </w:r>
          </w:p>
        </w:tc>
        <w:tc>
          <w:tcPr>
            <w:tcW w:w="646"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≤15</w:t>
            </w:r>
          </w:p>
        </w:tc>
        <w:tc>
          <w:tcPr>
            <w:tcW w:w="502"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≤0.5</w:t>
            </w:r>
          </w:p>
        </w:tc>
        <w:tc>
          <w:tcPr>
            <w:tcW w:w="661" w:type="dxa"/>
            <w:tcBorders>
              <w:tl2br w:val="nil"/>
              <w:tr2bl w:val="nil"/>
            </w:tcBorders>
            <w:noWrap w:val="0"/>
            <w:vAlign w:val="center"/>
          </w:tcPr>
          <w:p>
            <w:pPr>
              <w:pStyle w:val="104"/>
              <w:keepNext w:val="0"/>
              <w:keepLines w:val="0"/>
              <w:pageBreakBefore w:val="0"/>
              <w:widowControl/>
              <w:kinsoku/>
              <w:wordWrap w:val="0"/>
              <w:overflowPunct/>
              <w:topLinePunct w:val="0"/>
              <w:autoSpaceDE w:val="0"/>
              <w:autoSpaceDN w:val="0"/>
              <w:bidi w:val="0"/>
              <w:adjustRightInd/>
              <w:snapToGrid/>
              <w:spacing w:before="15" w:line="240" w:lineRule="auto"/>
              <w:ind w:right="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≤1.0</w:t>
            </w:r>
          </w:p>
        </w:tc>
        <w:tc>
          <w:tcPr>
            <w:tcW w:w="661" w:type="dxa"/>
            <w:tcBorders>
              <w:tl2br w:val="nil"/>
              <w:tr2bl w:val="nil"/>
            </w:tcBorders>
            <w:noWrap w:val="0"/>
            <w:vAlign w:val="center"/>
          </w:tcPr>
          <w:p>
            <w:pPr>
              <w:pStyle w:val="104"/>
              <w:keepNext w:val="0"/>
              <w:keepLines w:val="0"/>
              <w:pageBreakBefore w:val="0"/>
              <w:widowControl/>
              <w:tabs>
                <w:tab w:val="left" w:pos="832"/>
              </w:tabs>
              <w:kinsoku/>
              <w:wordWrap w:val="0"/>
              <w:overflowPunct/>
              <w:topLinePunct w:val="0"/>
              <w:autoSpaceDE w:val="0"/>
              <w:autoSpaceDN w:val="0"/>
              <w:bidi w:val="0"/>
              <w:adjustRightInd/>
              <w:snapToGrid/>
              <w:spacing w:line="241" w:lineRule="exact"/>
              <w:ind w:right="0" w:rightChars="0" w:firstLine="0" w:firstLineChars="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w:t>
            </w:r>
            <w:r>
              <w:rPr>
                <w:rFonts w:ascii="宋体" w:hAnsi="宋体" w:eastAsia="宋体" w:cs="宋体"/>
                <w:w w:val="95"/>
                <w:sz w:val="21"/>
                <w:szCs w:val="21"/>
                <w:u w:val="single"/>
              </w:rPr>
              <w:t>0.</w:t>
            </w:r>
            <w:r>
              <w:rPr>
                <w:rFonts w:hint="eastAsia" w:ascii="宋体" w:hAnsi="宋体" w:eastAsia="宋体" w:cs="宋体"/>
                <w:w w:val="95"/>
                <w:sz w:val="21"/>
                <w:szCs w:val="21"/>
                <w:u w:val="single"/>
              </w:rPr>
              <w:t>0</w:t>
            </w:r>
            <w:r>
              <w:rPr>
                <w:rFonts w:ascii="宋体" w:hAnsi="宋体" w:eastAsia="宋体" w:cs="宋体"/>
                <w:w w:val="95"/>
                <w:sz w:val="21"/>
                <w:szCs w:val="21"/>
                <w:u w:val="single"/>
              </w:rPr>
              <w:t>5</w:t>
            </w:r>
          </w:p>
        </w:tc>
        <w:tc>
          <w:tcPr>
            <w:tcW w:w="661" w:type="dxa"/>
            <w:tcBorders>
              <w:tl2br w:val="nil"/>
              <w:tr2bl w:val="nil"/>
            </w:tcBorders>
            <w:noWrap w:val="0"/>
            <w:vAlign w:val="center"/>
          </w:tcPr>
          <w:p>
            <w:pPr>
              <w:pStyle w:val="104"/>
              <w:keepNext w:val="0"/>
              <w:keepLines w:val="0"/>
              <w:pageBreakBefore w:val="0"/>
              <w:widowControl/>
              <w:tabs>
                <w:tab w:val="left" w:pos="832"/>
              </w:tabs>
              <w:kinsoku/>
              <w:wordWrap w:val="0"/>
              <w:overflowPunct/>
              <w:topLinePunct w:val="0"/>
              <w:autoSpaceDE w:val="0"/>
              <w:autoSpaceDN w:val="0"/>
              <w:bidi w:val="0"/>
              <w:adjustRightInd/>
              <w:snapToGrid/>
              <w:spacing w:line="241" w:lineRule="exact"/>
              <w:ind w:right="0" w:rightChars="0" w:firstLine="0" w:firstLineChars="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w:t>
            </w:r>
            <w:r>
              <w:rPr>
                <w:rFonts w:hint="eastAsia" w:ascii="宋体" w:hAnsi="宋体" w:eastAsia="宋体" w:cs="宋体"/>
                <w:w w:val="95"/>
                <w:sz w:val="21"/>
                <w:szCs w:val="21"/>
                <w:u w:val="single"/>
              </w:rPr>
              <w:t>1.0</w:t>
            </w:r>
          </w:p>
        </w:tc>
        <w:tc>
          <w:tcPr>
            <w:tcW w:w="661" w:type="dxa"/>
            <w:tcBorders>
              <w:tl2br w:val="nil"/>
              <w:tr2bl w:val="nil"/>
            </w:tcBorders>
            <w:noWrap w:val="0"/>
            <w:vAlign w:val="center"/>
          </w:tcPr>
          <w:p>
            <w:pPr>
              <w:pStyle w:val="104"/>
              <w:keepNext w:val="0"/>
              <w:keepLines w:val="0"/>
              <w:pageBreakBefore w:val="0"/>
              <w:widowControl/>
              <w:tabs>
                <w:tab w:val="left" w:pos="832"/>
              </w:tabs>
              <w:kinsoku/>
              <w:wordWrap w:val="0"/>
              <w:overflowPunct/>
              <w:topLinePunct w:val="0"/>
              <w:autoSpaceDE w:val="0"/>
              <w:autoSpaceDN w:val="0"/>
              <w:bidi w:val="0"/>
              <w:adjustRightInd/>
              <w:snapToGrid/>
              <w:spacing w:line="241" w:lineRule="exact"/>
              <w:ind w:right="0" w:rightChars="0" w:firstLine="0" w:firstLineChars="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w:t>
            </w:r>
            <w:r>
              <w:rPr>
                <w:rFonts w:hint="eastAsia" w:ascii="宋体" w:hAnsi="宋体" w:eastAsia="宋体" w:cs="宋体"/>
                <w:w w:val="95"/>
                <w:sz w:val="21"/>
                <w:szCs w:val="21"/>
                <w:u w:val="single"/>
              </w:rPr>
              <w:t>0.1</w:t>
            </w:r>
          </w:p>
        </w:tc>
        <w:tc>
          <w:tcPr>
            <w:tcW w:w="661" w:type="dxa"/>
            <w:tcBorders>
              <w:tl2br w:val="nil"/>
              <w:tr2bl w:val="nil"/>
            </w:tcBorders>
            <w:noWrap w:val="0"/>
            <w:vAlign w:val="center"/>
          </w:tcPr>
          <w:p>
            <w:pPr>
              <w:pStyle w:val="104"/>
              <w:keepNext w:val="0"/>
              <w:keepLines w:val="0"/>
              <w:pageBreakBefore w:val="0"/>
              <w:widowControl/>
              <w:tabs>
                <w:tab w:val="left" w:pos="832"/>
              </w:tabs>
              <w:kinsoku/>
              <w:wordWrap w:val="0"/>
              <w:overflowPunct/>
              <w:topLinePunct w:val="0"/>
              <w:autoSpaceDE w:val="0"/>
              <w:autoSpaceDN w:val="0"/>
              <w:bidi w:val="0"/>
              <w:adjustRightInd/>
              <w:snapToGrid/>
              <w:spacing w:line="241" w:lineRule="exact"/>
              <w:ind w:right="0" w:rightChars="0" w:firstLine="0" w:firstLineChars="0"/>
              <w:jc w:val="center"/>
              <w:textAlignment w:val="auto"/>
              <w:rPr>
                <w:rFonts w:ascii="Times New Roman" w:hAnsi="Times New Roman" w:eastAsia="Times New Roman" w:cs="Times New Roman"/>
                <w:sz w:val="21"/>
                <w:szCs w:val="21"/>
                <w:u w:val="single"/>
              </w:rPr>
            </w:pPr>
            <w:r>
              <w:rPr>
                <w:rFonts w:ascii="Times New Roman" w:hAnsi="Times New Roman" w:eastAsia="Times New Roman" w:cs="Times New Roman"/>
                <w:sz w:val="21"/>
                <w:szCs w:val="21"/>
                <w:u w:val="single"/>
              </w:rPr>
              <w:t>≤</w:t>
            </w:r>
            <w:r>
              <w:rPr>
                <w:rFonts w:hint="eastAsia" w:ascii="Times New Roman"/>
                <w:w w:val="99"/>
                <w:sz w:val="21"/>
                <w:u w:val="single"/>
                <w:lang w:val="en-US" w:eastAsia="zh-CN"/>
              </w:rPr>
              <w:t>1..0</w:t>
            </w:r>
          </w:p>
        </w:tc>
      </w:tr>
    </w:tbl>
    <w:p>
      <w:pPr>
        <w:keepNext/>
        <w:keepLines/>
        <w:widowControl w:val="0"/>
        <w:adjustRightInd w:val="0"/>
        <w:snapToGrid w:val="0"/>
        <w:spacing w:before="163" w:beforeLines="50"/>
        <w:ind w:firstLine="0" w:firstLineChars="0"/>
        <w:outlineLvl w:val="1"/>
        <w:rPr>
          <w:rFonts w:hint="default" w:ascii="Times New Roman" w:hAnsi="Times New Roman" w:eastAsia="宋体" w:cs="Times New Roman"/>
          <w:b/>
          <w:color w:val="000000"/>
          <w:sz w:val="28"/>
          <w:szCs w:val="32"/>
          <w:lang w:val="en-US" w:eastAsia="zh-CN"/>
        </w:rPr>
      </w:pPr>
      <w:r>
        <w:rPr>
          <w:rFonts w:hint="eastAsia" w:ascii="Times New Roman" w:hAnsi="Times New Roman" w:eastAsia="宋体" w:cs="Times New Roman"/>
          <w:b/>
          <w:color w:val="000000"/>
          <w:sz w:val="28"/>
          <w:szCs w:val="32"/>
          <w:lang w:val="en-US" w:eastAsia="zh-CN"/>
        </w:rPr>
        <w:t>4.2.2.4 项目进入花垣县工业集中区污水处理厂可行性分析</w:t>
      </w:r>
    </w:p>
    <w:p>
      <w:pPr>
        <w:pStyle w:val="16"/>
        <w:spacing w:before="135" w:line="348" w:lineRule="auto"/>
        <w:ind w:right="117" w:firstLine="480"/>
        <w:jc w:val="both"/>
        <w:rPr>
          <w:rFonts w:hint="eastAsia" w:ascii="Times New Roman" w:hAnsi="Times New Roman" w:eastAsia="宋体" w:cs="Times New Roman"/>
          <w:lang w:val="en-US" w:eastAsia="zh-CN"/>
        </w:rPr>
      </w:pPr>
      <w:r>
        <w:rPr>
          <w:rFonts w:hint="default" w:ascii="Times New Roman" w:hAnsi="Times New Roman" w:cs="Times New Roman"/>
          <w:lang w:val="en-US" w:eastAsia="zh-CN"/>
        </w:rPr>
        <w:t>花垣工业集中区污水处理厂于2013年5月编制了《花垣县工业集中区污水处理厂建设项目环境影响报告书》，于2013年6月8日取得了湘西州环境保护局的环评批复，批复文号为：州环评</w:t>
      </w:r>
      <w:r>
        <w:rPr>
          <w:rFonts w:hint="default" w:ascii="Times New Roman" w:hAnsi="Times New Roman" w:eastAsia="宋体" w:cs="Times New Roman"/>
          <w:lang w:val="en-US" w:eastAsia="zh-CN"/>
        </w:rPr>
        <w:t>[2013]49号。目前花垣县工业集中区污水处理厂正在建设中，污水处理厂于2022年1月4日取得了湘西自治州生态环境局关于花垣县工业集中区污水处理厂入河排污口设置论证报告的批复，该污水处理厂排污口设置于污水处理厂北侧约100m的花垣河南岸上，排放方式为连续排放，入河方式为暗管排放，排水量近期（2022年）1.0万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/d，远期（2030年）2.0万m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/d</w:t>
      </w:r>
      <w:r>
        <w:rPr>
          <w:rFonts w:hint="eastAsia" w:ascii="Times New Roman" w:hAnsi="Times New Roman" w:eastAsia="宋体" w:cs="Times New Roman"/>
          <w:lang w:val="en-US" w:eastAsia="zh-CN"/>
        </w:rPr>
        <w:t>。</w:t>
      </w:r>
    </w:p>
    <w:p>
      <w:pPr>
        <w:pStyle w:val="16"/>
        <w:spacing w:before="135" w:line="348" w:lineRule="auto"/>
        <w:ind w:right="117" w:firstLine="480"/>
        <w:jc w:val="both"/>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目前本项目已经建设完成，本项目目前纳污废水主要为现入驻企业在生产线事故情况下，企业厂区重金属废水无法回用至生产线，需外排的废水，根据调查目前入驻的4家重金属企业，只有1家正在运行，其余2家停产，1家未进行建设</w:t>
      </w:r>
      <w:r>
        <w:rPr>
          <w:rFonts w:hint="default" w:ascii="Times New Roman" w:hAnsi="Times New Roman" w:eastAsia="宋体" w:cs="Times New Roman"/>
          <w:u w:val="single"/>
          <w:lang w:val="en-US" w:eastAsia="zh-CN"/>
        </w:rPr>
        <w:t>。</w:t>
      </w:r>
      <w:r>
        <w:rPr>
          <w:rFonts w:hint="eastAsia" w:ascii="Times New Roman" w:hAnsi="Times New Roman" w:eastAsia="宋体" w:cs="Times New Roman"/>
          <w:u w:val="single"/>
          <w:lang w:val="en-US" w:eastAsia="zh-CN"/>
        </w:rPr>
        <w:t>本项目污水处理站目前未正式运行，花垣工业集中区污水处理厂正在建设中，本项目在花垣工业集中区污水处理厂未运行前可进入园区现临时污水处理站进行处理。</w:t>
      </w:r>
    </w:p>
    <w:p>
      <w:pPr>
        <w:pStyle w:val="16"/>
        <w:spacing w:before="135" w:line="348" w:lineRule="auto"/>
        <w:ind w:right="117" w:firstLine="480"/>
        <w:jc w:val="both"/>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根据调查，由于花垣县工业集中区污水处理厂还未建设完成，现花垣工业集中区建设有一座临时污水处理厂，临时污水处理厂出水达到《城镇污水处理厂污染物排放标准》（GB18918-2002）中一级A标准后外排至花垣河，处理规模280m3/d，于2017年12月25日一体化污水处理设施完成在线监控装置并联网运行，2018年5月25日完成污水处理设施调试运行工作，其服务期限为2017年12月至花垣工业集中区污水处理厂正式运行，采用“A2O+水解酸化”工艺，本项目废水在花垣县工业集中区污水处理厂运营前出水可接入该临时污水处理厂。</w:t>
      </w:r>
    </w:p>
    <w:p>
      <w:pPr>
        <w:pStyle w:val="16"/>
        <w:spacing w:before="135" w:line="348" w:lineRule="auto"/>
        <w:ind w:right="117" w:firstLine="480"/>
        <w:jc w:val="both"/>
        <w:rPr>
          <w:rFonts w:hint="eastAsia" w:ascii="Times New Roman" w:hAnsi="Times New Roman" w:eastAsia="宋体" w:cs="Times New Roman"/>
          <w:lang w:val="en-US" w:eastAsia="zh-CN"/>
        </w:rPr>
      </w:pPr>
      <w:r>
        <w:rPr>
          <w:rFonts w:hint="eastAsia" w:ascii="Times New Roman" w:hAnsi="Times New Roman" w:eastAsia="宋体" w:cs="Times New Roman"/>
          <w:u w:val="single"/>
          <w:lang w:val="en-US" w:eastAsia="zh-CN"/>
        </w:rPr>
        <w:t>根</w:t>
      </w:r>
      <w:r>
        <w:rPr>
          <w:rFonts w:hint="eastAsia" w:ascii="Times New Roman" w:hAnsi="Times New Roman" w:eastAsia="宋体" w:cs="Times New Roman"/>
          <w:lang w:val="en-US" w:eastAsia="zh-CN"/>
        </w:rPr>
        <w:t>据现场调查，花垣工业集中区污水处理厂位于本项目东北侧约100米处，高差约为10米，本项目已建设尾水排水管100米与花垣工业集中区污水处理厂进水口相连接，废水通过重力自流可进入花垣工业集中区污水处理厂。根据查阅花垣工业集中区污水处理厂环评报告以及入河排污口论证报告，该污水处理厂处理规模均考虑到本项目的废水量。涉重废水经本项目处理后可以满足花垣工业集中区污水处理厂的进水水质要求，详见下表：</w:t>
      </w:r>
    </w:p>
    <w:p>
      <w:pPr>
        <w:tabs>
          <w:tab w:val="left" w:pos="909"/>
        </w:tabs>
        <w:spacing w:before="59"/>
        <w:ind w:left="0" w:right="12" w:firstLine="0"/>
        <w:jc w:val="center"/>
        <w:rPr>
          <w:rFonts w:hint="eastAsia"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lang w:val="en-US" w:eastAsia="zh-CN"/>
        </w:rPr>
        <w:t>表</w:t>
      </w:r>
      <w:r>
        <w:rPr>
          <w:rFonts w:hint="eastAsia" w:eastAsia="宋体" w:cs="Times New Roman"/>
          <w:b/>
          <w:bCs/>
          <w:sz w:val="21"/>
          <w:szCs w:val="21"/>
          <w:u w:val="single"/>
          <w:lang w:val="en-US" w:eastAsia="zh-CN"/>
        </w:rPr>
        <w:t xml:space="preserve">4.2 </w:t>
      </w:r>
      <w:r>
        <w:rPr>
          <w:rFonts w:hint="eastAsia" w:ascii="Times New Roman" w:hAnsi="Times New Roman" w:eastAsia="宋体" w:cs="Times New Roman"/>
          <w:b/>
          <w:bCs/>
          <w:sz w:val="21"/>
          <w:szCs w:val="21"/>
          <w:u w:val="single"/>
          <w:lang w:val="en-US" w:eastAsia="zh-CN"/>
        </w:rPr>
        <w:t>-</w:t>
      </w:r>
      <w:r>
        <w:rPr>
          <w:rFonts w:hint="eastAsia" w:eastAsia="宋体" w:cs="Times New Roman"/>
          <w:b/>
          <w:bCs/>
          <w:sz w:val="21"/>
          <w:szCs w:val="21"/>
          <w:u w:val="single"/>
          <w:lang w:val="en-US" w:eastAsia="zh-CN"/>
        </w:rPr>
        <w:t>4</w:t>
      </w:r>
      <w:r>
        <w:rPr>
          <w:rFonts w:hint="eastAsia" w:ascii="Times New Roman" w:hAnsi="Times New Roman" w:eastAsia="宋体" w:cs="Times New Roman"/>
          <w:b/>
          <w:bCs/>
          <w:sz w:val="21"/>
          <w:szCs w:val="21"/>
          <w:u w:val="single"/>
          <w:lang w:val="en-US" w:eastAsia="zh-CN"/>
        </w:rPr>
        <w:tab/>
      </w:r>
      <w:r>
        <w:rPr>
          <w:rFonts w:hint="eastAsia" w:ascii="Times New Roman" w:hAnsi="Times New Roman" w:eastAsia="宋体" w:cs="Times New Roman"/>
          <w:b/>
          <w:bCs/>
          <w:sz w:val="21"/>
          <w:szCs w:val="21"/>
          <w:u w:val="single"/>
          <w:lang w:val="en-US" w:eastAsia="zh-CN"/>
        </w:rPr>
        <w:t>设计水质对比情况表（单位：mg/L）</w:t>
      </w:r>
    </w:p>
    <w:tbl>
      <w:tblPr>
        <w:tblStyle w:val="37"/>
        <w:tblW w:w="7998" w:type="dxa"/>
        <w:jc w:val="center"/>
        <w:tblLayout w:type="fixed"/>
        <w:tblCellMar>
          <w:top w:w="0" w:type="dxa"/>
          <w:left w:w="0" w:type="dxa"/>
          <w:bottom w:w="0" w:type="dxa"/>
          <w:right w:w="0" w:type="dxa"/>
        </w:tblCellMar>
      </w:tblPr>
      <w:tblGrid>
        <w:gridCol w:w="2204"/>
        <w:gridCol w:w="975"/>
        <w:gridCol w:w="1020"/>
        <w:gridCol w:w="1005"/>
        <w:gridCol w:w="930"/>
        <w:gridCol w:w="930"/>
        <w:gridCol w:w="934"/>
      </w:tblGrid>
      <w:tr>
        <w:trPr>
          <w:trHeight w:val="278" w:hRule="exact"/>
          <w:jc w:val="center"/>
        </w:trPr>
        <w:tc>
          <w:tcPr>
            <w:tcW w:w="2204" w:type="dxa"/>
            <w:tcBorders>
              <w:top w:val="single" w:color="000000" w:sz="12"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项目</w:t>
            </w:r>
          </w:p>
        </w:tc>
        <w:tc>
          <w:tcPr>
            <w:tcW w:w="975" w:type="dxa"/>
            <w:tcBorders>
              <w:top w:val="single" w:color="000000" w:sz="12"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总锰</w:t>
            </w:r>
          </w:p>
        </w:tc>
        <w:tc>
          <w:tcPr>
            <w:tcW w:w="1020" w:type="dxa"/>
            <w:tcBorders>
              <w:top w:val="single" w:color="000000" w:sz="12"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总铬</w:t>
            </w:r>
          </w:p>
        </w:tc>
        <w:tc>
          <w:tcPr>
            <w:tcW w:w="1005" w:type="dxa"/>
            <w:tcBorders>
              <w:top w:val="single" w:color="000000" w:sz="12"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六价铬</w:t>
            </w:r>
          </w:p>
        </w:tc>
        <w:tc>
          <w:tcPr>
            <w:tcW w:w="930" w:type="dxa"/>
            <w:tcBorders>
              <w:top w:val="single" w:color="000000" w:sz="12"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总钒</w:t>
            </w:r>
          </w:p>
        </w:tc>
        <w:tc>
          <w:tcPr>
            <w:tcW w:w="930" w:type="dxa"/>
            <w:tcBorders>
              <w:top w:val="single" w:color="000000" w:sz="12"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锌</w:t>
            </w:r>
          </w:p>
        </w:tc>
        <w:tc>
          <w:tcPr>
            <w:tcW w:w="934" w:type="dxa"/>
            <w:tcBorders>
              <w:top w:val="single" w:color="000000" w:sz="12"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铅</w:t>
            </w:r>
          </w:p>
        </w:tc>
      </w:tr>
      <w:tr>
        <w:trPr>
          <w:trHeight w:val="582" w:hRule="exact"/>
          <w:jc w:val="center"/>
        </w:trPr>
        <w:tc>
          <w:tcPr>
            <w:tcW w:w="2204" w:type="dxa"/>
            <w:tcBorders>
              <w:top w:val="single" w:color="000000" w:sz="4" w:space="0"/>
              <w:left w:val="nil"/>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eastAsia" w:ascii="Times New Roman" w:hAnsi="Times New Roman" w:eastAsia="宋体" w:cs="Times New Roman"/>
                <w:sz w:val="21"/>
                <w:szCs w:val="21"/>
                <w:u w:val="single"/>
                <w:lang w:val="en-US" w:eastAsia="zh-CN"/>
              </w:rPr>
              <w:t>本项目污水处理站</w:t>
            </w:r>
            <w:r>
              <w:rPr>
                <w:rFonts w:hint="default" w:ascii="Times New Roman" w:hAnsi="Times New Roman" w:eastAsia="宋体" w:cs="Times New Roman"/>
                <w:sz w:val="21"/>
                <w:szCs w:val="21"/>
                <w:u w:val="single"/>
              </w:rPr>
              <w:t>设计</w:t>
            </w:r>
            <w:r>
              <w:rPr>
                <w:rFonts w:hint="eastAsia" w:eastAsia="宋体" w:cs="Times New Roman"/>
                <w:sz w:val="21"/>
                <w:szCs w:val="21"/>
                <w:u w:val="single"/>
                <w:lang w:eastAsia="zh-CN"/>
              </w:rPr>
              <w:t>出水</w:t>
            </w:r>
            <w:r>
              <w:rPr>
                <w:rFonts w:hint="default" w:ascii="Times New Roman" w:hAnsi="Times New Roman" w:eastAsia="宋体" w:cs="Times New Roman"/>
                <w:sz w:val="21"/>
                <w:szCs w:val="21"/>
                <w:u w:val="single"/>
              </w:rPr>
              <w:t>水质</w:t>
            </w:r>
          </w:p>
        </w:tc>
        <w:tc>
          <w:tcPr>
            <w:tcW w:w="97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2.0</w:t>
            </w:r>
          </w:p>
        </w:tc>
        <w:tc>
          <w:tcPr>
            <w:tcW w:w="1020"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0.1</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0.05</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eastAsia" w:eastAsia="宋体" w:cs="Times New Roman"/>
                <w:sz w:val="21"/>
                <w:szCs w:val="21"/>
                <w:u w:val="single"/>
                <w:lang w:val="en-US" w:eastAsia="zh-CN"/>
              </w:rPr>
              <w:t>1</w:t>
            </w:r>
            <w:r>
              <w:rPr>
                <w:rFonts w:hint="default" w:ascii="Times New Roman" w:hAnsi="Times New Roman" w:eastAsia="宋体" w:cs="Times New Roman"/>
                <w:sz w:val="21"/>
                <w:szCs w:val="21"/>
                <w:u w:val="single"/>
              </w:rPr>
              <w:t>.0</w:t>
            </w:r>
          </w:p>
        </w:tc>
        <w:tc>
          <w:tcPr>
            <w:tcW w:w="930" w:type="dxa"/>
            <w:tcBorders>
              <w:top w:val="single" w:color="000000" w:sz="4" w:space="0"/>
              <w:left w:val="single" w:color="000000" w:sz="4" w:space="0"/>
              <w:bottom w:val="single" w:color="000000" w:sz="4"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1.0</w:t>
            </w:r>
          </w:p>
        </w:tc>
        <w:tc>
          <w:tcPr>
            <w:tcW w:w="934" w:type="dxa"/>
            <w:tcBorders>
              <w:top w:val="single" w:color="000000" w:sz="4" w:space="0"/>
              <w:left w:val="single" w:color="000000" w:sz="4" w:space="0"/>
              <w:bottom w:val="single" w:color="000000" w:sz="4"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0.1</w:t>
            </w:r>
          </w:p>
        </w:tc>
      </w:tr>
      <w:tr>
        <w:trPr>
          <w:trHeight w:val="599" w:hRule="exact"/>
          <w:jc w:val="center"/>
        </w:trPr>
        <w:tc>
          <w:tcPr>
            <w:tcW w:w="2204" w:type="dxa"/>
            <w:tcBorders>
              <w:top w:val="single" w:color="000000" w:sz="4" w:space="0"/>
              <w:left w:val="nil"/>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lang w:val="en-US" w:eastAsia="zh-CN"/>
              </w:rPr>
            </w:pPr>
            <w:r>
              <w:rPr>
                <w:rFonts w:hint="eastAsia" w:ascii="Times New Roman" w:hAnsi="Times New Roman" w:eastAsia="宋体" w:cs="Times New Roman"/>
                <w:sz w:val="21"/>
                <w:szCs w:val="21"/>
                <w:u w:val="single"/>
                <w:lang w:val="en-US" w:eastAsia="zh-CN"/>
              </w:rPr>
              <w:t>花垣工业集中区污水处理厂进水水质要求</w:t>
            </w:r>
          </w:p>
        </w:tc>
        <w:tc>
          <w:tcPr>
            <w:tcW w:w="975" w:type="dxa"/>
            <w:tcBorders>
              <w:top w:val="single" w:color="000000" w:sz="4" w:space="0"/>
              <w:left w:val="single" w:color="000000" w:sz="4" w:space="0"/>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ascii="Times New Roman" w:hAnsi="Times New Roman" w:eastAsia="Times New Roman" w:cs="Times New Roman"/>
                <w:sz w:val="21"/>
                <w:szCs w:val="21"/>
                <w:u w:val="single"/>
              </w:rPr>
              <w:t>≤</w:t>
            </w:r>
            <w:r>
              <w:rPr>
                <w:rFonts w:hint="eastAsia" w:ascii="Times New Roman" w:hAnsi="Times New Roman" w:eastAsia="宋体" w:cs="Times New Roman"/>
                <w:sz w:val="21"/>
                <w:szCs w:val="21"/>
                <w:u w:val="single"/>
                <w:lang w:val="en-US" w:eastAsia="zh-CN"/>
              </w:rPr>
              <w:t>2</w:t>
            </w:r>
            <w:r>
              <w:rPr>
                <w:rFonts w:ascii="Times New Roman" w:hAnsi="Times New Roman" w:eastAsia="Times New Roman" w:cs="Times New Roman"/>
                <w:sz w:val="21"/>
                <w:szCs w:val="21"/>
                <w:u w:val="single"/>
              </w:rPr>
              <w:t>.0</w:t>
            </w:r>
          </w:p>
        </w:tc>
        <w:tc>
          <w:tcPr>
            <w:tcW w:w="1020" w:type="dxa"/>
            <w:tcBorders>
              <w:top w:val="single" w:color="000000" w:sz="4" w:space="0"/>
              <w:left w:val="single" w:color="000000" w:sz="4" w:space="0"/>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ascii="Times New Roman" w:hAnsi="Times New Roman" w:eastAsia="Times New Roman" w:cs="Times New Roman"/>
                <w:sz w:val="21"/>
                <w:szCs w:val="21"/>
                <w:u w:val="single"/>
              </w:rPr>
              <w:t>≤</w:t>
            </w:r>
            <w:r>
              <w:rPr>
                <w:rFonts w:hint="default" w:ascii="Times New Roman" w:hAnsi="Times New Roman" w:eastAsia="宋体" w:cs="Times New Roman"/>
                <w:sz w:val="21"/>
                <w:szCs w:val="21"/>
                <w:u w:val="single"/>
              </w:rPr>
              <w:t>0.1</w:t>
            </w:r>
          </w:p>
        </w:tc>
        <w:tc>
          <w:tcPr>
            <w:tcW w:w="1005" w:type="dxa"/>
            <w:tcBorders>
              <w:top w:val="single" w:color="000000" w:sz="4" w:space="0"/>
              <w:left w:val="single" w:color="000000" w:sz="4" w:space="0"/>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ascii="Times New Roman" w:hAnsi="Times New Roman" w:eastAsia="Times New Roman" w:cs="Times New Roman"/>
                <w:sz w:val="21"/>
                <w:szCs w:val="21"/>
                <w:u w:val="single"/>
              </w:rPr>
              <w:t>≤</w:t>
            </w:r>
            <w:r>
              <w:rPr>
                <w:rFonts w:hint="default" w:ascii="Times New Roman" w:hAnsi="Times New Roman" w:eastAsia="宋体" w:cs="Times New Roman"/>
                <w:sz w:val="21"/>
                <w:szCs w:val="21"/>
                <w:u w:val="single"/>
              </w:rPr>
              <w:t>0.05</w:t>
            </w:r>
          </w:p>
        </w:tc>
        <w:tc>
          <w:tcPr>
            <w:tcW w:w="930" w:type="dxa"/>
            <w:tcBorders>
              <w:top w:val="single" w:color="000000" w:sz="4" w:space="0"/>
              <w:left w:val="single" w:color="000000" w:sz="4" w:space="0"/>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ascii="Times New Roman" w:hAnsi="Times New Roman" w:eastAsia="Times New Roman" w:cs="Times New Roman"/>
                <w:sz w:val="21"/>
                <w:szCs w:val="21"/>
                <w:u w:val="single"/>
              </w:rPr>
              <w:t>≤</w:t>
            </w:r>
            <w:r>
              <w:rPr>
                <w:rFonts w:hint="eastAsia" w:eastAsia="宋体" w:cs="Times New Roman"/>
                <w:sz w:val="21"/>
                <w:szCs w:val="21"/>
                <w:u w:val="single"/>
                <w:lang w:val="en-US" w:eastAsia="zh-CN"/>
              </w:rPr>
              <w:t>1</w:t>
            </w:r>
            <w:r>
              <w:rPr>
                <w:rFonts w:hint="default" w:ascii="Times New Roman" w:hAnsi="Times New Roman" w:eastAsia="宋体" w:cs="Times New Roman"/>
                <w:sz w:val="21"/>
                <w:szCs w:val="21"/>
                <w:u w:val="single"/>
              </w:rPr>
              <w:t>.0</w:t>
            </w:r>
          </w:p>
        </w:tc>
        <w:tc>
          <w:tcPr>
            <w:tcW w:w="930" w:type="dxa"/>
            <w:tcBorders>
              <w:top w:val="single" w:color="000000" w:sz="4" w:space="0"/>
              <w:left w:val="single" w:color="000000" w:sz="4" w:space="0"/>
              <w:bottom w:val="single" w:color="000000" w:sz="12" w:space="0"/>
              <w:right w:val="single" w:color="000000" w:sz="4" w:space="0"/>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ascii="Times New Roman" w:hAnsi="Times New Roman" w:eastAsia="Times New Roman" w:cs="Times New Roman"/>
                <w:sz w:val="21"/>
                <w:szCs w:val="21"/>
                <w:u w:val="single"/>
              </w:rPr>
              <w:t>≤</w:t>
            </w:r>
            <w:r>
              <w:rPr>
                <w:rFonts w:hint="default" w:ascii="Times New Roman" w:hAnsi="Times New Roman" w:eastAsia="宋体" w:cs="Times New Roman"/>
                <w:sz w:val="21"/>
                <w:szCs w:val="21"/>
                <w:u w:val="single"/>
              </w:rPr>
              <w:t>1.0</w:t>
            </w:r>
          </w:p>
        </w:tc>
        <w:tc>
          <w:tcPr>
            <w:tcW w:w="934" w:type="dxa"/>
            <w:tcBorders>
              <w:top w:val="single" w:color="000000" w:sz="4" w:space="0"/>
              <w:left w:val="single" w:color="000000" w:sz="4" w:space="0"/>
              <w:bottom w:val="single" w:color="000000" w:sz="12" w:space="0"/>
              <w:right w:val="nil"/>
            </w:tcBorders>
            <w:noWrap w:val="0"/>
            <w:vAlign w:val="center"/>
          </w:tcPr>
          <w:p>
            <w:pPr>
              <w:widowControl w:val="0"/>
              <w:suppressAutoHyphens/>
              <w:wordWrap w:val="0"/>
              <w:topLinePunct/>
              <w:spacing w:line="240" w:lineRule="auto"/>
              <w:ind w:firstLine="0" w:firstLineChars="0"/>
              <w:jc w:val="center"/>
              <w:rPr>
                <w:rFonts w:hint="default" w:ascii="Times New Roman" w:hAnsi="Times New Roman" w:eastAsia="宋体" w:cs="Times New Roman"/>
                <w:sz w:val="21"/>
                <w:szCs w:val="21"/>
                <w:u w:val="single"/>
              </w:rPr>
            </w:pPr>
            <w:r>
              <w:rPr>
                <w:rFonts w:ascii="Times New Roman" w:hAnsi="Times New Roman" w:eastAsia="Times New Roman" w:cs="Times New Roman"/>
                <w:sz w:val="21"/>
                <w:szCs w:val="21"/>
                <w:u w:val="single"/>
              </w:rPr>
              <w:t>≤</w:t>
            </w:r>
            <w:r>
              <w:rPr>
                <w:rFonts w:hint="default" w:ascii="Times New Roman" w:hAnsi="Times New Roman" w:eastAsia="宋体" w:cs="Times New Roman"/>
                <w:sz w:val="21"/>
                <w:szCs w:val="21"/>
                <w:u w:val="single"/>
              </w:rPr>
              <w:t>0.1</w:t>
            </w:r>
          </w:p>
        </w:tc>
      </w:tr>
    </w:tbl>
    <w:p>
      <w:pPr>
        <w:pStyle w:val="16"/>
        <w:spacing w:before="135" w:line="348" w:lineRule="auto"/>
        <w:ind w:right="117" w:firstLine="480"/>
        <w:jc w:val="both"/>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综上，本项目出水水质可以满足花垣工业集中区污水处理厂的进水水质的要求，本项目水量、水质均可以满足花垣工业集中区污水处理厂的要求，本项目经处理达标后，进入花垣工业集中区污水处理厂处理是可行的，项目废水最终排放情况见下表：</w:t>
      </w:r>
    </w:p>
    <w:p>
      <w:pPr>
        <w:pStyle w:val="120"/>
        <w:ind w:firstLine="0" w:firstLineChars="0"/>
        <w:jc w:val="center"/>
        <w:rPr>
          <w:rFonts w:hint="default" w:ascii="Times New Roman" w:hAnsi="Times New Roman" w:cs="Times New Roman"/>
          <w:b/>
          <w:sz w:val="21"/>
          <w:szCs w:val="21"/>
          <w:u w:val="none"/>
          <w:lang w:val="en-US" w:eastAsia="zh-CN"/>
        </w:rPr>
      </w:pPr>
      <w:r>
        <w:rPr>
          <w:rFonts w:hint="default" w:ascii="Times New Roman" w:hAnsi="Times New Roman" w:cs="Times New Roman"/>
          <w:b/>
          <w:sz w:val="21"/>
          <w:szCs w:val="21"/>
          <w:u w:val="none"/>
          <w:lang w:val="en-US" w:eastAsia="zh-CN"/>
        </w:rPr>
        <w:t>表</w:t>
      </w:r>
      <w:r>
        <w:rPr>
          <w:rFonts w:hint="eastAsia" w:ascii="Times New Roman" w:hAnsi="Times New Roman" w:cs="Times New Roman"/>
          <w:b/>
          <w:sz w:val="21"/>
          <w:szCs w:val="21"/>
          <w:u w:val="none"/>
          <w:lang w:val="en-US" w:eastAsia="zh-CN"/>
        </w:rPr>
        <w:t>4.2-5</w:t>
      </w:r>
      <w:r>
        <w:rPr>
          <w:rFonts w:hint="default" w:ascii="Times New Roman" w:hAnsi="Times New Roman" w:cs="Times New Roman"/>
          <w:b/>
          <w:sz w:val="21"/>
          <w:szCs w:val="21"/>
          <w:u w:val="none"/>
          <w:lang w:val="en-US" w:eastAsia="zh-CN"/>
        </w:rPr>
        <w:t xml:space="preserve"> 废水类别、污染物及污染治理设施信息表</w:t>
      </w:r>
    </w:p>
    <w:tbl>
      <w:tblPr>
        <w:tblStyle w:val="37"/>
        <w:tblW w:w="89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8"/>
        <w:gridCol w:w="705"/>
        <w:gridCol w:w="885"/>
        <w:gridCol w:w="769"/>
        <w:gridCol w:w="630"/>
        <w:gridCol w:w="1065"/>
        <w:gridCol w:w="975"/>
        <w:gridCol w:w="1050"/>
        <w:gridCol w:w="705"/>
        <w:gridCol w:w="900"/>
        <w:gridCol w:w="8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8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序号</w:t>
            </w:r>
          </w:p>
        </w:tc>
        <w:tc>
          <w:tcPr>
            <w:tcW w:w="70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废水类别</w:t>
            </w:r>
          </w:p>
        </w:tc>
        <w:tc>
          <w:tcPr>
            <w:tcW w:w="88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污染物种类</w:t>
            </w:r>
          </w:p>
        </w:tc>
        <w:tc>
          <w:tcPr>
            <w:tcW w:w="76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排放去向</w:t>
            </w:r>
          </w:p>
        </w:tc>
        <w:tc>
          <w:tcPr>
            <w:tcW w:w="63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排放规律</w:t>
            </w:r>
          </w:p>
        </w:tc>
        <w:tc>
          <w:tcPr>
            <w:tcW w:w="3090"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污染治理设施</w:t>
            </w:r>
          </w:p>
        </w:tc>
        <w:tc>
          <w:tcPr>
            <w:tcW w:w="70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排放口编号</w:t>
            </w:r>
          </w:p>
        </w:tc>
        <w:tc>
          <w:tcPr>
            <w:tcW w:w="90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排放口设置是否符合要求</w:t>
            </w:r>
          </w:p>
        </w:tc>
        <w:tc>
          <w:tcPr>
            <w:tcW w:w="84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38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sz w:val="21"/>
                <w:szCs w:val="21"/>
                <w:u w:val="none"/>
              </w:rPr>
            </w:pPr>
          </w:p>
        </w:tc>
        <w:tc>
          <w:tcPr>
            <w:tcW w:w="70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sz w:val="21"/>
                <w:szCs w:val="21"/>
                <w:u w:val="none"/>
              </w:rPr>
            </w:pPr>
          </w:p>
        </w:tc>
        <w:tc>
          <w:tcPr>
            <w:tcW w:w="88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sz w:val="21"/>
                <w:szCs w:val="21"/>
                <w:u w:val="none"/>
              </w:rPr>
            </w:pPr>
          </w:p>
        </w:tc>
        <w:tc>
          <w:tcPr>
            <w:tcW w:w="76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sz w:val="21"/>
                <w:szCs w:val="21"/>
                <w:u w:val="none"/>
              </w:rPr>
            </w:pPr>
          </w:p>
        </w:tc>
        <w:tc>
          <w:tcPr>
            <w:tcW w:w="63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sz w:val="21"/>
                <w:szCs w:val="21"/>
                <w:u w:val="none"/>
              </w:rPr>
            </w:pPr>
          </w:p>
        </w:tc>
        <w:tc>
          <w:tcPr>
            <w:tcW w:w="10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污染治理设施编号</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污染治理设施名称</w:t>
            </w:r>
          </w:p>
        </w:tc>
        <w:tc>
          <w:tcPr>
            <w:tcW w:w="10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污染治理设施工艺</w:t>
            </w:r>
          </w:p>
        </w:tc>
        <w:tc>
          <w:tcPr>
            <w:tcW w:w="70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sz w:val="21"/>
                <w:szCs w:val="21"/>
                <w:u w:val="none"/>
              </w:rPr>
            </w:pPr>
          </w:p>
        </w:tc>
        <w:tc>
          <w:tcPr>
            <w:tcW w:w="90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sz w:val="21"/>
                <w:szCs w:val="21"/>
                <w:u w:val="none"/>
              </w:rPr>
            </w:pPr>
          </w:p>
        </w:tc>
        <w:tc>
          <w:tcPr>
            <w:tcW w:w="84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left"/>
              <w:textAlignment w:val="auto"/>
              <w:rPr>
                <w:rFonts w:hint="default" w:ascii="Times New Roman" w:hAnsi="Times New Roman" w:cs="Times New Roman"/>
                <w:sz w:val="21"/>
                <w:szCs w:val="21"/>
                <w:u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38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1</w:t>
            </w:r>
          </w:p>
        </w:tc>
        <w:tc>
          <w:tcPr>
            <w:tcW w:w="7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rPr>
            </w:pPr>
            <w:r>
              <w:rPr>
                <w:rFonts w:hint="eastAsia" w:ascii="Times New Roman" w:hAnsi="Times New Roman" w:cs="Times New Roman"/>
                <w:sz w:val="21"/>
                <w:szCs w:val="21"/>
                <w:u w:val="none"/>
                <w:lang w:val="en-US" w:eastAsia="zh-CN"/>
              </w:rPr>
              <w:t>重金属废水</w:t>
            </w:r>
          </w:p>
        </w:tc>
        <w:tc>
          <w:tcPr>
            <w:tcW w:w="8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rPr>
              <w:t>总锰、总</w:t>
            </w:r>
            <w:r>
              <w:rPr>
                <w:rFonts w:hint="eastAsia" w:ascii="Times New Roman" w:hAnsi="Times New Roman" w:cs="Times New Roman"/>
                <w:sz w:val="21"/>
                <w:szCs w:val="21"/>
                <w:u w:val="none"/>
                <w:lang w:val="en-US" w:eastAsia="zh-CN"/>
              </w:rPr>
              <w:t>铬</w:t>
            </w:r>
            <w:r>
              <w:rPr>
                <w:rFonts w:hint="default" w:ascii="Times New Roman" w:hAnsi="Times New Roman" w:cs="Times New Roman"/>
                <w:sz w:val="21"/>
                <w:szCs w:val="21"/>
                <w:u w:val="none"/>
              </w:rPr>
              <w:t>、六价铬、总钒</w:t>
            </w:r>
            <w:r>
              <w:rPr>
                <w:rFonts w:hint="eastAsia" w:ascii="Times New Roman" w:hAnsi="Times New Roman" w:cs="Times New Roman"/>
                <w:sz w:val="21"/>
                <w:szCs w:val="21"/>
                <w:u w:val="none"/>
                <w:lang w:eastAsia="zh-CN"/>
              </w:rPr>
              <w:t>、锌、</w:t>
            </w:r>
            <w:r>
              <w:rPr>
                <w:rFonts w:hint="eastAsia" w:ascii="Times New Roman" w:hAnsi="Times New Roman" w:cs="Times New Roman"/>
                <w:sz w:val="21"/>
                <w:szCs w:val="21"/>
                <w:u w:val="none"/>
                <w:lang w:val="en-US" w:eastAsia="zh-CN"/>
              </w:rPr>
              <w:t>铅</w:t>
            </w:r>
          </w:p>
        </w:tc>
        <w:tc>
          <w:tcPr>
            <w:tcW w:w="76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eastAsia="zh-CN"/>
              </w:rPr>
              <w:t>园区</w:t>
            </w:r>
            <w:r>
              <w:rPr>
                <w:rFonts w:hint="default" w:ascii="Times New Roman" w:hAnsi="Times New Roman" w:cs="Times New Roman"/>
                <w:sz w:val="21"/>
                <w:szCs w:val="21"/>
                <w:u w:val="none"/>
              </w:rPr>
              <w:t>污水处理厂</w:t>
            </w:r>
          </w:p>
        </w:tc>
        <w:tc>
          <w:tcPr>
            <w:tcW w:w="63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连续</w:t>
            </w:r>
          </w:p>
        </w:tc>
        <w:tc>
          <w:tcPr>
            <w:tcW w:w="10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01</w:t>
            </w:r>
          </w:p>
        </w:tc>
        <w:tc>
          <w:tcPr>
            <w:tcW w:w="97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污水处理站</w:t>
            </w:r>
          </w:p>
        </w:tc>
        <w:tc>
          <w:tcPr>
            <w:tcW w:w="105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21"/>
                <w:szCs w:val="21"/>
                <w:u w:val="none"/>
                <w:lang w:eastAsia="zh-CN"/>
              </w:rPr>
            </w:pPr>
            <w:r>
              <w:rPr>
                <w:rFonts w:hint="eastAsia" w:ascii="Times New Roman" w:hAnsi="Times New Roman" w:cs="Times New Roman"/>
                <w:sz w:val="21"/>
                <w:szCs w:val="21"/>
                <w:u w:val="none"/>
                <w:lang w:val="en-US" w:eastAsia="zh-CN"/>
              </w:rPr>
              <w:t>化学沉淀+石英砂过滤</w:t>
            </w:r>
          </w:p>
        </w:tc>
        <w:tc>
          <w:tcPr>
            <w:tcW w:w="70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ZJS01</w:t>
            </w:r>
          </w:p>
        </w:tc>
        <w:tc>
          <w:tcPr>
            <w:tcW w:w="90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lang w:eastAsia="zh-CN"/>
              </w:rPr>
              <w:t>☑</w:t>
            </w:r>
            <w:r>
              <w:rPr>
                <w:rFonts w:hint="default" w:ascii="Times New Roman" w:hAnsi="Times New Roman" w:cs="Times New Roman"/>
                <w:sz w:val="21"/>
                <w:szCs w:val="21"/>
                <w:u w:val="none"/>
              </w:rPr>
              <w:t>是</w:t>
            </w:r>
          </w:p>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default" w:ascii="Times New Roman" w:hAnsi="Times New Roman" w:cs="Times New Roman"/>
                <w:sz w:val="21"/>
                <w:szCs w:val="21"/>
                <w:u w:val="none"/>
              </w:rPr>
              <w:t>□否</w:t>
            </w:r>
          </w:p>
        </w:tc>
        <w:tc>
          <w:tcPr>
            <w:tcW w:w="8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eastAsia="宋体" w:cs="Times New Roman"/>
                <w:sz w:val="21"/>
                <w:szCs w:val="21"/>
                <w:u w:val="none"/>
                <w:lang w:val="en-US" w:eastAsia="zh-CN"/>
              </w:rPr>
            </w:pPr>
            <w:r>
              <w:rPr>
                <w:rFonts w:hint="default" w:ascii="Times New Roman" w:hAnsi="Times New Roman" w:cs="Times New Roman"/>
                <w:sz w:val="21"/>
                <w:szCs w:val="21"/>
                <w:u w:val="none"/>
                <w:lang w:eastAsia="zh-CN"/>
              </w:rPr>
              <w:t>☑</w:t>
            </w:r>
            <w:r>
              <w:rPr>
                <w:rFonts w:hint="default" w:ascii="Times New Roman" w:hAnsi="Times New Roman" w:cs="Times New Roman"/>
                <w:sz w:val="21"/>
                <w:szCs w:val="21"/>
                <w:u w:val="none"/>
              </w:rPr>
              <w:t>总排</w:t>
            </w:r>
            <w:r>
              <w:rPr>
                <w:rFonts w:hint="eastAsia" w:ascii="Times New Roman" w:hAnsi="Times New Roman" w:cs="Times New Roman"/>
                <w:sz w:val="21"/>
                <w:szCs w:val="21"/>
                <w:u w:val="none"/>
                <w:lang w:val="en-US" w:eastAsia="zh-CN"/>
              </w:rPr>
              <w:t>口</w:t>
            </w:r>
          </w:p>
        </w:tc>
      </w:tr>
    </w:tbl>
    <w:p>
      <w:pPr>
        <w:pStyle w:val="120"/>
        <w:ind w:firstLine="0" w:firstLineChars="0"/>
        <w:jc w:val="center"/>
        <w:rPr>
          <w:rFonts w:hint="default" w:ascii="Times New Roman" w:hAnsi="Times New Roman" w:cs="Times New Roman"/>
          <w:szCs w:val="24"/>
          <w:u w:val="none"/>
          <w:lang w:val="en-US" w:eastAsia="zh-CN"/>
        </w:rPr>
      </w:pPr>
      <w:r>
        <w:rPr>
          <w:rFonts w:hint="default" w:ascii="Times New Roman" w:hAnsi="Times New Roman" w:cs="Times New Roman"/>
          <w:b/>
          <w:sz w:val="21"/>
          <w:szCs w:val="21"/>
          <w:u w:val="none"/>
          <w:lang w:val="en-US" w:eastAsia="zh-CN"/>
        </w:rPr>
        <w:t>表</w:t>
      </w:r>
      <w:r>
        <w:rPr>
          <w:rFonts w:hint="eastAsia" w:ascii="Times New Roman" w:hAnsi="Times New Roman" w:cs="Times New Roman"/>
          <w:b/>
          <w:sz w:val="21"/>
          <w:szCs w:val="21"/>
          <w:u w:val="none"/>
          <w:lang w:val="en-US" w:eastAsia="zh-CN"/>
        </w:rPr>
        <w:t>4.2-6</w:t>
      </w:r>
      <w:r>
        <w:rPr>
          <w:rFonts w:hint="default" w:ascii="Times New Roman" w:hAnsi="Times New Roman" w:cs="Times New Roman"/>
          <w:b/>
          <w:sz w:val="21"/>
          <w:szCs w:val="21"/>
          <w:u w:val="none"/>
          <w:lang w:val="en-US" w:eastAsia="zh-CN"/>
        </w:rPr>
        <w:t xml:space="preserve"> 废水间接排放口基本信息表</w:t>
      </w:r>
    </w:p>
    <w:tbl>
      <w:tblPr>
        <w:tblStyle w:val="37"/>
        <w:tblW w:w="928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41"/>
        <w:gridCol w:w="889"/>
        <w:gridCol w:w="778"/>
        <w:gridCol w:w="885"/>
        <w:gridCol w:w="862"/>
        <w:gridCol w:w="595"/>
        <w:gridCol w:w="444"/>
        <w:gridCol w:w="745"/>
        <w:gridCol w:w="834"/>
        <w:gridCol w:w="796"/>
        <w:gridCol w:w="201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64" w:hRule="atLeast"/>
          <w:jc w:val="center"/>
        </w:trPr>
        <w:tc>
          <w:tcPr>
            <w:tcW w:w="44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序号</w:t>
            </w:r>
          </w:p>
        </w:tc>
        <w:tc>
          <w:tcPr>
            <w:tcW w:w="88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排放口编号</w:t>
            </w:r>
          </w:p>
        </w:tc>
        <w:tc>
          <w:tcPr>
            <w:tcW w:w="1663"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排放口地理坐标</w:t>
            </w:r>
          </w:p>
        </w:tc>
        <w:tc>
          <w:tcPr>
            <w:tcW w:w="862"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废水排放量</w:t>
            </w:r>
            <w:r>
              <w:rPr>
                <w:rFonts w:hint="default" w:ascii="Times New Roman" w:hAnsi="Times New Roman" w:cs="Times New Roman"/>
                <w:sz w:val="21"/>
                <w:szCs w:val="21"/>
                <w:u w:val="none"/>
              </w:rPr>
              <w:t>/</w:t>
            </w:r>
            <w:r>
              <w:rPr>
                <w:rFonts w:hint="default" w:ascii="Times New Roman" w:hAnsi="Times New Roman" w:cs="Times New Roman"/>
                <w:sz w:val="21"/>
                <w:szCs w:val="21"/>
                <w:u w:val="none"/>
                <w:lang w:eastAsia="zh-CN"/>
              </w:rPr>
              <w:t>（万t/a）</w:t>
            </w:r>
          </w:p>
        </w:tc>
        <w:tc>
          <w:tcPr>
            <w:tcW w:w="59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排放去向</w:t>
            </w:r>
          </w:p>
        </w:tc>
        <w:tc>
          <w:tcPr>
            <w:tcW w:w="44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rPr>
              <w:t>排放规律</w:t>
            </w:r>
          </w:p>
        </w:tc>
        <w:tc>
          <w:tcPr>
            <w:tcW w:w="745"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间歇排放时段</w:t>
            </w:r>
          </w:p>
        </w:tc>
        <w:tc>
          <w:tcPr>
            <w:tcW w:w="3641" w:type="dxa"/>
            <w:gridSpan w:val="3"/>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受纳污水处理水厂信息</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794" w:hRule="atLeast"/>
          <w:jc w:val="center"/>
        </w:trPr>
        <w:tc>
          <w:tcPr>
            <w:tcW w:w="44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88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经度</w:t>
            </w:r>
          </w:p>
        </w:tc>
        <w:tc>
          <w:tcPr>
            <w:tcW w:w="8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纬度</w:t>
            </w:r>
          </w:p>
        </w:tc>
        <w:tc>
          <w:tcPr>
            <w:tcW w:w="862"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59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44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745"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8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名称</w:t>
            </w:r>
          </w:p>
        </w:tc>
        <w:tc>
          <w:tcPr>
            <w:tcW w:w="7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污染物种类</w:t>
            </w:r>
          </w:p>
        </w:tc>
        <w:tc>
          <w:tcPr>
            <w:tcW w:w="20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国家或地方污染物排放标准浓度限值/（mg/L）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770" w:hRule="atLeast"/>
          <w:jc w:val="center"/>
        </w:trPr>
        <w:tc>
          <w:tcPr>
            <w:tcW w:w="44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1</w:t>
            </w:r>
          </w:p>
        </w:tc>
        <w:tc>
          <w:tcPr>
            <w:tcW w:w="8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ZJS01</w:t>
            </w:r>
          </w:p>
        </w:tc>
        <w:tc>
          <w:tcPr>
            <w:tcW w:w="7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highlight w:val="none"/>
                <w:u w:val="none"/>
                <w:lang w:val="en-US" w:eastAsia="zh-CN"/>
              </w:rPr>
            </w:pPr>
            <w:r>
              <w:rPr>
                <w:rFonts w:hint="eastAsia" w:cs="Times New Roman"/>
                <w:sz w:val="21"/>
                <w:szCs w:val="21"/>
                <w:highlight w:val="none"/>
                <w:u w:val="none"/>
                <w:lang w:val="en-US" w:eastAsia="zh-CN"/>
              </w:rPr>
              <w:t>E</w:t>
            </w:r>
            <w:r>
              <w:rPr>
                <w:rFonts w:hint="default" w:ascii="Times New Roman" w:hAnsi="Times New Roman" w:cs="Times New Roman"/>
                <w:sz w:val="21"/>
                <w:szCs w:val="21"/>
                <w:highlight w:val="none"/>
                <w:u w:val="none"/>
                <w:lang w:val="en-US" w:eastAsia="zh-CN"/>
              </w:rPr>
              <w:t>109°26′11.536″</w:t>
            </w:r>
          </w:p>
        </w:tc>
        <w:tc>
          <w:tcPr>
            <w:tcW w:w="8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highlight w:val="none"/>
                <w:u w:val="none"/>
                <w:lang w:val="en-US" w:eastAsia="zh-CN"/>
              </w:rPr>
            </w:pPr>
            <w:r>
              <w:rPr>
                <w:rFonts w:hint="eastAsia" w:cs="Times New Roman"/>
                <w:sz w:val="21"/>
                <w:szCs w:val="21"/>
                <w:highlight w:val="none"/>
                <w:u w:val="none"/>
                <w:lang w:val="en-US" w:eastAsia="zh-CN"/>
              </w:rPr>
              <w:t>N</w:t>
            </w:r>
            <w:r>
              <w:rPr>
                <w:rFonts w:hint="default" w:ascii="Times New Roman" w:hAnsi="Times New Roman" w:cs="Times New Roman"/>
                <w:sz w:val="21"/>
                <w:szCs w:val="21"/>
                <w:highlight w:val="none"/>
                <w:u w:val="none"/>
                <w:lang w:val="en-US" w:eastAsia="zh-CN"/>
              </w:rPr>
              <w:t>28°35′38.366″</w:t>
            </w:r>
          </w:p>
        </w:tc>
        <w:tc>
          <w:tcPr>
            <w:tcW w:w="86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109.5</w:t>
            </w:r>
          </w:p>
        </w:tc>
        <w:tc>
          <w:tcPr>
            <w:tcW w:w="59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园区污水处理厂</w:t>
            </w:r>
          </w:p>
        </w:tc>
        <w:tc>
          <w:tcPr>
            <w:tcW w:w="4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eastAsia" w:cs="Times New Roman"/>
                <w:sz w:val="21"/>
                <w:szCs w:val="21"/>
                <w:u w:val="none"/>
                <w:lang w:val="en-US" w:eastAsia="zh-CN"/>
              </w:rPr>
              <w:t>间歇</w:t>
            </w:r>
          </w:p>
        </w:tc>
        <w:tc>
          <w:tcPr>
            <w:tcW w:w="7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w:t>
            </w:r>
          </w:p>
        </w:tc>
        <w:tc>
          <w:tcPr>
            <w:tcW w:w="83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eastAsia="宋体" w:cs="Times New Roman"/>
                <w:sz w:val="21"/>
                <w:szCs w:val="21"/>
                <w:u w:val="none"/>
                <w:lang w:val="en-US" w:eastAsia="zh-CN"/>
              </w:rPr>
            </w:pPr>
            <w:r>
              <w:rPr>
                <w:rFonts w:hint="eastAsia" w:ascii="Times New Roman" w:hAnsi="Times New Roman" w:cs="Times New Roman"/>
                <w:sz w:val="21"/>
                <w:szCs w:val="21"/>
                <w:u w:val="none"/>
                <w:lang w:val="en-US" w:eastAsia="zh-CN"/>
              </w:rPr>
              <w:t>花垣工业集中区污水处理厂</w:t>
            </w:r>
          </w:p>
        </w:tc>
        <w:tc>
          <w:tcPr>
            <w:tcW w:w="79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rPr>
              <w:t>总锰、总</w:t>
            </w:r>
            <w:r>
              <w:rPr>
                <w:rFonts w:hint="eastAsia" w:ascii="Times New Roman" w:hAnsi="Times New Roman" w:cs="Times New Roman"/>
                <w:sz w:val="21"/>
                <w:szCs w:val="21"/>
                <w:u w:val="none"/>
                <w:lang w:val="en-US" w:eastAsia="zh-CN"/>
              </w:rPr>
              <w:t>铬</w:t>
            </w:r>
            <w:r>
              <w:rPr>
                <w:rFonts w:hint="default" w:ascii="Times New Roman" w:hAnsi="Times New Roman" w:cs="Times New Roman"/>
                <w:sz w:val="21"/>
                <w:szCs w:val="21"/>
                <w:u w:val="none"/>
              </w:rPr>
              <w:t>、六价铬、总钒</w:t>
            </w:r>
            <w:r>
              <w:rPr>
                <w:rFonts w:hint="eastAsia" w:ascii="Times New Roman" w:hAnsi="Times New Roman" w:cs="Times New Roman"/>
                <w:sz w:val="21"/>
                <w:szCs w:val="21"/>
                <w:u w:val="none"/>
                <w:lang w:eastAsia="zh-CN"/>
              </w:rPr>
              <w:t>、锌、</w:t>
            </w:r>
            <w:r>
              <w:rPr>
                <w:rFonts w:hint="eastAsia" w:ascii="Times New Roman" w:hAnsi="Times New Roman" w:cs="Times New Roman"/>
                <w:sz w:val="21"/>
                <w:szCs w:val="21"/>
                <w:u w:val="none"/>
                <w:lang w:val="en-US" w:eastAsia="zh-CN"/>
              </w:rPr>
              <w:t>铅</w:t>
            </w:r>
          </w:p>
        </w:tc>
        <w:tc>
          <w:tcPr>
            <w:tcW w:w="201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《城镇污水处理厂污染物排放标准》（</w:t>
            </w:r>
            <w:r>
              <w:rPr>
                <w:rFonts w:hint="default" w:ascii="Times New Roman" w:hAnsi="Times New Roman" w:cs="Times New Roman"/>
                <w:color w:val="auto"/>
                <w:sz w:val="21"/>
                <w:szCs w:val="21"/>
                <w:u w:val="none"/>
                <w:lang w:val="en-US" w:eastAsia="zh-CN"/>
              </w:rPr>
              <w:t>GB18918-2002）一级A标准</w:t>
            </w:r>
            <w:r>
              <w:rPr>
                <w:rFonts w:hint="eastAsia" w:ascii="Times New Roman" w:hAnsi="Times New Roman" w:cs="Times New Roman"/>
                <w:color w:val="auto"/>
                <w:sz w:val="21"/>
                <w:szCs w:val="21"/>
                <w:u w:val="none"/>
                <w:lang w:val="en-US" w:eastAsia="zh-CN"/>
              </w:rPr>
              <w:t>、总钒指标执行《钒工业污染物排放标准》（GB26452-2001）</w:t>
            </w:r>
            <w:r>
              <w:rPr>
                <w:rFonts w:hint="eastAsia" w:cs="Times New Roman"/>
                <w:color w:val="auto"/>
                <w:sz w:val="21"/>
                <w:szCs w:val="21"/>
                <w:u w:val="none"/>
                <w:lang w:val="en-US" w:eastAsia="zh-CN"/>
              </w:rPr>
              <w:t>表2 标准限值</w:t>
            </w:r>
            <w:r>
              <w:rPr>
                <w:rFonts w:hint="eastAsia" w:ascii="Times New Roman" w:hAnsi="Times New Roman" w:cs="Times New Roman"/>
                <w:color w:val="auto"/>
                <w:sz w:val="21"/>
                <w:szCs w:val="21"/>
                <w:u w:val="none"/>
                <w:lang w:val="en-US" w:eastAsia="zh-CN"/>
              </w:rPr>
              <w:t>，其他污染物指标达</w:t>
            </w:r>
            <w:r>
              <w:rPr>
                <w:rFonts w:hint="eastAsia" w:ascii="Times New Roman" w:hAnsi="Times New Roman" w:cs="Times New Roman"/>
                <w:sz w:val="21"/>
                <w:szCs w:val="21"/>
                <w:u w:val="none"/>
                <w:lang w:val="en-US" w:eastAsia="zh-CN"/>
              </w:rPr>
              <w:t>到《城镇污水处理厂污染物排放标准》（GB18918-2002）表2、表3中标准限值</w:t>
            </w:r>
          </w:p>
        </w:tc>
      </w:tr>
    </w:tbl>
    <w:p>
      <w:pPr>
        <w:pStyle w:val="120"/>
        <w:ind w:firstLine="0" w:firstLineChars="0"/>
        <w:jc w:val="center"/>
        <w:rPr>
          <w:rFonts w:hint="default" w:ascii="Times New Roman" w:hAnsi="Times New Roman" w:cs="Times New Roman"/>
          <w:i w:val="0"/>
          <w:iCs w:val="0"/>
          <w:szCs w:val="24"/>
          <w:u w:val="none"/>
          <w:lang w:val="en-US" w:eastAsia="zh-CN"/>
        </w:rPr>
      </w:pPr>
      <w:r>
        <w:rPr>
          <w:rFonts w:hint="default" w:ascii="Times New Roman" w:hAnsi="Times New Roman" w:cs="Times New Roman"/>
          <w:b/>
          <w:i w:val="0"/>
          <w:iCs w:val="0"/>
          <w:sz w:val="21"/>
          <w:szCs w:val="21"/>
          <w:u w:val="none"/>
          <w:lang w:val="en-US" w:eastAsia="zh-CN"/>
        </w:rPr>
        <w:t>表</w:t>
      </w:r>
      <w:r>
        <w:rPr>
          <w:rFonts w:hint="eastAsia" w:ascii="Times New Roman" w:hAnsi="Times New Roman" w:cs="Times New Roman"/>
          <w:b/>
          <w:i w:val="0"/>
          <w:iCs w:val="0"/>
          <w:sz w:val="21"/>
          <w:szCs w:val="21"/>
          <w:u w:val="none"/>
          <w:lang w:val="en-US" w:eastAsia="zh-CN"/>
        </w:rPr>
        <w:t>4.2-7</w:t>
      </w:r>
      <w:r>
        <w:rPr>
          <w:rFonts w:hint="default" w:ascii="Times New Roman" w:hAnsi="Times New Roman" w:cs="Times New Roman"/>
          <w:b/>
          <w:i w:val="0"/>
          <w:iCs w:val="0"/>
          <w:sz w:val="21"/>
          <w:szCs w:val="21"/>
          <w:u w:val="none"/>
          <w:lang w:val="en-US" w:eastAsia="zh-CN"/>
        </w:rPr>
        <w:t xml:space="preserve"> 废水污染物排放执行标准表</w:t>
      </w:r>
    </w:p>
    <w:tbl>
      <w:tblPr>
        <w:tblStyle w:val="37"/>
        <w:tblW w:w="914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16"/>
        <w:gridCol w:w="956"/>
        <w:gridCol w:w="1177"/>
        <w:gridCol w:w="4036"/>
        <w:gridCol w:w="225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9" w:hRule="atLeast"/>
          <w:jc w:val="center"/>
        </w:trPr>
        <w:tc>
          <w:tcPr>
            <w:tcW w:w="71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序号</w:t>
            </w:r>
          </w:p>
        </w:tc>
        <w:tc>
          <w:tcPr>
            <w:tcW w:w="95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排放口编号</w:t>
            </w:r>
          </w:p>
        </w:tc>
        <w:tc>
          <w:tcPr>
            <w:tcW w:w="117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污染物种类</w:t>
            </w:r>
          </w:p>
        </w:tc>
        <w:tc>
          <w:tcPr>
            <w:tcW w:w="6291"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国家或地方污染物排放标准及其他按规定商定的排放协议（a）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21" w:hRule="atLeast"/>
          <w:jc w:val="center"/>
        </w:trPr>
        <w:tc>
          <w:tcPr>
            <w:tcW w:w="71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95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117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40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名称</w:t>
            </w:r>
          </w:p>
        </w:tc>
        <w:tc>
          <w:tcPr>
            <w:tcW w:w="22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浓度限值/（mg/L）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60" w:hRule="atLeast"/>
          <w:jc w:val="center"/>
        </w:trPr>
        <w:tc>
          <w:tcPr>
            <w:tcW w:w="71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1</w:t>
            </w:r>
          </w:p>
        </w:tc>
        <w:tc>
          <w:tcPr>
            <w:tcW w:w="95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ZJS01</w:t>
            </w:r>
          </w:p>
        </w:tc>
        <w:tc>
          <w:tcPr>
            <w:tcW w:w="11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rPr>
              <w:t>总锰</w:t>
            </w:r>
          </w:p>
        </w:tc>
        <w:tc>
          <w:tcPr>
            <w:tcW w:w="4036"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《城镇污水处理厂污染物排放标准》（GB18918-2002）一级A标准、总钒指标执行《钒工业污染物排放标准》（GB26452-2001），其他污染物指标达到《城镇污水处理厂污染物排放标准》（GB18918-2002）表2、表3中标准限值</w:t>
            </w:r>
          </w:p>
        </w:tc>
        <w:tc>
          <w:tcPr>
            <w:tcW w:w="22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21" w:hRule="atLeast"/>
          <w:jc w:val="center"/>
        </w:trPr>
        <w:tc>
          <w:tcPr>
            <w:tcW w:w="71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95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11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rPr>
              <w:t>总</w:t>
            </w:r>
            <w:r>
              <w:rPr>
                <w:rFonts w:hint="eastAsia" w:ascii="Times New Roman" w:hAnsi="Times New Roman" w:cs="Times New Roman"/>
                <w:sz w:val="21"/>
                <w:szCs w:val="21"/>
                <w:u w:val="none"/>
                <w:lang w:val="en-US" w:eastAsia="zh-CN"/>
              </w:rPr>
              <w:t>铬</w:t>
            </w:r>
          </w:p>
        </w:tc>
        <w:tc>
          <w:tcPr>
            <w:tcW w:w="403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22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21" w:hRule="atLeast"/>
          <w:jc w:val="center"/>
        </w:trPr>
        <w:tc>
          <w:tcPr>
            <w:tcW w:w="71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95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11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rPr>
              <w:t>六价铬</w:t>
            </w:r>
          </w:p>
        </w:tc>
        <w:tc>
          <w:tcPr>
            <w:tcW w:w="403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22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00" w:hRule="atLeast"/>
          <w:jc w:val="center"/>
        </w:trPr>
        <w:tc>
          <w:tcPr>
            <w:tcW w:w="71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95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11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rPr>
              <w:t>总钒</w:t>
            </w:r>
          </w:p>
        </w:tc>
        <w:tc>
          <w:tcPr>
            <w:tcW w:w="403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22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eastAsia" w:cs="Times New Roman"/>
                <w:sz w:val="21"/>
                <w:szCs w:val="21"/>
                <w:u w:val="none"/>
                <w:lang w:val="en-US" w:eastAsia="zh-CN"/>
              </w:rPr>
              <w:t>1</w:t>
            </w:r>
            <w:r>
              <w:rPr>
                <w:rFonts w:hint="eastAsia" w:ascii="Times New Roman" w:hAnsi="Times New Roman" w:cs="Times New Roman"/>
                <w:sz w:val="21"/>
                <w:szCs w:val="21"/>
                <w:u w:val="none"/>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00" w:hRule="atLeast"/>
          <w:jc w:val="center"/>
        </w:trPr>
        <w:tc>
          <w:tcPr>
            <w:tcW w:w="71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95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11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rPr>
            </w:pPr>
            <w:r>
              <w:rPr>
                <w:rFonts w:hint="eastAsia" w:ascii="Times New Roman" w:hAnsi="Times New Roman" w:cs="Times New Roman"/>
                <w:sz w:val="21"/>
                <w:szCs w:val="21"/>
                <w:u w:val="none"/>
                <w:lang w:eastAsia="zh-CN"/>
              </w:rPr>
              <w:t>锌</w:t>
            </w:r>
          </w:p>
        </w:tc>
        <w:tc>
          <w:tcPr>
            <w:tcW w:w="403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22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140" w:hRule="atLeast"/>
          <w:jc w:val="center"/>
        </w:trPr>
        <w:tc>
          <w:tcPr>
            <w:tcW w:w="71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95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117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Times New Roman" w:hAnsi="Times New Roman" w:cs="Times New Roman"/>
                <w:sz w:val="21"/>
                <w:szCs w:val="21"/>
                <w:u w:val="none"/>
                <w:lang w:eastAsia="zh-CN"/>
              </w:rPr>
            </w:pPr>
            <w:r>
              <w:rPr>
                <w:rFonts w:hint="eastAsia" w:ascii="Times New Roman" w:hAnsi="Times New Roman" w:cs="Times New Roman"/>
                <w:sz w:val="21"/>
                <w:szCs w:val="21"/>
                <w:u w:val="none"/>
                <w:lang w:val="en-US" w:eastAsia="zh-CN"/>
              </w:rPr>
              <w:t>铅</w:t>
            </w:r>
          </w:p>
        </w:tc>
        <w:tc>
          <w:tcPr>
            <w:tcW w:w="4036"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p>
        </w:tc>
        <w:tc>
          <w:tcPr>
            <w:tcW w:w="225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9" w:hRule="atLeast"/>
          <w:jc w:val="center"/>
        </w:trPr>
        <w:tc>
          <w:tcPr>
            <w:tcW w:w="9140" w:type="dxa"/>
            <w:gridSpan w:val="5"/>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a</w:t>
            </w:r>
            <w:r>
              <w:rPr>
                <w:rFonts w:hint="default" w:ascii="Times New Roman" w:hAnsi="Times New Roman" w:cs="Times New Roman"/>
                <w:sz w:val="21"/>
                <w:szCs w:val="21"/>
                <w:u w:val="none"/>
                <w:lang w:val="en-US" w:eastAsia="zh-CN"/>
              </w:rPr>
              <w:t>指对应排放口须执行的国家或地方污染物排放标准以及其他按规定商定建设项目水污染物排放控制要求的协议，据此确定的排放浓度限值。</w:t>
            </w:r>
          </w:p>
        </w:tc>
      </w:tr>
    </w:tbl>
    <w:p>
      <w:pPr>
        <w:pStyle w:val="120"/>
        <w:ind w:firstLine="0" w:firstLineChars="0"/>
        <w:jc w:val="center"/>
        <w:rPr>
          <w:rFonts w:hint="default" w:ascii="Times New Roman" w:hAnsi="Times New Roman" w:cs="Times New Roman"/>
          <w:szCs w:val="24"/>
          <w:u w:val="single"/>
          <w:lang w:val="en-US" w:eastAsia="zh-CN"/>
        </w:rPr>
      </w:pPr>
      <w:r>
        <w:rPr>
          <w:rFonts w:hint="default" w:ascii="Times New Roman" w:hAnsi="Times New Roman" w:cs="Times New Roman"/>
          <w:b/>
          <w:sz w:val="21"/>
          <w:szCs w:val="21"/>
          <w:u w:val="single"/>
          <w:lang w:val="en-US" w:eastAsia="zh-CN"/>
        </w:rPr>
        <w:t>表</w:t>
      </w:r>
      <w:r>
        <w:rPr>
          <w:rFonts w:hint="eastAsia" w:ascii="Times New Roman" w:hAnsi="Times New Roman" w:cs="Times New Roman"/>
          <w:b/>
          <w:sz w:val="21"/>
          <w:szCs w:val="21"/>
          <w:u w:val="single"/>
          <w:lang w:val="en-US" w:eastAsia="zh-CN"/>
        </w:rPr>
        <w:t>4.2-8</w:t>
      </w:r>
      <w:r>
        <w:rPr>
          <w:rFonts w:hint="default" w:ascii="Times New Roman" w:hAnsi="Times New Roman" w:cs="Times New Roman"/>
          <w:b/>
          <w:sz w:val="21"/>
          <w:szCs w:val="21"/>
          <w:u w:val="single"/>
          <w:lang w:val="en-US" w:eastAsia="zh-CN"/>
        </w:rPr>
        <w:t xml:space="preserve"> 废水污染物排放信息表</w:t>
      </w:r>
    </w:p>
    <w:tbl>
      <w:tblPr>
        <w:tblStyle w:val="37"/>
        <w:tblW w:w="918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61"/>
        <w:gridCol w:w="1378"/>
        <w:gridCol w:w="1378"/>
        <w:gridCol w:w="1989"/>
        <w:gridCol w:w="1837"/>
        <w:gridCol w:w="183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74" w:hRule="atLeast"/>
          <w:jc w:val="center"/>
        </w:trPr>
        <w:tc>
          <w:tcPr>
            <w:tcW w:w="7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序号</w:t>
            </w:r>
          </w:p>
        </w:tc>
        <w:tc>
          <w:tcPr>
            <w:tcW w:w="13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排放口编号</w:t>
            </w:r>
          </w:p>
        </w:tc>
        <w:tc>
          <w:tcPr>
            <w:tcW w:w="13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污染物种类</w:t>
            </w:r>
          </w:p>
        </w:tc>
        <w:tc>
          <w:tcPr>
            <w:tcW w:w="19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排放浓度/（mg/L）</w:t>
            </w:r>
          </w:p>
        </w:tc>
        <w:tc>
          <w:tcPr>
            <w:tcW w:w="18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日排放量/（t/d）</w:t>
            </w:r>
          </w:p>
        </w:tc>
        <w:tc>
          <w:tcPr>
            <w:tcW w:w="1837"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18" w:hRule="atLeast"/>
          <w:jc w:val="center"/>
        </w:trPr>
        <w:tc>
          <w:tcPr>
            <w:tcW w:w="76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1</w:t>
            </w:r>
          </w:p>
        </w:tc>
        <w:tc>
          <w:tcPr>
            <w:tcW w:w="1378"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ZJS01</w:t>
            </w:r>
          </w:p>
        </w:tc>
        <w:tc>
          <w:tcPr>
            <w:tcW w:w="13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rPr>
              <w:t>总锰</w:t>
            </w:r>
          </w:p>
        </w:tc>
        <w:tc>
          <w:tcPr>
            <w:tcW w:w="19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1.0</w:t>
            </w:r>
          </w:p>
        </w:tc>
        <w:tc>
          <w:tcPr>
            <w:tcW w:w="1837"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cs="Times New Roman"/>
                <w:sz w:val="21"/>
                <w:szCs w:val="21"/>
                <w:u w:val="single"/>
                <w:lang w:val="en-US" w:eastAsia="zh-CN"/>
              </w:rPr>
            </w:pPr>
            <w:r>
              <w:rPr>
                <w:rFonts w:hint="eastAsia"/>
                <w:u w:val="single"/>
                <w:lang w:val="en-US" w:eastAsia="zh-CN"/>
              </w:rPr>
              <w:t>0.003</w:t>
            </w:r>
          </w:p>
        </w:tc>
        <w:tc>
          <w:tcPr>
            <w:tcW w:w="1837"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1.095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43" w:hRule="atLeast"/>
          <w:jc w:val="center"/>
        </w:trPr>
        <w:tc>
          <w:tcPr>
            <w:tcW w:w="7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p>
        </w:tc>
        <w:tc>
          <w:tcPr>
            <w:tcW w:w="13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p>
        </w:tc>
        <w:tc>
          <w:tcPr>
            <w:tcW w:w="13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rPr>
              <w:t>总</w:t>
            </w:r>
            <w:r>
              <w:rPr>
                <w:rFonts w:hint="eastAsia" w:ascii="Times New Roman" w:hAnsi="Times New Roman" w:cs="Times New Roman"/>
                <w:sz w:val="21"/>
                <w:szCs w:val="21"/>
                <w:u w:val="single"/>
                <w:lang w:val="en-US" w:eastAsia="zh-CN"/>
              </w:rPr>
              <w:t>铬</w:t>
            </w:r>
          </w:p>
        </w:tc>
        <w:tc>
          <w:tcPr>
            <w:tcW w:w="19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0.1</w:t>
            </w:r>
          </w:p>
        </w:tc>
        <w:tc>
          <w:tcPr>
            <w:tcW w:w="1837"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cs="Times New Roman"/>
                <w:sz w:val="21"/>
                <w:szCs w:val="21"/>
                <w:u w:val="single"/>
                <w:lang w:val="en-US" w:eastAsia="zh-CN"/>
              </w:rPr>
            </w:pPr>
            <w:r>
              <w:rPr>
                <w:rFonts w:hint="eastAsia" w:ascii="Times New Roman" w:hAnsi="Times New Roman" w:eastAsia="宋体" w:cs="Times New Roman"/>
                <w:u w:val="single"/>
                <w:lang w:val="en-US" w:eastAsia="zh-CN"/>
              </w:rPr>
              <w:t>0.0003</w:t>
            </w:r>
          </w:p>
        </w:tc>
        <w:tc>
          <w:tcPr>
            <w:tcW w:w="1837"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0.1095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43" w:hRule="atLeast"/>
          <w:jc w:val="center"/>
        </w:trPr>
        <w:tc>
          <w:tcPr>
            <w:tcW w:w="7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p>
        </w:tc>
        <w:tc>
          <w:tcPr>
            <w:tcW w:w="13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p>
        </w:tc>
        <w:tc>
          <w:tcPr>
            <w:tcW w:w="13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rPr>
              <w:t>六价铬</w:t>
            </w:r>
          </w:p>
        </w:tc>
        <w:tc>
          <w:tcPr>
            <w:tcW w:w="19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0.05</w:t>
            </w:r>
          </w:p>
        </w:tc>
        <w:tc>
          <w:tcPr>
            <w:tcW w:w="1837"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cs="Times New Roman"/>
                <w:sz w:val="21"/>
                <w:szCs w:val="21"/>
                <w:u w:val="single"/>
                <w:lang w:val="en-US" w:eastAsia="zh-CN"/>
              </w:rPr>
            </w:pPr>
            <w:r>
              <w:rPr>
                <w:rFonts w:hint="eastAsia" w:ascii="Times New Roman" w:hAnsi="Times New Roman" w:eastAsia="宋体" w:cs="Times New Roman"/>
                <w:u w:val="single"/>
                <w:lang w:val="en-US" w:eastAsia="zh-CN"/>
              </w:rPr>
              <w:t>0.00015</w:t>
            </w:r>
          </w:p>
        </w:tc>
        <w:tc>
          <w:tcPr>
            <w:tcW w:w="1837"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0.05475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43" w:hRule="atLeast"/>
          <w:jc w:val="center"/>
        </w:trPr>
        <w:tc>
          <w:tcPr>
            <w:tcW w:w="7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p>
        </w:tc>
        <w:tc>
          <w:tcPr>
            <w:tcW w:w="13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p>
        </w:tc>
        <w:tc>
          <w:tcPr>
            <w:tcW w:w="13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rPr>
              <w:t>总钒</w:t>
            </w:r>
          </w:p>
        </w:tc>
        <w:tc>
          <w:tcPr>
            <w:tcW w:w="19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eastAsia" w:cs="Times New Roman"/>
                <w:sz w:val="21"/>
                <w:szCs w:val="21"/>
                <w:u w:val="single"/>
                <w:lang w:val="en-US" w:eastAsia="zh-CN"/>
              </w:rPr>
              <w:t>1</w:t>
            </w:r>
            <w:r>
              <w:rPr>
                <w:rFonts w:hint="eastAsia" w:ascii="Times New Roman" w:hAnsi="Times New Roman" w:cs="Times New Roman"/>
                <w:sz w:val="21"/>
                <w:szCs w:val="21"/>
                <w:u w:val="single"/>
                <w:lang w:val="en-US" w:eastAsia="zh-CN"/>
              </w:rPr>
              <w:t>.0</w:t>
            </w:r>
          </w:p>
        </w:tc>
        <w:tc>
          <w:tcPr>
            <w:tcW w:w="1837"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cs="Times New Roman"/>
                <w:sz w:val="21"/>
                <w:szCs w:val="21"/>
                <w:u w:val="single"/>
                <w:lang w:val="en-US" w:eastAsia="zh-CN"/>
              </w:rPr>
            </w:pPr>
            <w:r>
              <w:rPr>
                <w:rFonts w:hint="eastAsia" w:ascii="Times New Roman" w:hAnsi="Times New Roman" w:eastAsia="宋体" w:cs="Times New Roman"/>
                <w:u w:val="single"/>
                <w:lang w:val="en-US" w:eastAsia="zh-CN"/>
              </w:rPr>
              <w:t>0.00</w:t>
            </w:r>
            <w:r>
              <w:rPr>
                <w:rFonts w:hint="eastAsia" w:eastAsia="宋体" w:cs="Times New Roman"/>
                <w:u w:val="single"/>
                <w:lang w:val="en-US" w:eastAsia="zh-CN"/>
              </w:rPr>
              <w:t>3</w:t>
            </w:r>
          </w:p>
        </w:tc>
        <w:tc>
          <w:tcPr>
            <w:tcW w:w="1837"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eastAsia="宋体" w:cs="Times New Roman"/>
                <w:u w:val="single"/>
                <w:lang w:val="en-US" w:eastAsia="zh-CN"/>
              </w:rPr>
            </w:pPr>
            <w:r>
              <w:rPr>
                <w:rFonts w:hint="eastAsia" w:eastAsia="宋体" w:cs="Times New Roman"/>
                <w:u w:val="single"/>
                <w:lang w:val="en-US" w:eastAsia="zh-CN"/>
              </w:rPr>
              <w:t>1.095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43" w:hRule="atLeast"/>
          <w:jc w:val="center"/>
        </w:trPr>
        <w:tc>
          <w:tcPr>
            <w:tcW w:w="7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p>
        </w:tc>
        <w:tc>
          <w:tcPr>
            <w:tcW w:w="13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p>
        </w:tc>
        <w:tc>
          <w:tcPr>
            <w:tcW w:w="13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eastAsia="zh-CN"/>
              </w:rPr>
              <w:t>锌</w:t>
            </w:r>
          </w:p>
        </w:tc>
        <w:tc>
          <w:tcPr>
            <w:tcW w:w="19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1.0</w:t>
            </w:r>
          </w:p>
        </w:tc>
        <w:tc>
          <w:tcPr>
            <w:tcW w:w="1837" w:type="dxa"/>
            <w:tcBorders>
              <w:tl2br w:val="nil"/>
              <w:tr2bl w:val="nil"/>
            </w:tcBorders>
            <w:noWrap w:val="0"/>
            <w:vAlign w:val="center"/>
          </w:tcPr>
          <w:p>
            <w:pPr>
              <w:pStyle w:val="132"/>
              <w:keepNext w:val="0"/>
              <w:keepLines w:val="0"/>
              <w:widowControl w:val="0"/>
              <w:ind w:firstLine="0" w:firstLineChars="0"/>
              <w:rPr>
                <w:rFonts w:hint="eastAsia" w:ascii="Times New Roman" w:hAnsi="Times New Roman" w:cs="Times New Roman"/>
                <w:sz w:val="21"/>
                <w:szCs w:val="21"/>
                <w:u w:val="single"/>
                <w:lang w:val="en-US" w:eastAsia="zh-CN"/>
              </w:rPr>
            </w:pPr>
            <w:r>
              <w:rPr>
                <w:rFonts w:hint="eastAsia" w:ascii="Times New Roman" w:hAnsi="Times New Roman" w:eastAsia="宋体" w:cs="Times New Roman"/>
                <w:u w:val="single"/>
                <w:lang w:val="en-US" w:eastAsia="zh-CN"/>
              </w:rPr>
              <w:t>0.003</w:t>
            </w:r>
          </w:p>
        </w:tc>
        <w:tc>
          <w:tcPr>
            <w:tcW w:w="1837" w:type="dxa"/>
            <w:tcBorders>
              <w:tl2br w:val="nil"/>
              <w:tr2bl w:val="nil"/>
            </w:tcBorders>
            <w:noWrap w:val="0"/>
            <w:vAlign w:val="center"/>
          </w:tcPr>
          <w:p>
            <w:pPr>
              <w:pStyle w:val="132"/>
              <w:keepNext w:val="0"/>
              <w:keepLines w:val="0"/>
              <w:widowControl w:val="0"/>
              <w:ind w:firstLine="0" w:firstLineChars="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1.095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43" w:hRule="atLeast"/>
          <w:jc w:val="center"/>
        </w:trPr>
        <w:tc>
          <w:tcPr>
            <w:tcW w:w="76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p>
        </w:tc>
        <w:tc>
          <w:tcPr>
            <w:tcW w:w="1378"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p>
        </w:tc>
        <w:tc>
          <w:tcPr>
            <w:tcW w:w="1378"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铅</w:t>
            </w:r>
          </w:p>
        </w:tc>
        <w:tc>
          <w:tcPr>
            <w:tcW w:w="19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0.1</w:t>
            </w:r>
          </w:p>
        </w:tc>
        <w:tc>
          <w:tcPr>
            <w:tcW w:w="1837" w:type="dxa"/>
            <w:tcBorders>
              <w:tl2br w:val="nil"/>
              <w:tr2bl w:val="nil"/>
            </w:tcBorders>
            <w:noWrap w:val="0"/>
            <w:vAlign w:val="center"/>
          </w:tcPr>
          <w:p>
            <w:pPr>
              <w:pStyle w:val="132"/>
              <w:keepNext w:val="0"/>
              <w:keepLines w:val="0"/>
              <w:widowControl w:val="0"/>
              <w:ind w:firstLine="0" w:firstLineChars="0"/>
              <w:rPr>
                <w:rFonts w:hint="eastAsia" w:ascii="Times New Roman" w:hAnsi="Times New Roman" w:cs="Times New Roman"/>
                <w:sz w:val="21"/>
                <w:szCs w:val="21"/>
                <w:u w:val="single"/>
                <w:lang w:val="en-US" w:eastAsia="zh-CN"/>
              </w:rPr>
            </w:pPr>
            <w:r>
              <w:rPr>
                <w:rFonts w:hint="eastAsia" w:ascii="Times New Roman" w:hAnsi="Times New Roman" w:eastAsia="宋体" w:cs="Times New Roman"/>
                <w:u w:val="single"/>
                <w:lang w:val="en-US" w:eastAsia="zh-CN"/>
              </w:rPr>
              <w:t>0.0003</w:t>
            </w:r>
          </w:p>
        </w:tc>
        <w:tc>
          <w:tcPr>
            <w:tcW w:w="1837" w:type="dxa"/>
            <w:tcBorders>
              <w:tl2br w:val="nil"/>
              <w:tr2bl w:val="nil"/>
            </w:tcBorders>
            <w:noWrap w:val="0"/>
            <w:vAlign w:val="center"/>
          </w:tcPr>
          <w:p>
            <w:pPr>
              <w:pStyle w:val="132"/>
              <w:keepNext w:val="0"/>
              <w:keepLines w:val="0"/>
              <w:widowControl w:val="0"/>
              <w:ind w:firstLine="0" w:firstLineChars="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0.1095</w:t>
            </w:r>
          </w:p>
        </w:tc>
      </w:tr>
    </w:tbl>
    <w:p>
      <w:pPr>
        <w:pStyle w:val="120"/>
        <w:ind w:firstLine="0" w:firstLineChars="0"/>
        <w:jc w:val="center"/>
        <w:rPr>
          <w:rFonts w:hint="default" w:ascii="Times New Roman" w:hAnsi="Times New Roman" w:cs="Times New Roman"/>
          <w:szCs w:val="24"/>
          <w:u w:val="none"/>
          <w:lang w:val="en-US" w:eastAsia="zh-CN"/>
        </w:rPr>
      </w:pPr>
      <w:r>
        <w:rPr>
          <w:rFonts w:hint="default" w:ascii="Times New Roman" w:hAnsi="Times New Roman" w:cs="Times New Roman"/>
          <w:b/>
          <w:sz w:val="21"/>
          <w:szCs w:val="21"/>
          <w:u w:val="none"/>
          <w:lang w:val="en-US" w:eastAsia="zh-CN"/>
        </w:rPr>
        <w:t>表</w:t>
      </w:r>
      <w:r>
        <w:rPr>
          <w:rFonts w:hint="eastAsia" w:ascii="Times New Roman" w:hAnsi="Times New Roman" w:cs="Times New Roman"/>
          <w:b/>
          <w:sz w:val="21"/>
          <w:szCs w:val="21"/>
          <w:u w:val="none"/>
          <w:lang w:val="en-US" w:eastAsia="zh-CN"/>
        </w:rPr>
        <w:t>4.2-9</w:t>
      </w:r>
      <w:r>
        <w:rPr>
          <w:rFonts w:hint="default" w:ascii="Times New Roman" w:hAnsi="Times New Roman" w:cs="Times New Roman"/>
          <w:b/>
          <w:sz w:val="21"/>
          <w:szCs w:val="21"/>
          <w:u w:val="none"/>
          <w:lang w:val="en-US" w:eastAsia="zh-CN"/>
        </w:rPr>
        <w:t>环境监测计划及记录信息表</w:t>
      </w:r>
    </w:p>
    <w:tbl>
      <w:tblPr>
        <w:tblStyle w:val="37"/>
        <w:tblW w:w="930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43"/>
        <w:gridCol w:w="743"/>
        <w:gridCol w:w="893"/>
        <w:gridCol w:w="746"/>
        <w:gridCol w:w="892"/>
        <w:gridCol w:w="1489"/>
        <w:gridCol w:w="744"/>
        <w:gridCol w:w="893"/>
        <w:gridCol w:w="893"/>
        <w:gridCol w:w="745"/>
        <w:gridCol w:w="81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976" w:hRule="atLeast"/>
          <w:jc w:val="center"/>
        </w:trPr>
        <w:tc>
          <w:tcPr>
            <w:tcW w:w="4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序号</w:t>
            </w:r>
          </w:p>
        </w:tc>
        <w:tc>
          <w:tcPr>
            <w:tcW w:w="7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排放口编号</w:t>
            </w:r>
          </w:p>
        </w:tc>
        <w:tc>
          <w:tcPr>
            <w:tcW w:w="8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污染物名称</w:t>
            </w:r>
          </w:p>
        </w:tc>
        <w:tc>
          <w:tcPr>
            <w:tcW w:w="7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监测设施</w:t>
            </w:r>
          </w:p>
        </w:tc>
        <w:tc>
          <w:tcPr>
            <w:tcW w:w="89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自动监测设施安装位置</w:t>
            </w:r>
          </w:p>
        </w:tc>
        <w:tc>
          <w:tcPr>
            <w:tcW w:w="14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自动监测设施的安装、运行、维护等相关管理要求</w:t>
            </w:r>
          </w:p>
        </w:tc>
        <w:tc>
          <w:tcPr>
            <w:tcW w:w="7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自动监测是否联网</w:t>
            </w:r>
          </w:p>
        </w:tc>
        <w:tc>
          <w:tcPr>
            <w:tcW w:w="8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自动监测仪器名称</w:t>
            </w:r>
          </w:p>
        </w:tc>
        <w:tc>
          <w:tcPr>
            <w:tcW w:w="8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手工监测采样方法及个数a</w:t>
            </w:r>
          </w:p>
        </w:tc>
        <w:tc>
          <w:tcPr>
            <w:tcW w:w="7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手工监测频次b</w:t>
            </w:r>
          </w:p>
        </w:tc>
        <w:tc>
          <w:tcPr>
            <w:tcW w:w="8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手工监测方法c</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29" w:hRule="atLeast"/>
          <w:jc w:val="center"/>
        </w:trPr>
        <w:tc>
          <w:tcPr>
            <w:tcW w:w="4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1</w:t>
            </w:r>
          </w:p>
        </w:tc>
        <w:tc>
          <w:tcPr>
            <w:tcW w:w="74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ZJS01</w:t>
            </w:r>
          </w:p>
        </w:tc>
        <w:tc>
          <w:tcPr>
            <w:tcW w:w="8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总锰、总铬、六价铬、总钒、锌、铅</w:t>
            </w:r>
          </w:p>
        </w:tc>
        <w:tc>
          <w:tcPr>
            <w:tcW w:w="74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w:t>
            </w:r>
            <w:r>
              <w:rPr>
                <w:rFonts w:hint="default" w:ascii="Times New Roman" w:hAnsi="Times New Roman" w:cs="Times New Roman"/>
                <w:sz w:val="21"/>
                <w:szCs w:val="21"/>
                <w:u w:val="none"/>
                <w:lang w:val="en-US" w:eastAsia="zh-CN"/>
              </w:rPr>
              <w:t>自动</w:t>
            </w:r>
            <w:r>
              <w:rPr>
                <w:rFonts w:hint="eastAsia" w:ascii="Times New Roman" w:hAnsi="Times New Roman" w:cs="Times New Roman"/>
                <w:sz w:val="21"/>
                <w:szCs w:val="21"/>
                <w:u w:val="none"/>
                <w:lang w:val="en-US" w:eastAsia="zh-CN"/>
              </w:rPr>
              <w:t>□</w:t>
            </w:r>
            <w:r>
              <w:rPr>
                <w:rFonts w:hint="default" w:ascii="Times New Roman" w:hAnsi="Times New Roman" w:cs="Times New Roman"/>
                <w:sz w:val="21"/>
                <w:szCs w:val="21"/>
                <w:u w:val="none"/>
                <w:lang w:val="en-US" w:eastAsia="zh-CN"/>
              </w:rPr>
              <w:t>手工</w:t>
            </w:r>
          </w:p>
        </w:tc>
        <w:tc>
          <w:tcPr>
            <w:tcW w:w="89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计量渠</w:t>
            </w:r>
          </w:p>
        </w:tc>
        <w:tc>
          <w:tcPr>
            <w:tcW w:w="148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w:t>
            </w:r>
          </w:p>
        </w:tc>
        <w:tc>
          <w:tcPr>
            <w:tcW w:w="744"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是</w:t>
            </w:r>
          </w:p>
        </w:tc>
        <w:tc>
          <w:tcPr>
            <w:tcW w:w="8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w:t>
            </w:r>
          </w:p>
        </w:tc>
        <w:tc>
          <w:tcPr>
            <w:tcW w:w="8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w:t>
            </w:r>
          </w:p>
        </w:tc>
        <w:tc>
          <w:tcPr>
            <w:tcW w:w="74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default" w:ascii="Times New Roman" w:hAnsi="Times New Roman" w:cs="Times New Roman"/>
                <w:sz w:val="21"/>
                <w:szCs w:val="21"/>
                <w:u w:val="none"/>
                <w:lang w:val="en-US" w:eastAsia="zh-CN"/>
              </w:rPr>
              <w:t>/</w:t>
            </w:r>
          </w:p>
        </w:tc>
        <w:tc>
          <w:tcPr>
            <w:tcW w:w="81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none"/>
                <w:lang w:val="en-US" w:eastAsia="zh-CN"/>
              </w:rPr>
            </w:pPr>
            <w:r>
              <w:rPr>
                <w:rFonts w:hint="eastAsia" w:ascii="Times New Roman" w:hAnsi="Times New Roman" w:cs="Times New Roman"/>
                <w:sz w:val="21"/>
                <w:szCs w:val="21"/>
                <w:u w:val="none"/>
                <w:lang w:val="en-US" w:eastAsia="zh-CN"/>
              </w:rPr>
              <w:t>/</w:t>
            </w:r>
          </w:p>
        </w:tc>
      </w:tr>
    </w:tbl>
    <w:p>
      <w:pPr>
        <w:keepNext/>
        <w:keepLines/>
        <w:widowControl w:val="0"/>
        <w:adjustRightInd w:val="0"/>
        <w:snapToGrid w:val="0"/>
        <w:spacing w:before="163" w:beforeLines="50"/>
        <w:ind w:firstLine="0" w:firstLineChars="0"/>
        <w:outlineLvl w:val="1"/>
        <w:rPr>
          <w:rFonts w:hint="eastAsia" w:ascii="Times New Roman" w:hAnsi="Times New Roman" w:eastAsia="宋体" w:cs="Times New Roman"/>
          <w:b/>
          <w:color w:val="000000"/>
          <w:sz w:val="28"/>
          <w:szCs w:val="32"/>
          <w:lang w:val="en-US" w:eastAsia="zh-CN"/>
        </w:rPr>
      </w:pPr>
      <w:r>
        <w:rPr>
          <w:rFonts w:hint="eastAsia" w:ascii="Times New Roman" w:hAnsi="Times New Roman" w:eastAsia="宋体" w:cs="Times New Roman"/>
          <w:b/>
          <w:color w:val="000000"/>
          <w:sz w:val="28"/>
          <w:szCs w:val="32"/>
          <w:lang w:val="en-US" w:eastAsia="zh-CN"/>
        </w:rPr>
        <w:t>4</w:t>
      </w:r>
      <w:r>
        <w:rPr>
          <w:rFonts w:hint="eastAsia" w:eastAsia="宋体" w:cs="Times New Roman"/>
          <w:b/>
          <w:color w:val="000000"/>
          <w:sz w:val="28"/>
          <w:szCs w:val="32"/>
          <w:lang w:val="en-US" w:eastAsia="zh-CN"/>
        </w:rPr>
        <w:t>.2.2.5</w:t>
      </w:r>
      <w:r>
        <w:rPr>
          <w:rFonts w:hint="eastAsia" w:ascii="Times New Roman" w:hAnsi="Times New Roman" w:eastAsia="宋体" w:cs="Times New Roman"/>
          <w:b/>
          <w:color w:val="000000"/>
          <w:sz w:val="28"/>
          <w:szCs w:val="32"/>
          <w:lang w:val="en-US" w:eastAsia="zh-CN"/>
        </w:rPr>
        <w:t xml:space="preserve">  事故状态下地表水环境影响分析</w:t>
      </w:r>
    </w:p>
    <w:p>
      <w:pPr>
        <w:ind w:firstLine="480"/>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根据项目工程验收报告可知，由于项目场地有限，厂区未设置事故池，</w:t>
      </w:r>
      <w:r>
        <w:rPr>
          <w:rFonts w:hint="eastAsia" w:eastAsia="宋体" w:cs="Times New Roman"/>
          <w:color w:val="000000"/>
          <w:lang w:eastAsia="zh-CN"/>
        </w:rPr>
        <w:t>同时，根据花垣工业集中区重金属废水处理工程关于调节池及事故池设计优化的专题论证可知，本项目水泵、加药、加药泵等设备均采用一用一备，可以确保系统处理线不出现故障，项目处理线发生事故情况极低。</w:t>
      </w:r>
      <w:r>
        <w:rPr>
          <w:rFonts w:hint="eastAsia" w:ascii="Times New Roman" w:hAnsi="Times New Roman" w:eastAsia="宋体" w:cs="Times New Roman"/>
          <w:color w:val="000000"/>
          <w:lang w:val="en-US" w:eastAsia="zh-CN"/>
        </w:rPr>
        <w:t>根据项目构筑物建设规模，项目各构筑物总容积为3092.6m</w:t>
      </w:r>
      <w:r>
        <w:rPr>
          <w:rFonts w:hint="eastAsia" w:ascii="Times New Roman" w:hAnsi="Times New Roman" w:eastAsia="宋体" w:cs="Times New Roman"/>
          <w:color w:val="000000"/>
          <w:vertAlign w:val="superscript"/>
          <w:lang w:val="en-US" w:eastAsia="zh-CN"/>
        </w:rPr>
        <w:t>3</w:t>
      </w:r>
      <w:r>
        <w:rPr>
          <w:rFonts w:hint="eastAsia" w:ascii="Times New Roman" w:hAnsi="Times New Roman" w:eastAsia="宋体" w:cs="Times New Roman"/>
          <w:color w:val="000000"/>
          <w:lang w:val="en-US" w:eastAsia="zh-CN"/>
        </w:rPr>
        <w:t>，项目事故状态下，未处理的废水可暂存在调节池内，项目污水处理站调节池总容积为1000m</w:t>
      </w:r>
      <w:r>
        <w:rPr>
          <w:rFonts w:hint="eastAsia" w:ascii="Times New Roman" w:hAnsi="Times New Roman" w:eastAsia="宋体" w:cs="Times New Roman"/>
          <w:color w:val="000000"/>
          <w:vertAlign w:val="superscript"/>
          <w:lang w:val="en-US" w:eastAsia="zh-CN"/>
        </w:rPr>
        <w:t>3</w:t>
      </w:r>
      <w:r>
        <w:rPr>
          <w:rFonts w:hint="eastAsia" w:ascii="Times New Roman" w:hAnsi="Times New Roman" w:eastAsia="宋体" w:cs="Times New Roman"/>
          <w:color w:val="000000"/>
        </w:rPr>
        <w:t>。</w:t>
      </w:r>
      <w:r>
        <w:rPr>
          <w:rFonts w:hint="eastAsia" w:ascii="Times New Roman" w:hAnsi="Times New Roman" w:eastAsia="宋体" w:cs="Times New Roman"/>
          <w:color w:val="000000"/>
          <w:lang w:val="en-US" w:eastAsia="zh-CN"/>
        </w:rPr>
        <w:t>污水处理站处理设备故障无法有效对重金属废水进行处理的情况下应先于上游企业进行沟通，暂停向本项目进行排水，同时关闭项目尾水排放口，将还未处理的废水暂存调节池内，待设施维修好再进行处理。</w:t>
      </w:r>
    </w:p>
    <w:p>
      <w:pPr>
        <w:ind w:firstLine="480"/>
        <w:rPr>
          <w:rFonts w:hint="eastAsia" w:ascii="Times New Roman" w:hAnsi="Times New Roman" w:eastAsia="宋体" w:cs="Times New Roman"/>
          <w:color w:val="000000"/>
        </w:rPr>
        <w:sectPr>
          <w:pgSz w:w="11907" w:h="16840"/>
          <w:pgMar w:top="1440" w:right="1797" w:bottom="1440" w:left="1803"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Times New Roman" w:hAnsi="Times New Roman" w:eastAsia="宋体" w:cs="Times New Roman"/>
          <w:color w:val="000000"/>
        </w:rPr>
        <w:t>综上所述，建设单位在实施环评提出的意见，项目建设对地表水影响较小。</w:t>
      </w:r>
    </w:p>
    <w:p>
      <w:pPr>
        <w:bidi w:val="0"/>
        <w:jc w:val="center"/>
        <w:rPr>
          <w:b/>
          <w:bCs/>
          <w:sz w:val="21"/>
          <w:szCs w:val="21"/>
        </w:rPr>
      </w:pPr>
      <w:r>
        <w:rPr>
          <w:rFonts w:hint="eastAsia"/>
          <w:b/>
          <w:bCs/>
          <w:sz w:val="21"/>
          <w:szCs w:val="21"/>
        </w:rPr>
        <w:t>附表</w:t>
      </w:r>
      <w:r>
        <w:rPr>
          <w:b/>
          <w:bCs/>
          <w:sz w:val="21"/>
          <w:szCs w:val="21"/>
        </w:rPr>
        <w:t>1</w:t>
      </w:r>
      <w:r>
        <w:rPr>
          <w:rFonts w:hint="eastAsia"/>
          <w:b/>
          <w:bCs/>
          <w:sz w:val="21"/>
          <w:szCs w:val="21"/>
        </w:rPr>
        <w:t>：地表水环境影响评价自查表</w:t>
      </w:r>
    </w:p>
    <w:tbl>
      <w:tblPr>
        <w:tblStyle w:val="37"/>
        <w:tblW w:w="1391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33"/>
        <w:gridCol w:w="2843"/>
        <w:gridCol w:w="2048"/>
        <w:gridCol w:w="512"/>
        <w:gridCol w:w="854"/>
        <w:gridCol w:w="682"/>
        <w:gridCol w:w="1025"/>
        <w:gridCol w:w="1024"/>
        <w:gridCol w:w="256"/>
        <w:gridCol w:w="427"/>
        <w:gridCol w:w="1365"/>
        <w:gridCol w:w="51"/>
        <w:gridCol w:w="565"/>
        <w:gridCol w:w="14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6" w:hRule="atLeast"/>
          <w:tblHeader/>
          <w:jc w:val="center"/>
        </w:trPr>
        <w:tc>
          <w:tcPr>
            <w:tcW w:w="3676" w:type="dxa"/>
            <w:gridSpan w:val="2"/>
            <w:noWrap/>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工作内容</w:t>
            </w:r>
          </w:p>
        </w:tc>
        <w:tc>
          <w:tcPr>
            <w:tcW w:w="10242" w:type="dxa"/>
            <w:gridSpan w:val="12"/>
            <w:noWrap/>
            <w:vAlign w:val="center"/>
          </w:tcPr>
          <w:p>
            <w:pPr>
              <w:jc w:val="center"/>
              <w:rPr>
                <w:rFonts w:ascii="Times New Roman" w:hAnsi="Times New Roman" w:eastAsia="宋体"/>
                <w:color w:val="000000"/>
                <w:kern w:val="0"/>
                <w:sz w:val="18"/>
                <w:szCs w:val="18"/>
              </w:rPr>
            </w:pPr>
            <w:r>
              <w:rPr>
                <w:rFonts w:hint="eastAsia" w:ascii="Times New Roman" w:hAnsi="Times New Roman" w:eastAsia="宋体"/>
                <w:color w:val="000000"/>
                <w:kern w:val="0"/>
                <w:sz w:val="18"/>
                <w:szCs w:val="18"/>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7" w:hRule="atLeast"/>
          <w:jc w:val="center"/>
        </w:trPr>
        <w:tc>
          <w:tcPr>
            <w:tcW w:w="833" w:type="dxa"/>
            <w:vMerge w:val="restart"/>
            <w:noWrap/>
            <w:textDirection w:val="tbRlV"/>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影响识别</w:t>
            </w: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影响类型</w:t>
            </w:r>
          </w:p>
        </w:tc>
        <w:tc>
          <w:tcPr>
            <w:tcW w:w="10242" w:type="dxa"/>
            <w:gridSpan w:val="12"/>
            <w:noWrap/>
            <w:vAlign w:val="center"/>
          </w:tcPr>
          <w:p>
            <w:pPr>
              <w:jc w:val="left"/>
              <w:rPr>
                <w:rFonts w:ascii="Times New Roman" w:hAnsi="Times New Roman" w:eastAsia="宋体"/>
                <w:color w:val="000000"/>
                <w:kern w:val="0"/>
                <w:sz w:val="18"/>
                <w:szCs w:val="18"/>
              </w:rPr>
            </w:pPr>
            <w:r>
              <w:rPr>
                <w:rFonts w:hint="eastAsia" w:ascii="Times New Roman" w:hAnsi="Times New Roman" w:eastAsia="宋体"/>
                <w:color w:val="000000"/>
                <w:kern w:val="0"/>
                <w:sz w:val="18"/>
                <w:szCs w:val="18"/>
              </w:rPr>
              <w:t>水</w:t>
            </w:r>
            <w:r>
              <w:rPr>
                <w:rFonts w:ascii="Times New Roman" w:hAnsi="Times New Roman" w:eastAsia="宋体"/>
                <w:color w:val="000000"/>
                <w:kern w:val="0"/>
                <w:sz w:val="18"/>
                <w:szCs w:val="18"/>
              </w:rPr>
              <w:t>污染影响型</w:t>
            </w:r>
            <w:r>
              <w:rPr>
                <w:rFonts w:ascii="Wingdings 2" w:hAnsi="Wingdings 2" w:eastAsia="Wingdings 2" w:cs="Wingdings 2"/>
                <w:color w:val="000000"/>
                <w:sz w:val="24"/>
                <w:szCs w:val="21"/>
                <w:lang w:bidi="ar"/>
              </w:rPr>
              <w:t></w:t>
            </w:r>
            <w:r>
              <w:rPr>
                <w:rFonts w:ascii="Times New Roman" w:hAnsi="Times New Roman" w:eastAsia="宋体"/>
                <w:color w:val="000000"/>
                <w:kern w:val="0"/>
                <w:sz w:val="18"/>
                <w:szCs w:val="18"/>
              </w:rPr>
              <w:t xml:space="preserve">；水文要素影响型 </w:t>
            </w:r>
            <w:r>
              <w:rPr>
                <w:rFonts w:ascii="宋体" w:hAnsi="宋体"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水环境保护目标</w:t>
            </w:r>
          </w:p>
        </w:tc>
        <w:tc>
          <w:tcPr>
            <w:tcW w:w="10242" w:type="dxa"/>
            <w:gridSpan w:val="12"/>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xml:space="preserve">饮用水水源保护区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饮用水取水口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涉水的自然保护区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涉水的风景名胜区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重要湿地 </w:t>
            </w:r>
            <w:r>
              <w:rPr>
                <w:rFonts w:ascii="宋体" w:hAnsi="宋体" w:eastAsia="宋体"/>
                <w:color w:val="000000"/>
                <w:kern w:val="0"/>
                <w:sz w:val="18"/>
                <w:szCs w:val="18"/>
              </w:rPr>
              <w:t>□；</w:t>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 xml:space="preserve">重点保护与珍稀水生生物的栖息地 </w:t>
            </w:r>
            <w:r>
              <w:rPr>
                <w:rFonts w:ascii="宋体" w:hAnsi="宋体" w:eastAsia="宋体"/>
                <w:color w:val="000000"/>
                <w:kern w:val="0"/>
                <w:sz w:val="18"/>
                <w:szCs w:val="18"/>
              </w:rPr>
              <w:t>□；</w:t>
            </w:r>
            <w:r>
              <w:rPr>
                <w:rFonts w:ascii="Times New Roman" w:hAnsi="Times New Roman" w:eastAsia="宋体"/>
                <w:color w:val="000000"/>
                <w:kern w:val="0"/>
                <w:sz w:val="18"/>
                <w:szCs w:val="18"/>
              </w:rPr>
              <w:t>重要水生生物的自然产卵场及索饵场、越冬场和洄游通道</w:t>
            </w:r>
            <w:r>
              <w:rPr>
                <w:rFonts w:ascii="宋体" w:hAnsi="宋体" w:eastAsia="宋体"/>
                <w:color w:val="000000"/>
                <w:kern w:val="0"/>
                <w:sz w:val="18"/>
                <w:szCs w:val="18"/>
              </w:rPr>
              <w:t>□；天然渔场等渔业水体</w:t>
            </w:r>
            <w:r>
              <w:rPr>
                <w:rFonts w:ascii="Times New Roman" w:hAnsi="Times New Roman" w:eastAsia="宋体"/>
                <w:color w:val="000000"/>
                <w:kern w:val="0"/>
                <w:sz w:val="18"/>
                <w:szCs w:val="18"/>
              </w:rPr>
              <w:t xml:space="preserve"> </w:t>
            </w:r>
            <w:r>
              <w:rPr>
                <w:rFonts w:ascii="宋体" w:hAnsi="宋体" w:eastAsia="宋体"/>
                <w:color w:val="000000"/>
                <w:kern w:val="0"/>
                <w:sz w:val="18"/>
                <w:szCs w:val="18"/>
              </w:rPr>
              <w:t>□；水产种质资源保护区□；</w:t>
            </w:r>
            <w:r>
              <w:rPr>
                <w:rFonts w:ascii="Times New Roman" w:hAnsi="Times New Roman" w:eastAsia="宋体"/>
                <w:color w:val="000000"/>
                <w:kern w:val="0"/>
                <w:sz w:val="18"/>
                <w:szCs w:val="18"/>
              </w:rPr>
              <w:t>其他</w:t>
            </w:r>
            <w:r>
              <w:rPr>
                <w:rFonts w:ascii="Wingdings 2" w:hAnsi="Wingdings 2" w:eastAsia="Wingdings 2" w:cs="Wingdings 2"/>
                <w:color w:val="000000"/>
                <w:sz w:val="24"/>
                <w:szCs w:val="21"/>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vMerge w:val="restart"/>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影响途径</w:t>
            </w:r>
          </w:p>
        </w:tc>
        <w:tc>
          <w:tcPr>
            <w:tcW w:w="5121" w:type="dxa"/>
            <w:gridSpan w:val="5"/>
            <w:noWrap w:val="0"/>
            <w:vAlign w:val="center"/>
          </w:tcPr>
          <w:p>
            <w:pPr>
              <w:jc w:val="center"/>
              <w:rPr>
                <w:rFonts w:ascii="Times New Roman" w:hAnsi="Times New Roman" w:eastAsia="宋体"/>
                <w:color w:val="000000"/>
                <w:kern w:val="0"/>
                <w:sz w:val="18"/>
                <w:szCs w:val="18"/>
              </w:rPr>
            </w:pPr>
            <w:r>
              <w:rPr>
                <w:rFonts w:hint="eastAsia" w:ascii="Times New Roman" w:hAnsi="Times New Roman" w:eastAsia="宋体"/>
                <w:color w:val="000000"/>
                <w:kern w:val="0"/>
                <w:sz w:val="18"/>
                <w:szCs w:val="18"/>
              </w:rPr>
              <w:t>水</w:t>
            </w:r>
            <w:r>
              <w:rPr>
                <w:rFonts w:ascii="Times New Roman" w:hAnsi="Times New Roman" w:eastAsia="宋体"/>
                <w:color w:val="000000"/>
                <w:kern w:val="0"/>
                <w:sz w:val="18"/>
                <w:szCs w:val="18"/>
              </w:rPr>
              <w:t>污染影响型</w:t>
            </w:r>
          </w:p>
        </w:tc>
        <w:tc>
          <w:tcPr>
            <w:tcW w:w="5121" w:type="dxa"/>
            <w:gridSpan w:val="7"/>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vMerge w:val="continue"/>
            <w:noWrap w:val="0"/>
            <w:vAlign w:val="center"/>
          </w:tcPr>
          <w:p>
            <w:pPr>
              <w:jc w:val="center"/>
              <w:rPr>
                <w:rFonts w:ascii="Times New Roman" w:hAnsi="Times New Roman" w:eastAsia="宋体"/>
                <w:color w:val="000000"/>
                <w:kern w:val="0"/>
                <w:sz w:val="18"/>
                <w:szCs w:val="18"/>
              </w:rPr>
            </w:pPr>
          </w:p>
        </w:tc>
        <w:tc>
          <w:tcPr>
            <w:tcW w:w="5121" w:type="dxa"/>
            <w:gridSpan w:val="5"/>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直接排放</w:t>
            </w:r>
            <w:r>
              <w:rPr>
                <w:rFonts w:ascii="Wingdings 2" w:hAnsi="Wingdings 2" w:eastAsia="Wingdings 2" w:cs="Wingdings 2"/>
                <w:color w:val="000000"/>
                <w:sz w:val="24"/>
                <w:szCs w:val="21"/>
                <w:lang w:bidi="ar"/>
              </w:rPr>
              <w:sym w:font="Wingdings 2" w:char="00A3"/>
            </w:r>
            <w:r>
              <w:rPr>
                <w:rFonts w:ascii="宋体" w:hAnsi="宋体" w:eastAsia="宋体"/>
                <w:color w:val="000000"/>
                <w:kern w:val="0"/>
                <w:sz w:val="18"/>
                <w:szCs w:val="18"/>
              </w:rPr>
              <w:t>；</w:t>
            </w:r>
            <w:r>
              <w:rPr>
                <w:rFonts w:ascii="Times New Roman" w:hAnsi="Times New Roman" w:eastAsia="宋体"/>
                <w:color w:val="000000"/>
                <w:kern w:val="0"/>
                <w:sz w:val="18"/>
                <w:szCs w:val="18"/>
              </w:rPr>
              <w:t>间接排放</w:t>
            </w:r>
            <w:r>
              <w:rPr>
                <w:rFonts w:ascii="宋体" w:hAnsi="宋体" w:eastAsia="宋体"/>
                <w:color w:val="000000"/>
                <w:kern w:val="0"/>
                <w:sz w:val="18"/>
                <w:szCs w:val="18"/>
              </w:rPr>
              <w:sym w:font="Wingdings 2" w:char="0052"/>
            </w:r>
            <w:r>
              <w:rPr>
                <w:rFonts w:ascii="宋体" w:hAnsi="宋体" w:eastAsia="宋体"/>
                <w:color w:val="000000"/>
                <w:kern w:val="0"/>
                <w:sz w:val="18"/>
                <w:szCs w:val="18"/>
              </w:rPr>
              <w:t>；</w:t>
            </w:r>
            <w:r>
              <w:rPr>
                <w:rFonts w:ascii="Times New Roman" w:hAnsi="Times New Roman" w:eastAsia="宋体"/>
                <w:color w:val="000000"/>
                <w:kern w:val="0"/>
                <w:sz w:val="18"/>
                <w:szCs w:val="18"/>
              </w:rPr>
              <w:t>其他</w:t>
            </w:r>
            <w:r>
              <w:rPr>
                <w:rFonts w:hint="eastAsia" w:ascii="Times New Roman" w:hAnsi="Times New Roman" w:eastAsia="宋体"/>
                <w:color w:val="000000"/>
                <w:kern w:val="0"/>
                <w:sz w:val="18"/>
                <w:szCs w:val="18"/>
              </w:rPr>
              <w:t xml:space="preserve"> </w:t>
            </w:r>
            <w:r>
              <w:rPr>
                <w:rFonts w:ascii="宋体" w:hAnsi="宋体" w:eastAsia="宋体"/>
                <w:color w:val="000000"/>
                <w:kern w:val="0"/>
                <w:sz w:val="18"/>
                <w:szCs w:val="18"/>
              </w:rPr>
              <w:t>□</w:t>
            </w:r>
          </w:p>
        </w:tc>
        <w:tc>
          <w:tcPr>
            <w:tcW w:w="5121" w:type="dxa"/>
            <w:gridSpan w:val="7"/>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xml:space="preserve">水温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径流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水域面积 </w:t>
            </w:r>
            <w:r>
              <w:rPr>
                <w:rFonts w:ascii="宋体" w:hAnsi="宋体"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影响因子</w:t>
            </w:r>
          </w:p>
        </w:tc>
        <w:tc>
          <w:tcPr>
            <w:tcW w:w="5121" w:type="dxa"/>
            <w:gridSpan w:val="5"/>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xml:space="preserve">持久性污染物 </w:t>
            </w:r>
            <w:r>
              <w:rPr>
                <w:rFonts w:ascii="宋体" w:hAnsi="宋体" w:eastAsia="宋体"/>
                <w:color w:val="000000"/>
                <w:kern w:val="0"/>
                <w:sz w:val="18"/>
                <w:szCs w:val="18"/>
              </w:rPr>
              <w:sym w:font="Wingdings 2" w:char="0052"/>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有毒有害污染物 </w:t>
            </w:r>
            <w:r>
              <w:rPr>
                <w:rFonts w:ascii="宋体" w:hAnsi="宋体" w:eastAsia="宋体"/>
                <w:color w:val="000000"/>
                <w:kern w:val="0"/>
                <w:sz w:val="18"/>
                <w:szCs w:val="18"/>
              </w:rPr>
              <w:t>□；</w:t>
            </w:r>
            <w:r>
              <w:rPr>
                <w:rFonts w:ascii="Times New Roman" w:hAnsi="Times New Roman" w:eastAsia="宋体"/>
                <w:color w:val="000000"/>
                <w:kern w:val="0"/>
                <w:sz w:val="18"/>
                <w:szCs w:val="18"/>
              </w:rPr>
              <w:t>非持久性污染物</w:t>
            </w:r>
            <w:r>
              <w:rPr>
                <w:rFonts w:ascii="Wingdings 2" w:hAnsi="Wingdings 2" w:eastAsia="Wingdings 2" w:cs="Wingdings 2"/>
                <w:color w:val="000000"/>
                <w:sz w:val="24"/>
                <w:szCs w:val="21"/>
                <w:lang w:bidi="ar"/>
              </w:rPr>
              <w:sym w:font="Wingdings 2" w:char="00A3"/>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pH值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热污染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富营养化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其他 </w:t>
            </w:r>
            <w:r>
              <w:rPr>
                <w:rFonts w:ascii="宋体" w:hAnsi="宋体" w:eastAsia="宋体"/>
                <w:color w:val="000000"/>
                <w:kern w:val="0"/>
                <w:sz w:val="18"/>
                <w:szCs w:val="18"/>
              </w:rPr>
              <w:t>□</w:t>
            </w:r>
          </w:p>
        </w:tc>
        <w:tc>
          <w:tcPr>
            <w:tcW w:w="5121" w:type="dxa"/>
            <w:gridSpan w:val="7"/>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xml:space="preserve">水温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水位（水深）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流速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流量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其他 </w:t>
            </w:r>
            <w:r>
              <w:rPr>
                <w:rFonts w:ascii="宋体" w:hAnsi="宋体"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5" w:hRule="atLeast"/>
          <w:jc w:val="center"/>
        </w:trPr>
        <w:tc>
          <w:tcPr>
            <w:tcW w:w="3676" w:type="dxa"/>
            <w:gridSpan w:val="2"/>
            <w:vMerge w:val="restart"/>
            <w:noWrap/>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评价等级</w:t>
            </w:r>
          </w:p>
        </w:tc>
        <w:tc>
          <w:tcPr>
            <w:tcW w:w="5121" w:type="dxa"/>
            <w:gridSpan w:val="5"/>
            <w:noWrap/>
            <w:vAlign w:val="center"/>
          </w:tcPr>
          <w:p>
            <w:pPr>
              <w:jc w:val="center"/>
              <w:rPr>
                <w:rFonts w:ascii="Times New Roman" w:hAnsi="Times New Roman" w:eastAsia="宋体"/>
                <w:color w:val="000000"/>
                <w:kern w:val="0"/>
                <w:sz w:val="18"/>
                <w:szCs w:val="18"/>
              </w:rPr>
            </w:pPr>
            <w:r>
              <w:rPr>
                <w:rFonts w:hint="eastAsia" w:ascii="Times New Roman" w:hAnsi="Times New Roman" w:eastAsia="宋体"/>
                <w:color w:val="000000"/>
                <w:kern w:val="0"/>
                <w:sz w:val="18"/>
                <w:szCs w:val="18"/>
              </w:rPr>
              <w:t>水</w:t>
            </w:r>
            <w:r>
              <w:rPr>
                <w:rFonts w:ascii="Times New Roman" w:hAnsi="Times New Roman" w:eastAsia="宋体"/>
                <w:color w:val="000000"/>
                <w:kern w:val="0"/>
                <w:sz w:val="18"/>
                <w:szCs w:val="18"/>
              </w:rPr>
              <w:t>污染影响型</w:t>
            </w:r>
          </w:p>
        </w:tc>
        <w:tc>
          <w:tcPr>
            <w:tcW w:w="5121" w:type="dxa"/>
            <w:gridSpan w:val="7"/>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7" w:hRule="atLeast"/>
          <w:jc w:val="center"/>
        </w:trPr>
        <w:tc>
          <w:tcPr>
            <w:tcW w:w="3676" w:type="dxa"/>
            <w:gridSpan w:val="2"/>
            <w:vMerge w:val="continue"/>
            <w:noWrap/>
            <w:vAlign w:val="center"/>
          </w:tcPr>
          <w:p>
            <w:pPr>
              <w:jc w:val="center"/>
              <w:rPr>
                <w:rFonts w:ascii="Times New Roman" w:hAnsi="Times New Roman" w:eastAsia="宋体"/>
                <w:color w:val="000000"/>
                <w:kern w:val="0"/>
                <w:sz w:val="18"/>
                <w:szCs w:val="18"/>
              </w:rPr>
            </w:pPr>
          </w:p>
        </w:tc>
        <w:tc>
          <w:tcPr>
            <w:tcW w:w="5121" w:type="dxa"/>
            <w:gridSpan w:val="5"/>
            <w:noWrap/>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xml:space="preserve">一级 </w:t>
            </w:r>
            <w:r>
              <w:rPr>
                <w:rFonts w:ascii="宋体" w:hAnsi="宋体" w:eastAsia="宋体"/>
                <w:color w:val="000000"/>
                <w:kern w:val="0"/>
                <w:sz w:val="18"/>
                <w:szCs w:val="18"/>
              </w:rPr>
              <w:t>□；</w:t>
            </w:r>
            <w:r>
              <w:rPr>
                <w:rFonts w:ascii="Times New Roman" w:hAnsi="Times New Roman" w:eastAsia="宋体"/>
                <w:color w:val="000000"/>
                <w:kern w:val="0"/>
                <w:sz w:val="18"/>
                <w:szCs w:val="18"/>
              </w:rPr>
              <w:t>二级</w:t>
            </w:r>
            <w:r>
              <w:rPr>
                <w:rFonts w:ascii="Wingdings 2" w:hAnsi="Wingdings 2" w:eastAsia="Wingdings 2" w:cs="Wingdings 2"/>
                <w:color w:val="000000"/>
                <w:sz w:val="24"/>
                <w:szCs w:val="21"/>
                <w:lang w:bidi="ar"/>
              </w:rPr>
              <w:sym w:font="Wingdings 2" w:char="00A3"/>
            </w:r>
            <w:r>
              <w:rPr>
                <w:rFonts w:ascii="宋体" w:hAnsi="宋体" w:eastAsia="宋体"/>
                <w:color w:val="000000"/>
                <w:kern w:val="0"/>
                <w:sz w:val="18"/>
                <w:szCs w:val="18"/>
              </w:rPr>
              <w:t>；</w:t>
            </w:r>
            <w:r>
              <w:rPr>
                <w:rFonts w:ascii="Times New Roman" w:hAnsi="Times New Roman" w:eastAsia="宋体"/>
                <w:color w:val="000000"/>
                <w:kern w:val="0"/>
                <w:sz w:val="18"/>
                <w:szCs w:val="18"/>
              </w:rPr>
              <w:t>三级A</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三级B </w:t>
            </w:r>
            <w:r>
              <w:rPr>
                <w:rFonts w:ascii="宋体" w:hAnsi="宋体" w:eastAsia="宋体"/>
                <w:color w:val="000000"/>
                <w:kern w:val="0"/>
                <w:sz w:val="18"/>
                <w:szCs w:val="18"/>
              </w:rPr>
              <w:sym w:font="Wingdings 2" w:char="0052"/>
            </w:r>
          </w:p>
        </w:tc>
        <w:tc>
          <w:tcPr>
            <w:tcW w:w="5121" w:type="dxa"/>
            <w:gridSpan w:val="7"/>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xml:space="preserve">一级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二级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三级 </w:t>
            </w:r>
            <w:r>
              <w:rPr>
                <w:rFonts w:ascii="宋体" w:hAnsi="宋体"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833" w:type="dxa"/>
            <w:vMerge w:val="restart"/>
            <w:noWrap/>
            <w:textDirection w:val="tbRlV"/>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现状调查</w:t>
            </w:r>
          </w:p>
        </w:tc>
        <w:tc>
          <w:tcPr>
            <w:tcW w:w="2843" w:type="dxa"/>
            <w:vMerge w:val="restart"/>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区域污染源</w:t>
            </w:r>
          </w:p>
        </w:tc>
        <w:tc>
          <w:tcPr>
            <w:tcW w:w="5121" w:type="dxa"/>
            <w:gridSpan w:val="5"/>
            <w:noWrap/>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调查项目</w:t>
            </w:r>
          </w:p>
        </w:tc>
        <w:tc>
          <w:tcPr>
            <w:tcW w:w="5121" w:type="dxa"/>
            <w:gridSpan w:val="7"/>
            <w:noWrap/>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34"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vMerge w:val="continue"/>
            <w:noWrap w:val="0"/>
            <w:vAlign w:val="center"/>
          </w:tcPr>
          <w:p>
            <w:pPr>
              <w:jc w:val="left"/>
              <w:rPr>
                <w:rFonts w:ascii="Times New Roman" w:hAnsi="Times New Roman" w:eastAsia="宋体"/>
                <w:color w:val="000000"/>
                <w:kern w:val="0"/>
                <w:sz w:val="18"/>
                <w:szCs w:val="18"/>
              </w:rPr>
            </w:pPr>
          </w:p>
        </w:tc>
        <w:tc>
          <w:tcPr>
            <w:tcW w:w="2560" w:type="dxa"/>
            <w:gridSpan w:val="2"/>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xml:space="preserve">已建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在建 </w:t>
            </w:r>
            <w:r>
              <w:rPr>
                <w:rFonts w:ascii="宋体" w:hAnsi="宋体" w:eastAsia="宋体"/>
                <w:color w:val="000000"/>
                <w:kern w:val="0"/>
                <w:sz w:val="18"/>
                <w:szCs w:val="18"/>
              </w:rPr>
              <w:t>□；</w:t>
            </w:r>
            <w:r>
              <w:rPr>
                <w:rFonts w:ascii="Times New Roman" w:hAnsi="Times New Roman" w:eastAsia="宋体"/>
                <w:color w:val="000000"/>
                <w:kern w:val="0"/>
                <w:sz w:val="18"/>
                <w:szCs w:val="18"/>
              </w:rPr>
              <w:t>拟建</w:t>
            </w:r>
            <w:r>
              <w:rPr>
                <w:rFonts w:hint="eastAsia" w:ascii="Times New Roman" w:hAnsi="Times New Roman" w:eastAsia="宋体"/>
                <w:color w:val="000000"/>
                <w:kern w:val="0"/>
                <w:sz w:val="18"/>
                <w:szCs w:val="18"/>
              </w:rPr>
              <w:t xml:space="preserve"> </w:t>
            </w:r>
            <w:r>
              <w:rPr>
                <w:rFonts w:ascii="宋体" w:hAnsi="宋体" w:eastAsia="宋体"/>
                <w:color w:val="000000"/>
                <w:kern w:val="0"/>
                <w:sz w:val="18"/>
                <w:szCs w:val="18"/>
              </w:rPr>
              <w:sym w:font="Wingdings 2" w:char="0052"/>
            </w:r>
            <w:r>
              <w:rPr>
                <w:rFonts w:ascii="Times New Roman" w:hAnsi="Times New Roman" w:eastAsia="宋体"/>
                <w:color w:val="000000"/>
                <w:kern w:val="0"/>
                <w:sz w:val="18"/>
                <w:szCs w:val="18"/>
              </w:rPr>
              <w:t xml:space="preserve">；其他 </w:t>
            </w:r>
            <w:r>
              <w:rPr>
                <w:rFonts w:ascii="宋体" w:hAnsi="宋体" w:eastAsia="宋体"/>
                <w:color w:val="000000"/>
                <w:kern w:val="0"/>
                <w:sz w:val="18"/>
                <w:szCs w:val="18"/>
              </w:rPr>
              <w:t>□</w:t>
            </w:r>
          </w:p>
        </w:tc>
        <w:tc>
          <w:tcPr>
            <w:tcW w:w="2561" w:type="dxa"/>
            <w:gridSpan w:val="3"/>
            <w:noWrap w:val="0"/>
            <w:vAlign w:val="center"/>
          </w:tcPr>
          <w:p>
            <w:pPr>
              <w:jc w:val="left"/>
              <w:rPr>
                <w:rFonts w:ascii="Times New Roman" w:hAnsi="Times New Roman" w:eastAsia="宋体"/>
                <w:color w:val="000000"/>
                <w:kern w:val="0"/>
                <w:sz w:val="18"/>
                <w:szCs w:val="18"/>
              </w:rPr>
            </w:pPr>
            <w:r>
              <w:rPr>
                <w:rFonts w:hint="eastAsia" w:ascii="Times New Roman" w:hAnsi="Times New Roman" w:eastAsia="宋体"/>
                <w:color w:val="000000"/>
                <w:kern w:val="0"/>
                <w:sz w:val="18"/>
                <w:szCs w:val="18"/>
              </w:rPr>
              <w:t xml:space="preserve">拟替代的污染源 </w:t>
            </w:r>
            <w:r>
              <w:rPr>
                <w:rFonts w:ascii="宋体" w:hAnsi="宋体" w:eastAsia="宋体"/>
                <w:color w:val="000000"/>
                <w:kern w:val="0"/>
                <w:sz w:val="18"/>
                <w:szCs w:val="18"/>
              </w:rPr>
              <w:t>□</w:t>
            </w:r>
          </w:p>
        </w:tc>
        <w:tc>
          <w:tcPr>
            <w:tcW w:w="5121" w:type="dxa"/>
            <w:gridSpan w:val="7"/>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xml:space="preserve">排污许可证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环评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环保验收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既有实测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现场监测 </w:t>
            </w:r>
            <w:r>
              <w:rPr>
                <w:rFonts w:ascii="宋体" w:hAnsi="宋体" w:eastAsia="宋体"/>
                <w:color w:val="000000"/>
                <w:kern w:val="0"/>
                <w:sz w:val="18"/>
                <w:szCs w:val="18"/>
              </w:rPr>
              <w:t>□；</w:t>
            </w:r>
            <w:r>
              <w:rPr>
                <w:rFonts w:ascii="Times New Roman" w:hAnsi="Times New Roman" w:eastAsia="宋体"/>
                <w:color w:val="000000"/>
                <w:kern w:val="0"/>
                <w:sz w:val="18"/>
                <w:szCs w:val="18"/>
              </w:rPr>
              <w:t>入河排</w:t>
            </w:r>
            <w:r>
              <w:rPr>
                <w:rFonts w:hint="eastAsia" w:ascii="Times New Roman" w:hAnsi="Times New Roman" w:eastAsia="宋体"/>
                <w:color w:val="000000"/>
                <w:kern w:val="0"/>
                <w:sz w:val="18"/>
                <w:szCs w:val="18"/>
              </w:rPr>
              <w:t>放</w:t>
            </w:r>
            <w:r>
              <w:rPr>
                <w:rFonts w:ascii="Times New Roman" w:hAnsi="Times New Roman" w:eastAsia="宋体"/>
                <w:color w:val="000000"/>
                <w:kern w:val="0"/>
                <w:sz w:val="18"/>
                <w:szCs w:val="18"/>
              </w:rPr>
              <w:t xml:space="preserve">口数据 </w:t>
            </w:r>
            <w:r>
              <w:rPr>
                <w:rFonts w:ascii="宋体" w:hAnsi="宋体" w:eastAsia="宋体"/>
                <w:color w:val="000000"/>
                <w:kern w:val="0"/>
                <w:sz w:val="18"/>
                <w:szCs w:val="18"/>
              </w:rPr>
              <w:t>□；</w:t>
            </w:r>
            <w:r>
              <w:rPr>
                <w:rFonts w:ascii="Times New Roman" w:hAnsi="Times New Roman" w:eastAsia="宋体"/>
                <w:color w:val="000000"/>
                <w:kern w:val="0"/>
                <w:sz w:val="18"/>
                <w:szCs w:val="18"/>
              </w:rPr>
              <w:t>其他</w:t>
            </w:r>
            <w:r>
              <w:rPr>
                <w:rFonts w:hint="eastAsia" w:ascii="Times New Roman" w:hAnsi="Times New Roman" w:eastAsia="宋体"/>
                <w:color w:val="000000"/>
                <w:kern w:val="0"/>
                <w:sz w:val="18"/>
                <w:szCs w:val="18"/>
              </w:rPr>
              <w:t xml:space="preserve"> </w:t>
            </w:r>
            <w:r>
              <w:rPr>
                <w:rFonts w:ascii="宋体" w:hAnsi="宋体"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vMerge w:val="restart"/>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受影响水体水环境质量　</w:t>
            </w:r>
          </w:p>
        </w:tc>
        <w:tc>
          <w:tcPr>
            <w:tcW w:w="5121" w:type="dxa"/>
            <w:gridSpan w:val="5"/>
            <w:noWrap/>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调查时期</w:t>
            </w:r>
          </w:p>
        </w:tc>
        <w:tc>
          <w:tcPr>
            <w:tcW w:w="5121" w:type="dxa"/>
            <w:gridSpan w:val="7"/>
            <w:noWrap/>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02"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vMerge w:val="continue"/>
            <w:noWrap w:val="0"/>
            <w:vAlign w:val="center"/>
          </w:tcPr>
          <w:p>
            <w:pPr>
              <w:jc w:val="center"/>
              <w:rPr>
                <w:rFonts w:ascii="Times New Roman" w:hAnsi="Times New Roman" w:eastAsia="宋体"/>
                <w:color w:val="000000"/>
                <w:kern w:val="0"/>
                <w:sz w:val="18"/>
                <w:szCs w:val="18"/>
              </w:rPr>
            </w:pPr>
          </w:p>
        </w:tc>
        <w:tc>
          <w:tcPr>
            <w:tcW w:w="5121" w:type="dxa"/>
            <w:gridSpan w:val="5"/>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丰水期</w:t>
            </w:r>
            <w:r>
              <w:rPr>
                <w:rFonts w:ascii="Wingdings 2" w:hAnsi="Wingdings 2" w:eastAsia="Wingdings 2" w:cs="Wingdings 2"/>
                <w:color w:val="000000"/>
                <w:sz w:val="24"/>
                <w:szCs w:val="21"/>
                <w:lang w:bidi="ar"/>
              </w:rPr>
              <w:sym w:font="Wingdings 2" w:char="00A3"/>
            </w:r>
            <w:r>
              <w:rPr>
                <w:rFonts w:ascii="宋体" w:hAnsi="宋体" w:eastAsia="宋体"/>
                <w:color w:val="000000"/>
                <w:kern w:val="0"/>
                <w:sz w:val="18"/>
                <w:szCs w:val="18"/>
              </w:rPr>
              <w:t>；</w:t>
            </w:r>
            <w:r>
              <w:rPr>
                <w:rFonts w:ascii="Times New Roman" w:hAnsi="Times New Roman" w:eastAsia="宋体"/>
                <w:color w:val="000000"/>
                <w:kern w:val="0"/>
                <w:sz w:val="18"/>
                <w:szCs w:val="18"/>
              </w:rPr>
              <w:t>平水期</w:t>
            </w:r>
            <w:r>
              <w:rPr>
                <w:rFonts w:ascii="Wingdings 2" w:hAnsi="Wingdings 2" w:eastAsia="Wingdings 2" w:cs="Wingdings 2"/>
                <w:color w:val="000000"/>
                <w:sz w:val="24"/>
                <w:szCs w:val="21"/>
                <w:lang w:bidi="ar"/>
              </w:rPr>
              <w:sym w:font="Wingdings 2" w:char="00A3"/>
            </w:r>
            <w:r>
              <w:rPr>
                <w:rFonts w:ascii="宋体" w:hAnsi="宋体" w:eastAsia="宋体"/>
                <w:color w:val="000000"/>
                <w:kern w:val="0"/>
                <w:sz w:val="18"/>
                <w:szCs w:val="18"/>
              </w:rPr>
              <w:t>；</w:t>
            </w:r>
            <w:r>
              <w:rPr>
                <w:rFonts w:ascii="Times New Roman" w:hAnsi="Times New Roman" w:eastAsia="宋体"/>
                <w:color w:val="000000"/>
                <w:kern w:val="0"/>
                <w:sz w:val="18"/>
                <w:szCs w:val="18"/>
              </w:rPr>
              <w:t>枯水期</w:t>
            </w:r>
            <w:r>
              <w:rPr>
                <w:rFonts w:ascii="Wingdings 2" w:hAnsi="Wingdings 2" w:eastAsia="Wingdings 2" w:cs="Wingdings 2"/>
                <w:color w:val="000000"/>
                <w:sz w:val="24"/>
                <w:szCs w:val="21"/>
                <w:lang w:bidi="ar"/>
              </w:rPr>
              <w:t></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冰封期 </w:t>
            </w:r>
            <w:r>
              <w:rPr>
                <w:rFonts w:ascii="宋体" w:hAnsi="宋体" w:eastAsia="宋体"/>
                <w:color w:val="000000"/>
                <w:kern w:val="0"/>
                <w:sz w:val="18"/>
                <w:szCs w:val="18"/>
              </w:rPr>
              <w:t>□</w:t>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 xml:space="preserve">春季 </w:t>
            </w:r>
            <w:r>
              <w:rPr>
                <w:rFonts w:ascii="Wingdings 2" w:hAnsi="Wingdings 2" w:eastAsia="Wingdings 2" w:cs="Wingdings 2"/>
                <w:color w:val="000000"/>
                <w:sz w:val="24"/>
                <w:szCs w:val="21"/>
                <w:lang w:bidi="ar"/>
              </w:rPr>
              <w:sym w:font="Wingdings 2" w:char="0052"/>
            </w:r>
            <w:r>
              <w:rPr>
                <w:rFonts w:ascii="宋体" w:hAnsi="宋体" w:eastAsia="宋体"/>
                <w:color w:val="000000"/>
                <w:kern w:val="0"/>
                <w:sz w:val="18"/>
                <w:szCs w:val="18"/>
              </w:rPr>
              <w:t>；</w:t>
            </w:r>
            <w:r>
              <w:rPr>
                <w:rFonts w:ascii="Times New Roman" w:hAnsi="Times New Roman" w:eastAsia="宋体"/>
                <w:color w:val="000000"/>
                <w:kern w:val="0"/>
                <w:sz w:val="18"/>
                <w:szCs w:val="18"/>
              </w:rPr>
              <w:t>夏季</w:t>
            </w:r>
            <w:r>
              <w:rPr>
                <w:rFonts w:ascii="Wingdings 2" w:hAnsi="Wingdings 2" w:eastAsia="Wingdings 2" w:cs="Wingdings 2"/>
                <w:color w:val="000000"/>
                <w:sz w:val="24"/>
                <w:szCs w:val="21"/>
                <w:lang w:bidi="ar"/>
              </w:rPr>
              <w:t></w:t>
            </w:r>
            <w:r>
              <w:rPr>
                <w:rFonts w:ascii="宋体" w:hAnsi="宋体" w:eastAsia="宋体"/>
                <w:color w:val="000000"/>
                <w:kern w:val="0"/>
                <w:sz w:val="18"/>
                <w:szCs w:val="18"/>
              </w:rPr>
              <w:t>；</w:t>
            </w:r>
            <w:r>
              <w:rPr>
                <w:rFonts w:ascii="Times New Roman" w:hAnsi="Times New Roman" w:eastAsia="宋体"/>
                <w:color w:val="000000"/>
                <w:kern w:val="0"/>
                <w:sz w:val="18"/>
                <w:szCs w:val="18"/>
              </w:rPr>
              <w:t>秋季</w:t>
            </w:r>
            <w:r>
              <w:rPr>
                <w:rFonts w:ascii="Wingdings 2" w:hAnsi="Wingdings 2" w:eastAsia="Wingdings 2" w:cs="Wingdings 2"/>
                <w:color w:val="000000"/>
                <w:sz w:val="24"/>
                <w:szCs w:val="21"/>
                <w:lang w:bidi="ar"/>
              </w:rPr>
              <w:t></w:t>
            </w:r>
            <w:r>
              <w:rPr>
                <w:rFonts w:ascii="宋体" w:hAnsi="宋体" w:eastAsia="宋体"/>
                <w:color w:val="000000"/>
                <w:kern w:val="0"/>
                <w:sz w:val="18"/>
                <w:szCs w:val="18"/>
              </w:rPr>
              <w:t>；</w:t>
            </w:r>
            <w:r>
              <w:rPr>
                <w:rFonts w:ascii="Times New Roman" w:hAnsi="Times New Roman" w:eastAsia="宋体"/>
                <w:color w:val="000000"/>
                <w:kern w:val="0"/>
                <w:sz w:val="18"/>
                <w:szCs w:val="18"/>
              </w:rPr>
              <w:t>冬季</w:t>
            </w:r>
            <w:r>
              <w:rPr>
                <w:rFonts w:ascii="Wingdings 2" w:hAnsi="Wingdings 2" w:eastAsia="Wingdings 2" w:cs="Wingdings 2"/>
                <w:color w:val="000000"/>
                <w:sz w:val="24"/>
                <w:szCs w:val="21"/>
                <w:lang w:bidi="ar"/>
              </w:rPr>
              <w:sym w:font="Wingdings 2" w:char="00A3"/>
            </w:r>
          </w:p>
        </w:tc>
        <w:tc>
          <w:tcPr>
            <w:tcW w:w="5121" w:type="dxa"/>
            <w:gridSpan w:val="7"/>
            <w:noWrap/>
            <w:vAlign w:val="center"/>
          </w:tcPr>
          <w:p>
            <w:pPr>
              <w:jc w:val="center"/>
              <w:rPr>
                <w:rFonts w:ascii="Times New Roman" w:hAnsi="Times New Roman" w:eastAsia="宋体"/>
                <w:color w:val="000000"/>
                <w:kern w:val="0"/>
                <w:sz w:val="18"/>
                <w:szCs w:val="18"/>
              </w:rPr>
            </w:pPr>
            <w:r>
              <w:rPr>
                <w:rFonts w:hint="eastAsia" w:ascii="Times New Roman" w:hAnsi="Times New Roman" w:eastAsia="宋体"/>
                <w:color w:val="000000"/>
                <w:kern w:val="0"/>
                <w:sz w:val="18"/>
                <w:szCs w:val="18"/>
              </w:rPr>
              <w:t>生态</w:t>
            </w:r>
            <w:r>
              <w:rPr>
                <w:rFonts w:ascii="Times New Roman" w:hAnsi="Times New Roman" w:eastAsia="宋体"/>
                <w:color w:val="000000"/>
                <w:kern w:val="0"/>
                <w:sz w:val="18"/>
                <w:szCs w:val="18"/>
              </w:rPr>
              <w:t>环境保护主管部门</w:t>
            </w:r>
            <w:r>
              <w:rPr>
                <w:rFonts w:ascii="Wingdings 2" w:hAnsi="Wingdings 2" w:eastAsia="Wingdings 2" w:cs="Wingdings 2"/>
                <w:color w:val="000000"/>
                <w:sz w:val="24"/>
                <w:szCs w:val="21"/>
                <w:lang w:bidi="ar"/>
              </w:rPr>
              <w:t></w:t>
            </w:r>
            <w:r>
              <w:rPr>
                <w:rFonts w:ascii="宋体" w:hAnsi="宋体" w:eastAsia="宋体"/>
                <w:color w:val="000000"/>
                <w:kern w:val="0"/>
                <w:sz w:val="18"/>
                <w:szCs w:val="18"/>
              </w:rPr>
              <w:t>；</w:t>
            </w:r>
            <w:r>
              <w:rPr>
                <w:rFonts w:ascii="Times New Roman" w:hAnsi="Times New Roman" w:eastAsia="宋体"/>
                <w:color w:val="000000"/>
                <w:kern w:val="0"/>
                <w:sz w:val="18"/>
                <w:szCs w:val="18"/>
              </w:rPr>
              <w:t>补充监测</w:t>
            </w:r>
            <w:r>
              <w:rPr>
                <w:rFonts w:ascii="Wingdings 2" w:hAnsi="Wingdings 2" w:eastAsia="Wingdings 2" w:cs="Wingdings 2"/>
                <w:color w:val="000000"/>
                <w:sz w:val="24"/>
                <w:szCs w:val="21"/>
                <w:lang w:bidi="ar"/>
              </w:rPr>
              <w:sym w:font="Wingdings 2" w:char="00A3"/>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其他 </w:t>
            </w:r>
            <w:r>
              <w:rPr>
                <w:rFonts w:ascii="宋体" w:hAnsi="宋体" w:eastAsia="宋体"/>
                <w:color w:val="000000"/>
                <w:kern w:val="0"/>
                <w:sz w:val="18"/>
                <w:szCs w:val="18"/>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区域水资源开发利用状况</w:t>
            </w:r>
          </w:p>
        </w:tc>
        <w:tc>
          <w:tcPr>
            <w:tcW w:w="10242" w:type="dxa"/>
            <w:gridSpan w:val="12"/>
            <w:noWrap/>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xml:space="preserve">未开发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开发量40%以下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开发量40%以上 </w:t>
            </w:r>
            <w:r>
              <w:rPr>
                <w:rFonts w:ascii="宋体" w:hAnsi="宋体"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vMerge w:val="restart"/>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水文情势调查　</w:t>
            </w:r>
          </w:p>
        </w:tc>
        <w:tc>
          <w:tcPr>
            <w:tcW w:w="5121" w:type="dxa"/>
            <w:gridSpan w:val="5"/>
            <w:noWrap/>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调查时期</w:t>
            </w:r>
          </w:p>
        </w:tc>
        <w:tc>
          <w:tcPr>
            <w:tcW w:w="5121" w:type="dxa"/>
            <w:gridSpan w:val="7"/>
            <w:noWrap/>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2"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vMerge w:val="continue"/>
            <w:noWrap w:val="0"/>
            <w:vAlign w:val="center"/>
          </w:tcPr>
          <w:p>
            <w:pPr>
              <w:jc w:val="center"/>
              <w:rPr>
                <w:rFonts w:ascii="Times New Roman" w:hAnsi="Times New Roman" w:eastAsia="宋体"/>
                <w:color w:val="000000"/>
                <w:kern w:val="0"/>
                <w:sz w:val="18"/>
                <w:szCs w:val="18"/>
              </w:rPr>
            </w:pPr>
          </w:p>
        </w:tc>
        <w:tc>
          <w:tcPr>
            <w:tcW w:w="5121" w:type="dxa"/>
            <w:gridSpan w:val="5"/>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xml:space="preserve">丰水期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平水期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枯水期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冰封期 </w:t>
            </w:r>
            <w:r>
              <w:rPr>
                <w:rFonts w:ascii="宋体" w:hAnsi="宋体" w:eastAsia="宋体"/>
                <w:color w:val="000000"/>
                <w:kern w:val="0"/>
                <w:sz w:val="18"/>
                <w:szCs w:val="18"/>
              </w:rPr>
              <w:t>□</w:t>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 xml:space="preserve">春季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夏季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秋季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冬季 </w:t>
            </w:r>
            <w:r>
              <w:rPr>
                <w:rFonts w:ascii="宋体" w:hAnsi="宋体" w:eastAsia="宋体"/>
                <w:color w:val="000000"/>
                <w:kern w:val="0"/>
                <w:sz w:val="18"/>
                <w:szCs w:val="18"/>
              </w:rPr>
              <w:t>□</w:t>
            </w:r>
          </w:p>
        </w:tc>
        <w:tc>
          <w:tcPr>
            <w:tcW w:w="5121" w:type="dxa"/>
            <w:gridSpan w:val="7"/>
            <w:noWrap/>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xml:space="preserve">水行政主管部门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补充监测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其他 </w:t>
            </w:r>
            <w:r>
              <w:rPr>
                <w:rFonts w:ascii="宋体" w:hAnsi="宋体"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vMerge w:val="restart"/>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补充监测　</w:t>
            </w:r>
          </w:p>
        </w:tc>
        <w:tc>
          <w:tcPr>
            <w:tcW w:w="5121" w:type="dxa"/>
            <w:gridSpan w:val="5"/>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监测时期</w:t>
            </w:r>
          </w:p>
        </w:tc>
        <w:tc>
          <w:tcPr>
            <w:tcW w:w="3123" w:type="dxa"/>
            <w:gridSpan w:val="5"/>
            <w:noWrap/>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监测因子</w:t>
            </w:r>
          </w:p>
        </w:tc>
        <w:tc>
          <w:tcPr>
            <w:tcW w:w="1998" w:type="dxa"/>
            <w:gridSpan w:val="2"/>
            <w:noWrap/>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监测断面</w:t>
            </w:r>
            <w:r>
              <w:rPr>
                <w:rFonts w:hint="eastAsia" w:ascii="Times New Roman" w:hAnsi="Times New Roman" w:eastAsia="宋体"/>
                <w:color w:val="000000"/>
                <w:kern w:val="0"/>
                <w:sz w:val="18"/>
                <w:szCs w:val="18"/>
              </w:rPr>
              <w:t>或</w:t>
            </w:r>
            <w:r>
              <w:rPr>
                <w:rFonts w:ascii="Times New Roman" w:hAnsi="Times New Roman" w:eastAsia="宋体"/>
                <w:color w:val="000000"/>
                <w:kern w:val="0"/>
                <w:sz w:val="18"/>
                <w:szCs w:val="18"/>
              </w:rPr>
              <w:t>点位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2"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vMerge w:val="continue"/>
            <w:noWrap w:val="0"/>
            <w:vAlign w:val="center"/>
          </w:tcPr>
          <w:p>
            <w:pPr>
              <w:jc w:val="center"/>
              <w:rPr>
                <w:rFonts w:ascii="Times New Roman" w:hAnsi="Times New Roman" w:eastAsia="宋体"/>
                <w:color w:val="000000"/>
                <w:kern w:val="0"/>
                <w:sz w:val="18"/>
                <w:szCs w:val="18"/>
              </w:rPr>
            </w:pPr>
          </w:p>
        </w:tc>
        <w:tc>
          <w:tcPr>
            <w:tcW w:w="5121" w:type="dxa"/>
            <w:gridSpan w:val="5"/>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丰水期</w:t>
            </w:r>
            <w:r>
              <w:rPr>
                <w:rFonts w:ascii="Wingdings 2" w:hAnsi="Wingdings 2" w:eastAsia="Wingdings 2" w:cs="Wingdings 2"/>
                <w:color w:val="000000"/>
                <w:sz w:val="18"/>
                <w:szCs w:val="18"/>
                <w:lang w:bidi="ar"/>
              </w:rPr>
              <w:t></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平水期 </w:t>
            </w:r>
            <w:r>
              <w:rPr>
                <w:rFonts w:ascii="宋体" w:hAnsi="宋体" w:eastAsia="宋体"/>
                <w:color w:val="000000"/>
                <w:kern w:val="0"/>
                <w:sz w:val="18"/>
                <w:szCs w:val="18"/>
              </w:rPr>
              <w:t>□；</w:t>
            </w:r>
            <w:r>
              <w:rPr>
                <w:rFonts w:ascii="Times New Roman" w:hAnsi="Times New Roman" w:eastAsia="宋体"/>
                <w:color w:val="000000"/>
                <w:kern w:val="0"/>
                <w:sz w:val="18"/>
                <w:szCs w:val="18"/>
              </w:rPr>
              <w:t>枯水期</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冰封期 </w:t>
            </w:r>
            <w:r>
              <w:rPr>
                <w:rFonts w:ascii="宋体" w:hAnsi="宋体" w:eastAsia="宋体"/>
                <w:color w:val="000000"/>
                <w:kern w:val="0"/>
                <w:sz w:val="18"/>
                <w:szCs w:val="18"/>
              </w:rPr>
              <w:t>□</w:t>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春季</w:t>
            </w:r>
            <w:r>
              <w:rPr>
                <w:rFonts w:ascii="宋体" w:hAnsi="宋体" w:eastAsia="宋体"/>
                <w:color w:val="000000"/>
                <w:kern w:val="0"/>
                <w:sz w:val="18"/>
                <w:szCs w:val="18"/>
              </w:rPr>
              <w:t>□；</w:t>
            </w:r>
            <w:r>
              <w:rPr>
                <w:rFonts w:ascii="Times New Roman" w:hAnsi="Times New Roman" w:eastAsia="宋体"/>
                <w:color w:val="000000"/>
                <w:kern w:val="0"/>
                <w:sz w:val="18"/>
                <w:szCs w:val="18"/>
              </w:rPr>
              <w:t>夏季</w:t>
            </w:r>
            <w:r>
              <w:rPr>
                <w:rFonts w:ascii="Wingdings 2" w:hAnsi="Wingdings 2" w:eastAsia="Wingdings 2" w:cs="Wingdings 2"/>
                <w:color w:val="000000"/>
                <w:sz w:val="24"/>
                <w:szCs w:val="21"/>
                <w:lang w:bidi="ar"/>
              </w:rPr>
              <w:t></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秋季 </w:t>
            </w:r>
            <w:r>
              <w:rPr>
                <w:rFonts w:ascii="宋体" w:hAnsi="宋体" w:eastAsia="宋体"/>
                <w:color w:val="000000"/>
                <w:kern w:val="0"/>
                <w:sz w:val="18"/>
                <w:szCs w:val="18"/>
              </w:rPr>
              <w:t>□；</w:t>
            </w:r>
            <w:r>
              <w:rPr>
                <w:rFonts w:ascii="Times New Roman" w:hAnsi="Times New Roman" w:eastAsia="宋体"/>
                <w:color w:val="000000"/>
                <w:kern w:val="0"/>
                <w:sz w:val="18"/>
                <w:szCs w:val="18"/>
              </w:rPr>
              <w:t>冬季</w:t>
            </w:r>
            <w:r>
              <w:rPr>
                <w:rFonts w:ascii="宋体" w:hAnsi="宋体" w:eastAsia="宋体"/>
                <w:color w:val="000000"/>
                <w:kern w:val="0"/>
                <w:sz w:val="18"/>
                <w:szCs w:val="18"/>
              </w:rPr>
              <w:t>□</w:t>
            </w:r>
          </w:p>
        </w:tc>
        <w:tc>
          <w:tcPr>
            <w:tcW w:w="3123" w:type="dxa"/>
            <w:gridSpan w:val="5"/>
            <w:noWrap/>
            <w:vAlign w:val="center"/>
          </w:tcPr>
          <w:p>
            <w:pPr>
              <w:jc w:val="left"/>
              <w:rPr>
                <w:rFonts w:ascii="Times New Roman" w:hAnsi="Times New Roman" w:eastAsia="宋体"/>
                <w:color w:val="000000"/>
                <w:kern w:val="0"/>
                <w:sz w:val="16"/>
                <w:szCs w:val="16"/>
              </w:rPr>
            </w:pPr>
            <w:r>
              <w:rPr>
                <w:rFonts w:ascii="Times New Roman" w:hAnsi="Times New Roman" w:eastAsia="宋体"/>
                <w:color w:val="000000"/>
                <w:kern w:val="0"/>
                <w:sz w:val="18"/>
                <w:szCs w:val="18"/>
              </w:rPr>
              <w:t>（</w:t>
            </w:r>
            <w:r>
              <w:rPr>
                <w:rFonts w:hint="eastAsia" w:ascii="Times New Roman" w:hAnsi="Times New Roman" w:eastAsia="宋体"/>
                <w:color w:val="000000"/>
                <w:kern w:val="0"/>
                <w:sz w:val="18"/>
                <w:szCs w:val="18"/>
              </w:rPr>
              <w:t>水温、pH、高锰酸盐指数、COD、BOD</w:t>
            </w:r>
            <w:r>
              <w:rPr>
                <w:rFonts w:hint="eastAsia" w:ascii="Times New Roman" w:hAnsi="Times New Roman" w:eastAsia="宋体"/>
                <w:color w:val="000000"/>
                <w:kern w:val="0"/>
                <w:sz w:val="18"/>
                <w:szCs w:val="18"/>
                <w:vertAlign w:val="subscript"/>
              </w:rPr>
              <w:t>5</w:t>
            </w:r>
            <w:r>
              <w:rPr>
                <w:rFonts w:hint="eastAsia" w:ascii="Times New Roman" w:hAnsi="Times New Roman" w:eastAsia="宋体"/>
                <w:color w:val="000000"/>
                <w:kern w:val="0"/>
                <w:sz w:val="18"/>
                <w:szCs w:val="18"/>
              </w:rPr>
              <w:t>、氨氮、铜、锌、石油类、砷、铅、铬（六价）、镉、硫化物、锰、</w:t>
            </w:r>
            <w:r>
              <w:rPr>
                <w:rFonts w:ascii="Times New Roman" w:hAnsi="Times New Roman" w:eastAsia="宋体"/>
                <w:color w:val="000000"/>
                <w:kern w:val="0"/>
                <w:sz w:val="18"/>
                <w:szCs w:val="18"/>
              </w:rPr>
              <w:t>铁</w:t>
            </w:r>
            <w:r>
              <w:rPr>
                <w:rFonts w:hint="eastAsia" w:ascii="Times New Roman" w:hAnsi="Times New Roman" w:eastAsia="宋体"/>
                <w:color w:val="000000"/>
                <w:kern w:val="0"/>
                <w:sz w:val="18"/>
                <w:szCs w:val="18"/>
              </w:rPr>
              <w:t>、SS、氟化物</w:t>
            </w:r>
            <w:r>
              <w:rPr>
                <w:rFonts w:ascii="Times New Roman" w:hAnsi="Times New Roman" w:eastAsia="宋体"/>
                <w:color w:val="000000"/>
                <w:kern w:val="0"/>
                <w:sz w:val="18"/>
                <w:szCs w:val="18"/>
              </w:rPr>
              <w:t>）</w:t>
            </w:r>
          </w:p>
        </w:tc>
        <w:tc>
          <w:tcPr>
            <w:tcW w:w="1998" w:type="dxa"/>
            <w:gridSpan w:val="2"/>
            <w:noWrap/>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监测断面</w:t>
            </w:r>
            <w:r>
              <w:rPr>
                <w:rFonts w:hint="eastAsia" w:ascii="Times New Roman" w:hAnsi="Times New Roman" w:eastAsia="宋体"/>
                <w:color w:val="000000"/>
                <w:kern w:val="0"/>
                <w:sz w:val="18"/>
                <w:szCs w:val="18"/>
              </w:rPr>
              <w:t>或</w:t>
            </w:r>
            <w:r>
              <w:rPr>
                <w:rFonts w:ascii="Times New Roman" w:hAnsi="Times New Roman" w:eastAsia="宋体"/>
                <w:color w:val="000000"/>
                <w:kern w:val="0"/>
                <w:sz w:val="18"/>
                <w:szCs w:val="18"/>
              </w:rPr>
              <w:t>点位个数（2）个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7" w:hRule="atLeast"/>
          <w:jc w:val="center"/>
        </w:trPr>
        <w:tc>
          <w:tcPr>
            <w:tcW w:w="833" w:type="dxa"/>
            <w:vMerge w:val="restart"/>
            <w:noWrap/>
            <w:textDirection w:val="tbRlV"/>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现状评价</w:t>
            </w: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评价范围</w:t>
            </w:r>
          </w:p>
        </w:tc>
        <w:tc>
          <w:tcPr>
            <w:tcW w:w="10242" w:type="dxa"/>
            <w:gridSpan w:val="12"/>
            <w:noWrap/>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河流：长度（</w:t>
            </w:r>
            <w:r>
              <w:rPr>
                <w:rFonts w:hint="eastAsia" w:ascii="Times New Roman" w:hAnsi="Times New Roman" w:eastAsia="宋体"/>
                <w:color w:val="000000"/>
                <w:kern w:val="0"/>
                <w:sz w:val="18"/>
                <w:szCs w:val="18"/>
              </w:rPr>
              <w:t>2</w:t>
            </w:r>
            <w:r>
              <w:rPr>
                <w:rFonts w:ascii="Times New Roman" w:hAnsi="Times New Roman" w:eastAsia="宋体"/>
                <w:color w:val="000000"/>
                <w:kern w:val="0"/>
                <w:sz w:val="18"/>
                <w:szCs w:val="18"/>
              </w:rPr>
              <w:t>）km；湖库、河口及近岸海域：面积（   ）km</w:t>
            </w:r>
            <w:r>
              <w:rPr>
                <w:rFonts w:ascii="Times New Roman" w:hAnsi="Times New Roman" w:eastAsia="宋体"/>
                <w:color w:val="000000"/>
                <w:kern w:val="0"/>
                <w:sz w:val="18"/>
                <w:szCs w:val="18"/>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评价因子</w:t>
            </w:r>
          </w:p>
        </w:tc>
        <w:tc>
          <w:tcPr>
            <w:tcW w:w="10242" w:type="dxa"/>
            <w:gridSpan w:val="12"/>
            <w:noWrap/>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w:t>
            </w:r>
            <w:r>
              <w:rPr>
                <w:rFonts w:hint="eastAsia" w:ascii="Times New Roman" w:hAnsi="Times New Roman" w:eastAsia="宋体"/>
                <w:color w:val="000000"/>
                <w:kern w:val="0"/>
                <w:sz w:val="18"/>
                <w:szCs w:val="18"/>
              </w:rPr>
              <w:t>锌、铅、锰、总铬、六价铬、总钒</w:t>
            </w:r>
            <w:r>
              <w:rPr>
                <w:rFonts w:ascii="Times New Roman" w:hAnsi="Times New Roman"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评价标准</w:t>
            </w:r>
          </w:p>
        </w:tc>
        <w:tc>
          <w:tcPr>
            <w:tcW w:w="10242" w:type="dxa"/>
            <w:gridSpan w:val="12"/>
            <w:noWrap/>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河流、湖库、河口：</w:t>
            </w:r>
            <w:r>
              <w:rPr>
                <w:rFonts w:hint="eastAsia" w:ascii="宋体" w:hAnsi="宋体" w:eastAsia="宋体" w:cs="宋体"/>
                <w:color w:val="000000"/>
                <w:kern w:val="0"/>
                <w:sz w:val="18"/>
                <w:szCs w:val="18"/>
              </w:rPr>
              <w:t>Ⅰ</w:t>
            </w:r>
            <w:r>
              <w:rPr>
                <w:rFonts w:ascii="Times New Roman" w:hAnsi="Times New Roman" w:eastAsia="宋体"/>
                <w:color w:val="000000"/>
                <w:kern w:val="0"/>
                <w:sz w:val="18"/>
                <w:szCs w:val="18"/>
              </w:rPr>
              <w:t>类</w:t>
            </w:r>
            <w:r>
              <w:rPr>
                <w:rFonts w:ascii="宋体" w:hAnsi="宋体" w:eastAsia="宋体"/>
                <w:color w:val="000000"/>
                <w:kern w:val="0"/>
                <w:sz w:val="18"/>
                <w:szCs w:val="18"/>
              </w:rPr>
              <w:t>□；</w:t>
            </w:r>
            <w:r>
              <w:rPr>
                <w:rFonts w:hint="eastAsia" w:ascii="宋体" w:hAnsi="宋体" w:eastAsia="宋体" w:cs="宋体"/>
                <w:color w:val="000000"/>
                <w:kern w:val="0"/>
                <w:sz w:val="18"/>
                <w:szCs w:val="18"/>
              </w:rPr>
              <w:t>Ⅱ</w:t>
            </w:r>
            <w:r>
              <w:rPr>
                <w:rFonts w:ascii="Times New Roman" w:hAnsi="Times New Roman" w:eastAsia="宋体"/>
                <w:color w:val="000000"/>
                <w:kern w:val="0"/>
                <w:sz w:val="18"/>
                <w:szCs w:val="18"/>
              </w:rPr>
              <w:t>类</w:t>
            </w:r>
            <w:r>
              <w:rPr>
                <w:rFonts w:ascii="宋体" w:hAnsi="宋体" w:eastAsia="宋体"/>
                <w:color w:val="000000"/>
                <w:kern w:val="0"/>
                <w:sz w:val="18"/>
                <w:szCs w:val="18"/>
              </w:rPr>
              <w:t>□；</w:t>
            </w:r>
            <w:r>
              <w:rPr>
                <w:rFonts w:hint="eastAsia" w:ascii="宋体" w:hAnsi="宋体" w:eastAsia="宋体" w:cs="宋体"/>
                <w:color w:val="000000"/>
                <w:kern w:val="0"/>
                <w:sz w:val="18"/>
                <w:szCs w:val="18"/>
              </w:rPr>
              <w:t>Ⅲ</w:t>
            </w:r>
            <w:r>
              <w:rPr>
                <w:rFonts w:ascii="Times New Roman" w:hAnsi="Times New Roman" w:eastAsia="宋体"/>
                <w:color w:val="000000"/>
                <w:kern w:val="0"/>
                <w:sz w:val="18"/>
                <w:szCs w:val="18"/>
              </w:rPr>
              <w:t>类</w:t>
            </w:r>
            <w:r>
              <w:rPr>
                <w:rFonts w:ascii="Wingdings 2" w:hAnsi="Wingdings 2" w:eastAsia="Wingdings 2" w:cs="Wingdings 2"/>
                <w:color w:val="000000"/>
                <w:sz w:val="24"/>
                <w:szCs w:val="21"/>
                <w:lang w:bidi="ar"/>
              </w:rPr>
              <w:t></w:t>
            </w:r>
            <w:r>
              <w:rPr>
                <w:rFonts w:ascii="宋体" w:hAnsi="宋体" w:eastAsia="宋体"/>
                <w:color w:val="000000"/>
                <w:kern w:val="0"/>
                <w:sz w:val="18"/>
                <w:szCs w:val="18"/>
              </w:rPr>
              <w:t>；</w:t>
            </w:r>
            <w:r>
              <w:rPr>
                <w:rFonts w:hint="eastAsia" w:ascii="宋体" w:hAnsi="宋体" w:eastAsia="宋体" w:cs="宋体"/>
                <w:color w:val="000000"/>
                <w:kern w:val="0"/>
                <w:sz w:val="18"/>
                <w:szCs w:val="18"/>
              </w:rPr>
              <w:t>Ⅳ</w:t>
            </w:r>
            <w:r>
              <w:rPr>
                <w:rFonts w:ascii="Times New Roman" w:hAnsi="Times New Roman" w:eastAsia="宋体"/>
                <w:color w:val="000000"/>
                <w:kern w:val="0"/>
                <w:sz w:val="18"/>
                <w:szCs w:val="18"/>
              </w:rPr>
              <w:t xml:space="preserve">类 </w:t>
            </w:r>
            <w:r>
              <w:rPr>
                <w:rFonts w:ascii="宋体" w:hAnsi="宋体" w:eastAsia="宋体"/>
                <w:color w:val="000000"/>
                <w:kern w:val="0"/>
                <w:sz w:val="18"/>
                <w:szCs w:val="18"/>
              </w:rPr>
              <w:t>□；</w:t>
            </w:r>
            <w:r>
              <w:rPr>
                <w:rFonts w:hint="eastAsia" w:ascii="宋体" w:hAnsi="宋体" w:eastAsia="宋体" w:cs="宋体"/>
                <w:color w:val="000000"/>
                <w:kern w:val="0"/>
                <w:sz w:val="18"/>
                <w:szCs w:val="18"/>
              </w:rPr>
              <w:t>Ⅴ</w:t>
            </w:r>
            <w:r>
              <w:rPr>
                <w:rFonts w:ascii="Times New Roman" w:hAnsi="Times New Roman" w:eastAsia="宋体"/>
                <w:color w:val="000000"/>
                <w:kern w:val="0"/>
                <w:sz w:val="18"/>
                <w:szCs w:val="18"/>
              </w:rPr>
              <w:t xml:space="preserve">类 </w:t>
            </w:r>
            <w:r>
              <w:rPr>
                <w:rFonts w:ascii="宋体" w:hAnsi="宋体" w:eastAsia="宋体"/>
                <w:color w:val="000000"/>
                <w:kern w:val="0"/>
                <w:sz w:val="18"/>
                <w:szCs w:val="18"/>
              </w:rPr>
              <w:t>□</w:t>
            </w:r>
          </w:p>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xml:space="preserve">近岸海域：第一类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第二类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第三类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第四类 </w:t>
            </w:r>
            <w:r>
              <w:rPr>
                <w:rFonts w:ascii="宋体" w:hAnsi="宋体" w:eastAsia="宋体"/>
                <w:color w:val="000000"/>
                <w:kern w:val="0"/>
                <w:sz w:val="18"/>
                <w:szCs w:val="18"/>
              </w:rPr>
              <w:t>□</w:t>
            </w:r>
          </w:p>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规划年评价标准（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评价时期</w:t>
            </w:r>
          </w:p>
        </w:tc>
        <w:tc>
          <w:tcPr>
            <w:tcW w:w="10242" w:type="dxa"/>
            <w:gridSpan w:val="12"/>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xml:space="preserve">丰水期 </w:t>
            </w:r>
            <w:r>
              <w:rPr>
                <w:rFonts w:ascii="Wingdings 2" w:hAnsi="Wingdings 2" w:eastAsia="Wingdings 2" w:cs="Wingdings 2"/>
                <w:color w:val="000000"/>
                <w:sz w:val="24"/>
                <w:szCs w:val="21"/>
                <w:lang w:bidi="ar"/>
              </w:rPr>
              <w:t></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平水期 </w:t>
            </w:r>
            <w:r>
              <w:rPr>
                <w:rFonts w:ascii="宋体" w:hAnsi="宋体" w:eastAsia="宋体"/>
                <w:color w:val="000000"/>
                <w:kern w:val="0"/>
                <w:sz w:val="18"/>
                <w:szCs w:val="18"/>
              </w:rPr>
              <w:t>□；</w:t>
            </w:r>
            <w:r>
              <w:rPr>
                <w:rFonts w:ascii="Times New Roman" w:hAnsi="Times New Roman" w:eastAsia="宋体"/>
                <w:color w:val="000000"/>
                <w:kern w:val="0"/>
                <w:sz w:val="18"/>
                <w:szCs w:val="18"/>
              </w:rPr>
              <w:t>枯水期</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冰封期 </w:t>
            </w:r>
            <w:r>
              <w:rPr>
                <w:rFonts w:ascii="宋体" w:hAnsi="宋体" w:eastAsia="宋体"/>
                <w:color w:val="000000"/>
                <w:kern w:val="0"/>
                <w:sz w:val="18"/>
                <w:szCs w:val="18"/>
              </w:rPr>
              <w:t>□</w:t>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 xml:space="preserve">春季 </w:t>
            </w:r>
            <w:r>
              <w:rPr>
                <w:rFonts w:ascii="宋体" w:hAnsi="宋体" w:eastAsia="宋体"/>
                <w:color w:val="000000"/>
                <w:kern w:val="0"/>
                <w:sz w:val="18"/>
                <w:szCs w:val="18"/>
              </w:rPr>
              <w:t>□；</w:t>
            </w:r>
            <w:r>
              <w:rPr>
                <w:rFonts w:ascii="Times New Roman" w:hAnsi="Times New Roman" w:eastAsia="宋体"/>
                <w:color w:val="000000"/>
                <w:kern w:val="0"/>
                <w:sz w:val="18"/>
                <w:szCs w:val="18"/>
              </w:rPr>
              <w:t>夏季</w:t>
            </w:r>
            <w:r>
              <w:rPr>
                <w:rFonts w:ascii="Wingdings 2" w:hAnsi="Wingdings 2" w:eastAsia="Wingdings 2" w:cs="Wingdings 2"/>
                <w:color w:val="000000"/>
                <w:sz w:val="24"/>
                <w:szCs w:val="21"/>
                <w:lang w:bidi="ar"/>
              </w:rPr>
              <w:t></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秋季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冬季 </w:t>
            </w:r>
            <w:r>
              <w:rPr>
                <w:rFonts w:ascii="宋体" w:hAnsi="宋体"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604"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评价结论</w:t>
            </w:r>
          </w:p>
        </w:tc>
        <w:tc>
          <w:tcPr>
            <w:tcW w:w="8809" w:type="dxa"/>
            <w:gridSpan w:val="11"/>
            <w:noWrap w:val="0"/>
            <w:vAlign w:val="center"/>
          </w:tcPr>
          <w:p>
            <w:pPr>
              <w:jc w:val="left"/>
              <w:rPr>
                <w:rFonts w:ascii="宋体" w:hAnsi="宋体" w:eastAsia="宋体"/>
                <w:color w:val="000000"/>
                <w:kern w:val="0"/>
                <w:sz w:val="18"/>
                <w:szCs w:val="18"/>
              </w:rPr>
            </w:pPr>
            <w:r>
              <w:rPr>
                <w:rFonts w:hint="eastAsia" w:ascii="Times New Roman" w:hAnsi="Times New Roman" w:eastAsia="宋体"/>
                <w:color w:val="000000"/>
                <w:kern w:val="0"/>
                <w:sz w:val="18"/>
                <w:szCs w:val="18"/>
              </w:rPr>
              <w:t>水环境功能区或水功能区、</w:t>
            </w:r>
            <w:r>
              <w:rPr>
                <w:rFonts w:ascii="Times New Roman" w:hAnsi="Times New Roman" w:eastAsia="宋体"/>
                <w:color w:val="000000"/>
                <w:kern w:val="0"/>
                <w:sz w:val="18"/>
                <w:szCs w:val="18"/>
              </w:rPr>
              <w:t xml:space="preserve">近岸海域环境功能区水质达标状况 </w:t>
            </w:r>
            <w:r>
              <w:rPr>
                <w:rFonts w:ascii="宋体" w:hAnsi="宋体" w:eastAsia="宋体"/>
                <w:color w:val="000000"/>
                <w:kern w:val="0"/>
                <w:sz w:val="18"/>
                <w:szCs w:val="18"/>
              </w:rPr>
              <w:t>：</w:t>
            </w:r>
            <w:r>
              <w:rPr>
                <w:rFonts w:ascii="Times New Roman" w:hAnsi="Times New Roman" w:eastAsia="宋体"/>
                <w:color w:val="000000"/>
                <w:kern w:val="0"/>
                <w:sz w:val="18"/>
                <w:szCs w:val="18"/>
              </w:rPr>
              <w:t>达标</w:t>
            </w:r>
            <w:r>
              <w:rPr>
                <w:rFonts w:ascii="Wingdings 2" w:hAnsi="Wingdings 2" w:eastAsia="Wingdings 2" w:cs="Wingdings 2"/>
                <w:color w:val="000000"/>
                <w:sz w:val="24"/>
                <w:szCs w:val="21"/>
                <w:lang w:bidi="ar"/>
              </w:rPr>
              <w:t></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不达标 </w:t>
            </w:r>
            <w:r>
              <w:rPr>
                <w:rFonts w:ascii="宋体" w:hAnsi="宋体" w:eastAsia="宋体"/>
                <w:color w:val="000000"/>
                <w:kern w:val="0"/>
                <w:sz w:val="18"/>
                <w:szCs w:val="18"/>
              </w:rPr>
              <w:t>□</w:t>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水环境控制单元</w:t>
            </w:r>
            <w:r>
              <w:rPr>
                <w:rFonts w:hint="eastAsia" w:ascii="Times New Roman" w:hAnsi="Times New Roman" w:eastAsia="宋体"/>
                <w:color w:val="000000"/>
                <w:kern w:val="0"/>
                <w:sz w:val="18"/>
                <w:szCs w:val="18"/>
              </w:rPr>
              <w:t>或</w:t>
            </w:r>
            <w:r>
              <w:rPr>
                <w:rFonts w:ascii="Times New Roman" w:hAnsi="Times New Roman" w:eastAsia="宋体"/>
                <w:color w:val="000000"/>
                <w:kern w:val="0"/>
                <w:sz w:val="18"/>
                <w:szCs w:val="18"/>
              </w:rPr>
              <w:t xml:space="preserve">断面水质达标状况 </w:t>
            </w:r>
            <w:r>
              <w:rPr>
                <w:rFonts w:ascii="宋体" w:hAnsi="宋体" w:eastAsia="宋体"/>
                <w:color w:val="000000"/>
                <w:kern w:val="0"/>
                <w:sz w:val="18"/>
                <w:szCs w:val="18"/>
              </w:rPr>
              <w:t>：</w:t>
            </w:r>
            <w:r>
              <w:rPr>
                <w:rFonts w:ascii="Times New Roman" w:hAnsi="Times New Roman" w:eastAsia="宋体"/>
                <w:color w:val="000000"/>
                <w:kern w:val="0"/>
                <w:sz w:val="18"/>
                <w:szCs w:val="18"/>
              </w:rPr>
              <w:t>达标</w:t>
            </w:r>
            <w:r>
              <w:rPr>
                <w:rFonts w:ascii="Wingdings 2" w:hAnsi="Wingdings 2" w:eastAsia="Wingdings 2" w:cs="Wingdings 2"/>
                <w:color w:val="000000"/>
                <w:sz w:val="24"/>
                <w:szCs w:val="21"/>
                <w:lang w:bidi="ar"/>
              </w:rPr>
              <w:t></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不达标 </w:t>
            </w:r>
            <w:r>
              <w:rPr>
                <w:rFonts w:ascii="宋体" w:hAnsi="宋体" w:eastAsia="宋体"/>
                <w:color w:val="000000"/>
                <w:kern w:val="0"/>
                <w:sz w:val="18"/>
                <w:szCs w:val="18"/>
              </w:rPr>
              <w:t>□</w:t>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 xml:space="preserve">水环境保护目标质量状况 </w:t>
            </w:r>
            <w:r>
              <w:rPr>
                <w:rFonts w:ascii="宋体" w:hAnsi="宋体" w:eastAsia="宋体"/>
                <w:color w:val="000000"/>
                <w:kern w:val="0"/>
                <w:sz w:val="18"/>
                <w:szCs w:val="18"/>
              </w:rPr>
              <w:t>：</w:t>
            </w:r>
            <w:r>
              <w:rPr>
                <w:rFonts w:ascii="Times New Roman" w:hAnsi="Times New Roman" w:eastAsia="宋体"/>
                <w:color w:val="000000"/>
                <w:kern w:val="0"/>
                <w:sz w:val="18"/>
                <w:szCs w:val="18"/>
              </w:rPr>
              <w:t>达标</w:t>
            </w:r>
            <w:r>
              <w:rPr>
                <w:rFonts w:ascii="Wingdings 2" w:hAnsi="Wingdings 2" w:eastAsia="Wingdings 2" w:cs="Wingdings 2"/>
                <w:color w:val="000000"/>
                <w:sz w:val="24"/>
                <w:szCs w:val="21"/>
                <w:lang w:bidi="ar"/>
              </w:rPr>
              <w:t></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不达标 </w:t>
            </w:r>
            <w:r>
              <w:rPr>
                <w:rFonts w:ascii="宋体" w:hAnsi="宋体" w:eastAsia="宋体"/>
                <w:color w:val="000000"/>
                <w:kern w:val="0"/>
                <w:sz w:val="18"/>
                <w:szCs w:val="18"/>
              </w:rPr>
              <w:t>□</w:t>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对照断面、控制断面等</w:t>
            </w:r>
            <w:r>
              <w:rPr>
                <w:rFonts w:hint="eastAsia" w:ascii="Times New Roman" w:hAnsi="Times New Roman" w:eastAsia="宋体"/>
                <w:color w:val="000000"/>
                <w:kern w:val="0"/>
                <w:sz w:val="18"/>
                <w:szCs w:val="18"/>
              </w:rPr>
              <w:t>代表性</w:t>
            </w:r>
            <w:r>
              <w:rPr>
                <w:rFonts w:ascii="Times New Roman" w:hAnsi="Times New Roman" w:eastAsia="宋体"/>
                <w:color w:val="000000"/>
                <w:kern w:val="0"/>
                <w:sz w:val="18"/>
                <w:szCs w:val="18"/>
              </w:rPr>
              <w:t xml:space="preserve">断面的水质状况 </w:t>
            </w:r>
            <w:r>
              <w:rPr>
                <w:rFonts w:ascii="宋体" w:hAnsi="宋体" w:eastAsia="宋体"/>
                <w:color w:val="000000"/>
                <w:kern w:val="0"/>
                <w:sz w:val="18"/>
                <w:szCs w:val="18"/>
              </w:rPr>
              <w:t>：</w:t>
            </w:r>
            <w:r>
              <w:rPr>
                <w:rFonts w:ascii="Times New Roman" w:hAnsi="Times New Roman" w:eastAsia="宋体"/>
                <w:color w:val="000000"/>
                <w:kern w:val="0"/>
                <w:sz w:val="18"/>
                <w:szCs w:val="18"/>
              </w:rPr>
              <w:t>达标</w:t>
            </w:r>
            <w:r>
              <w:rPr>
                <w:rFonts w:ascii="Wingdings 2" w:hAnsi="Wingdings 2" w:eastAsia="Wingdings 2" w:cs="Wingdings 2"/>
                <w:color w:val="000000"/>
                <w:sz w:val="24"/>
                <w:szCs w:val="21"/>
                <w:lang w:bidi="ar"/>
              </w:rPr>
              <w:t></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不达标 </w:t>
            </w:r>
            <w:r>
              <w:rPr>
                <w:rFonts w:ascii="宋体" w:hAnsi="宋体" w:eastAsia="宋体"/>
                <w:color w:val="000000"/>
                <w:kern w:val="0"/>
                <w:sz w:val="18"/>
                <w:szCs w:val="18"/>
              </w:rPr>
              <w:t>□</w:t>
            </w:r>
          </w:p>
          <w:p>
            <w:pPr>
              <w:jc w:val="left"/>
              <w:rPr>
                <w:rFonts w:ascii="宋体" w:hAnsi="宋体" w:eastAsia="宋体"/>
                <w:color w:val="000000"/>
                <w:kern w:val="0"/>
                <w:sz w:val="18"/>
                <w:szCs w:val="18"/>
              </w:rPr>
            </w:pPr>
            <w:r>
              <w:rPr>
                <w:rFonts w:ascii="Times New Roman" w:hAnsi="Times New Roman" w:eastAsia="宋体"/>
                <w:color w:val="000000"/>
                <w:kern w:val="0"/>
                <w:sz w:val="18"/>
                <w:szCs w:val="18"/>
              </w:rPr>
              <w:t>底泥污染评价</w:t>
            </w:r>
            <w:r>
              <w:rPr>
                <w:rFonts w:ascii="Wingdings 2" w:hAnsi="Wingdings 2" w:eastAsia="Wingdings 2" w:cs="Wingdings 2"/>
                <w:color w:val="000000"/>
                <w:sz w:val="24"/>
                <w:szCs w:val="21"/>
                <w:lang w:bidi="ar"/>
              </w:rPr>
              <w:t></w:t>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水资源</w:t>
            </w:r>
            <w:r>
              <w:rPr>
                <w:rFonts w:hint="eastAsia" w:ascii="Times New Roman" w:hAnsi="Times New Roman" w:eastAsia="宋体"/>
                <w:color w:val="000000"/>
                <w:kern w:val="0"/>
                <w:sz w:val="18"/>
                <w:szCs w:val="18"/>
              </w:rPr>
              <w:t>与</w:t>
            </w:r>
            <w:r>
              <w:rPr>
                <w:rFonts w:ascii="Times New Roman" w:hAnsi="Times New Roman" w:eastAsia="宋体"/>
                <w:color w:val="000000"/>
                <w:kern w:val="0"/>
                <w:sz w:val="18"/>
                <w:szCs w:val="18"/>
              </w:rPr>
              <w:t>开发利用程度</w:t>
            </w:r>
            <w:r>
              <w:rPr>
                <w:rFonts w:hint="eastAsia" w:ascii="Times New Roman" w:hAnsi="Times New Roman" w:eastAsia="宋体"/>
                <w:color w:val="000000"/>
                <w:kern w:val="0"/>
                <w:sz w:val="18"/>
                <w:szCs w:val="18"/>
              </w:rPr>
              <w:t>及其</w:t>
            </w:r>
            <w:r>
              <w:rPr>
                <w:rFonts w:ascii="Times New Roman" w:hAnsi="Times New Roman" w:eastAsia="宋体"/>
                <w:color w:val="000000"/>
                <w:kern w:val="0"/>
                <w:sz w:val="18"/>
                <w:szCs w:val="18"/>
              </w:rPr>
              <w:t xml:space="preserve">水文情势评价 </w:t>
            </w:r>
            <w:r>
              <w:rPr>
                <w:rFonts w:ascii="宋体" w:hAnsi="宋体" w:eastAsia="宋体"/>
                <w:color w:val="000000"/>
                <w:kern w:val="0"/>
                <w:sz w:val="18"/>
                <w:szCs w:val="18"/>
              </w:rPr>
              <w:t>□</w:t>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 xml:space="preserve">水环境质量回顾评价 </w:t>
            </w:r>
            <w:r>
              <w:rPr>
                <w:rFonts w:ascii="宋体" w:hAnsi="宋体" w:eastAsia="宋体"/>
                <w:color w:val="000000"/>
                <w:kern w:val="0"/>
                <w:sz w:val="18"/>
                <w:szCs w:val="18"/>
              </w:rPr>
              <w:t>□</w:t>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流域（区域）水资源（</w:t>
            </w:r>
            <w:r>
              <w:rPr>
                <w:rFonts w:hint="eastAsia" w:ascii="Times New Roman" w:hAnsi="Times New Roman" w:eastAsia="宋体"/>
                <w:color w:val="000000"/>
                <w:kern w:val="0"/>
                <w:sz w:val="18"/>
                <w:szCs w:val="18"/>
              </w:rPr>
              <w:t>包括</w:t>
            </w:r>
            <w:r>
              <w:rPr>
                <w:rFonts w:ascii="Times New Roman" w:hAnsi="Times New Roman" w:eastAsia="宋体"/>
                <w:color w:val="000000"/>
                <w:kern w:val="0"/>
                <w:sz w:val="18"/>
                <w:szCs w:val="18"/>
              </w:rPr>
              <w:t>水能资源）</w:t>
            </w:r>
            <w:r>
              <w:rPr>
                <w:rFonts w:hint="eastAsia" w:ascii="Times New Roman" w:hAnsi="Times New Roman" w:eastAsia="宋体"/>
                <w:color w:val="000000"/>
                <w:kern w:val="0"/>
                <w:sz w:val="18"/>
                <w:szCs w:val="18"/>
              </w:rPr>
              <w:t>与</w:t>
            </w:r>
            <w:r>
              <w:rPr>
                <w:rFonts w:ascii="Times New Roman" w:hAnsi="Times New Roman" w:eastAsia="宋体"/>
                <w:color w:val="000000"/>
                <w:kern w:val="0"/>
                <w:sz w:val="18"/>
                <w:szCs w:val="18"/>
              </w:rPr>
              <w:t xml:space="preserve">开发利用总体状况、生态流量管理要求与现状满足程度、建设项目占用水域空间的水流状况与河湖演变状况 </w:t>
            </w:r>
            <w:r>
              <w:rPr>
                <w:rFonts w:ascii="宋体" w:hAnsi="宋体" w:eastAsia="宋体"/>
                <w:color w:val="000000"/>
                <w:kern w:val="0"/>
                <w:sz w:val="18"/>
                <w:szCs w:val="18"/>
              </w:rPr>
              <w:t>□</w:t>
            </w:r>
          </w:p>
          <w:p>
            <w:pPr>
              <w:jc w:val="left"/>
              <w:rPr>
                <w:rFonts w:ascii="Times New Roman" w:hAnsi="Times New Roman" w:eastAsia="宋体"/>
                <w:color w:val="000000"/>
                <w:kern w:val="0"/>
                <w:sz w:val="18"/>
                <w:szCs w:val="18"/>
              </w:rPr>
            </w:pPr>
            <w:r>
              <w:rPr>
                <w:rFonts w:hint="eastAsia" w:ascii="宋体" w:hAnsi="宋体" w:eastAsia="宋体"/>
                <w:color w:val="000000"/>
                <w:kern w:val="0"/>
                <w:sz w:val="18"/>
                <w:szCs w:val="18"/>
              </w:rPr>
              <w:t>依托污水处理设施稳定达标排放评价</w:t>
            </w:r>
            <w:r>
              <w:rPr>
                <w:rFonts w:ascii="Wingdings 2" w:hAnsi="Wingdings 2" w:eastAsia="Wingdings 2" w:cs="Wingdings 2"/>
                <w:color w:val="000000"/>
                <w:sz w:val="24"/>
                <w:szCs w:val="21"/>
                <w:lang w:bidi="ar"/>
              </w:rPr>
              <w:sym w:font="Wingdings 2" w:char="0052"/>
            </w:r>
          </w:p>
        </w:tc>
        <w:tc>
          <w:tcPr>
            <w:tcW w:w="1433" w:type="dxa"/>
            <w:noWrap w:val="0"/>
            <w:vAlign w:val="center"/>
          </w:tcPr>
          <w:p>
            <w:pPr>
              <w:jc w:val="left"/>
              <w:rPr>
                <w:rFonts w:ascii="宋体" w:hAnsi="宋体" w:eastAsia="宋体"/>
                <w:color w:val="000000"/>
                <w:kern w:val="0"/>
                <w:sz w:val="18"/>
                <w:szCs w:val="18"/>
              </w:rPr>
            </w:pPr>
            <w:r>
              <w:rPr>
                <w:rFonts w:ascii="Times New Roman" w:hAnsi="Times New Roman" w:eastAsia="宋体"/>
                <w:color w:val="000000"/>
                <w:kern w:val="0"/>
                <w:sz w:val="18"/>
                <w:szCs w:val="18"/>
              </w:rPr>
              <w:t>达标</w:t>
            </w:r>
            <w:r>
              <w:rPr>
                <w:rFonts w:hint="eastAsia" w:ascii="Times New Roman" w:hAnsi="Times New Roman" w:eastAsia="宋体"/>
                <w:color w:val="000000"/>
                <w:kern w:val="0"/>
                <w:sz w:val="18"/>
                <w:szCs w:val="18"/>
              </w:rPr>
              <w:t>区</w:t>
            </w:r>
            <w:r>
              <w:rPr>
                <w:rFonts w:ascii="Wingdings 2" w:hAnsi="Wingdings 2" w:eastAsia="Wingdings 2" w:cs="Wingdings 2"/>
                <w:color w:val="000000"/>
                <w:sz w:val="24"/>
                <w:szCs w:val="21"/>
                <w:lang w:bidi="ar"/>
              </w:rPr>
              <w:t></w:t>
            </w:r>
          </w:p>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不达标</w:t>
            </w:r>
            <w:r>
              <w:rPr>
                <w:rFonts w:hint="eastAsia" w:ascii="Times New Roman" w:hAnsi="Times New Roman" w:eastAsia="宋体"/>
                <w:color w:val="000000"/>
                <w:kern w:val="0"/>
                <w:sz w:val="18"/>
                <w:szCs w:val="18"/>
              </w:rPr>
              <w:t>区</w:t>
            </w:r>
            <w:r>
              <w:rPr>
                <w:rFonts w:ascii="Times New Roman" w:hAnsi="Times New Roman" w:eastAsia="宋体"/>
                <w:color w:val="000000"/>
                <w:kern w:val="0"/>
                <w:sz w:val="18"/>
                <w:szCs w:val="18"/>
              </w:rPr>
              <w:t xml:space="preserve"> </w:t>
            </w:r>
            <w:r>
              <w:rPr>
                <w:rFonts w:ascii="宋体" w:hAnsi="宋体"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833" w:type="dxa"/>
            <w:vMerge w:val="restart"/>
            <w:noWrap/>
            <w:textDirection w:val="tbRlV"/>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影响预测</w:t>
            </w: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预测范围</w:t>
            </w:r>
          </w:p>
        </w:tc>
        <w:tc>
          <w:tcPr>
            <w:tcW w:w="10242" w:type="dxa"/>
            <w:gridSpan w:val="12"/>
            <w:noWrap/>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河流：长度（1000）km；湖库、河口及近岸海域：面积（   ）km</w:t>
            </w:r>
            <w:r>
              <w:rPr>
                <w:rFonts w:ascii="Times New Roman" w:hAnsi="Times New Roman" w:eastAsia="宋体"/>
                <w:color w:val="000000"/>
                <w:kern w:val="0"/>
                <w:sz w:val="18"/>
                <w:szCs w:val="18"/>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预测因子</w:t>
            </w:r>
          </w:p>
        </w:tc>
        <w:tc>
          <w:tcPr>
            <w:tcW w:w="10242" w:type="dxa"/>
            <w:gridSpan w:val="12"/>
            <w:noWrap/>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（Mn）</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预测时期</w:t>
            </w:r>
          </w:p>
        </w:tc>
        <w:tc>
          <w:tcPr>
            <w:tcW w:w="10242" w:type="dxa"/>
            <w:gridSpan w:val="12"/>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xml:space="preserve">丰水期 </w:t>
            </w:r>
            <w:r>
              <w:rPr>
                <w:rFonts w:ascii="Wingdings 2" w:hAnsi="Wingdings 2" w:eastAsia="Wingdings 2" w:cs="Wingdings 2"/>
                <w:color w:val="000000"/>
                <w:sz w:val="24"/>
                <w:szCs w:val="21"/>
                <w:lang w:bidi="ar"/>
              </w:rPr>
              <w:sym w:font="Wingdings 2" w:char="00A3"/>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平水期 </w:t>
            </w:r>
            <w:r>
              <w:rPr>
                <w:rFonts w:ascii="宋体" w:hAnsi="宋体" w:eastAsia="宋体"/>
                <w:color w:val="000000"/>
                <w:kern w:val="0"/>
                <w:sz w:val="18"/>
                <w:szCs w:val="18"/>
              </w:rPr>
              <w:t>□；</w:t>
            </w:r>
            <w:r>
              <w:rPr>
                <w:rFonts w:ascii="Times New Roman" w:hAnsi="Times New Roman" w:eastAsia="宋体"/>
                <w:color w:val="000000"/>
                <w:kern w:val="0"/>
                <w:sz w:val="18"/>
                <w:szCs w:val="18"/>
              </w:rPr>
              <w:t>枯水期</w:t>
            </w:r>
            <w:r>
              <w:rPr>
                <w:rFonts w:ascii="宋体" w:hAnsi="宋体" w:eastAsia="宋体"/>
                <w:color w:val="000000"/>
                <w:kern w:val="0"/>
                <w:sz w:val="18"/>
                <w:szCs w:val="18"/>
              </w:rPr>
              <w:sym w:font="Wingdings 2" w:char="0052"/>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冰封期 </w:t>
            </w:r>
            <w:r>
              <w:rPr>
                <w:rFonts w:ascii="宋体" w:hAnsi="宋体" w:eastAsia="宋体"/>
                <w:color w:val="000000"/>
                <w:kern w:val="0"/>
                <w:sz w:val="18"/>
                <w:szCs w:val="18"/>
              </w:rPr>
              <w:t>□</w:t>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 xml:space="preserve">春季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夏季 </w:t>
            </w:r>
            <w:r>
              <w:rPr>
                <w:rFonts w:ascii="Wingdings 2" w:hAnsi="Wingdings 2" w:eastAsia="Wingdings 2" w:cs="Wingdings 2"/>
                <w:color w:val="000000"/>
                <w:sz w:val="24"/>
                <w:szCs w:val="21"/>
                <w:lang w:bidi="ar"/>
              </w:rPr>
              <w:t></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秋季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冬季 </w:t>
            </w:r>
            <w:r>
              <w:rPr>
                <w:rFonts w:ascii="宋体" w:hAnsi="宋体" w:eastAsia="宋体"/>
                <w:color w:val="000000"/>
                <w:kern w:val="0"/>
                <w:sz w:val="18"/>
                <w:szCs w:val="18"/>
              </w:rPr>
              <w:t>□</w:t>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 xml:space="preserve">设计水文条件 </w:t>
            </w:r>
            <w:r>
              <w:rPr>
                <w:rFonts w:ascii="宋体" w:hAnsi="宋体"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预测情景</w:t>
            </w:r>
          </w:p>
        </w:tc>
        <w:tc>
          <w:tcPr>
            <w:tcW w:w="10242" w:type="dxa"/>
            <w:gridSpan w:val="12"/>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xml:space="preserve">建设期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生产运行期 </w:t>
            </w:r>
            <w:r>
              <w:rPr>
                <w:rFonts w:ascii="Wingdings 2" w:hAnsi="Wingdings 2" w:eastAsia="Wingdings 2" w:cs="Wingdings 2"/>
                <w:color w:val="000000"/>
                <w:sz w:val="24"/>
                <w:szCs w:val="21"/>
                <w:lang w:bidi="ar"/>
              </w:rPr>
              <w:sym w:font="Wingdings 2" w:char="00A3"/>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服务期满后 </w:t>
            </w:r>
            <w:r>
              <w:rPr>
                <w:rFonts w:ascii="宋体" w:hAnsi="宋体" w:eastAsia="宋体"/>
                <w:color w:val="000000"/>
                <w:kern w:val="0"/>
                <w:sz w:val="18"/>
                <w:szCs w:val="18"/>
              </w:rPr>
              <w:t>□</w:t>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 xml:space="preserve">正常工况 </w:t>
            </w:r>
            <w:r>
              <w:rPr>
                <w:rFonts w:ascii="Wingdings 2" w:hAnsi="Wingdings 2" w:eastAsia="Wingdings 2" w:cs="Wingdings 2"/>
                <w:color w:val="000000"/>
                <w:sz w:val="24"/>
                <w:szCs w:val="21"/>
                <w:lang w:bidi="ar"/>
              </w:rPr>
              <w:sym w:font="Wingdings 2" w:char="00A3"/>
            </w:r>
            <w:r>
              <w:rPr>
                <w:rFonts w:ascii="宋体" w:hAnsi="宋体" w:eastAsia="宋体"/>
                <w:color w:val="000000"/>
                <w:kern w:val="0"/>
                <w:sz w:val="18"/>
                <w:szCs w:val="18"/>
              </w:rPr>
              <w:t>；</w:t>
            </w:r>
            <w:r>
              <w:rPr>
                <w:rFonts w:ascii="Times New Roman" w:hAnsi="Times New Roman" w:eastAsia="宋体"/>
                <w:color w:val="000000"/>
                <w:kern w:val="0"/>
                <w:sz w:val="18"/>
                <w:szCs w:val="18"/>
              </w:rPr>
              <w:t>非正常工况</w:t>
            </w:r>
            <w:r>
              <w:rPr>
                <w:rFonts w:ascii="Wingdings 2" w:hAnsi="Wingdings 2" w:eastAsia="Wingdings 2" w:cs="Wingdings 2"/>
                <w:color w:val="000000"/>
                <w:sz w:val="24"/>
                <w:szCs w:val="21"/>
                <w:lang w:bidi="ar"/>
              </w:rPr>
              <w:sym w:font="Wingdings 2" w:char="00A3"/>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 xml:space="preserve">污染控制和减缓措施方案 </w:t>
            </w:r>
            <w:r>
              <w:rPr>
                <w:rFonts w:ascii="宋体" w:hAnsi="宋体" w:eastAsia="宋体"/>
                <w:color w:val="000000"/>
                <w:kern w:val="0"/>
                <w:sz w:val="18"/>
                <w:szCs w:val="18"/>
              </w:rPr>
              <w:t>□</w:t>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 xml:space="preserve">区（流）域环境质量改善目标要求情景 </w:t>
            </w:r>
            <w:r>
              <w:rPr>
                <w:rFonts w:ascii="宋体" w:hAnsi="宋体"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预测方法</w:t>
            </w:r>
          </w:p>
        </w:tc>
        <w:tc>
          <w:tcPr>
            <w:tcW w:w="10242" w:type="dxa"/>
            <w:gridSpan w:val="12"/>
            <w:noWrap/>
            <w:vAlign w:val="center"/>
          </w:tcPr>
          <w:p>
            <w:pPr>
              <w:rPr>
                <w:rFonts w:ascii="宋体" w:hAnsi="宋体" w:eastAsia="宋体"/>
                <w:color w:val="000000"/>
                <w:kern w:val="0"/>
                <w:sz w:val="18"/>
                <w:szCs w:val="18"/>
              </w:rPr>
            </w:pPr>
            <w:r>
              <w:rPr>
                <w:rFonts w:ascii="Times New Roman" w:hAnsi="Times New Roman" w:eastAsia="宋体"/>
                <w:color w:val="000000"/>
                <w:kern w:val="0"/>
                <w:sz w:val="18"/>
                <w:szCs w:val="18"/>
              </w:rPr>
              <w:t xml:space="preserve">数值解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解析解 </w:t>
            </w:r>
            <w:r>
              <w:rPr>
                <w:rFonts w:ascii="Wingdings 2" w:hAnsi="Wingdings 2" w:eastAsia="Wingdings 2" w:cs="Wingdings 2"/>
                <w:color w:val="000000"/>
                <w:sz w:val="24"/>
                <w:szCs w:val="21"/>
                <w:lang w:bidi="ar"/>
              </w:rPr>
              <w:sym w:font="Wingdings 2" w:char="00A3"/>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其他 </w:t>
            </w:r>
            <w:r>
              <w:rPr>
                <w:rFonts w:ascii="宋体" w:hAnsi="宋体" w:eastAsia="宋体"/>
                <w:color w:val="000000"/>
                <w:kern w:val="0"/>
                <w:sz w:val="18"/>
                <w:szCs w:val="18"/>
              </w:rPr>
              <w:t>□</w:t>
            </w:r>
          </w:p>
          <w:p>
            <w:pPr>
              <w:rPr>
                <w:rFonts w:ascii="Times New Roman" w:hAnsi="Times New Roman" w:eastAsia="宋体"/>
                <w:color w:val="000000"/>
                <w:kern w:val="0"/>
                <w:sz w:val="18"/>
                <w:szCs w:val="18"/>
              </w:rPr>
            </w:pPr>
            <w:r>
              <w:rPr>
                <w:rFonts w:hint="eastAsia" w:ascii="Times New Roman" w:hAnsi="Times New Roman" w:eastAsia="宋体"/>
                <w:color w:val="000000"/>
                <w:kern w:val="0"/>
                <w:sz w:val="18"/>
                <w:szCs w:val="18"/>
              </w:rPr>
              <w:t xml:space="preserve">导则推荐模式 </w:t>
            </w:r>
            <w:r>
              <w:rPr>
                <w:rFonts w:ascii="Wingdings 2" w:hAnsi="Wingdings 2" w:eastAsia="Wingdings 2" w:cs="Wingdings 2"/>
                <w:color w:val="000000"/>
                <w:sz w:val="24"/>
                <w:szCs w:val="21"/>
                <w:lang w:bidi="ar"/>
              </w:rPr>
              <w:sym w:font="Wingdings 2" w:char="00A3"/>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其他 </w:t>
            </w:r>
            <w:r>
              <w:rPr>
                <w:rFonts w:ascii="宋体" w:hAnsi="宋体"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34" w:hRule="atLeast"/>
          <w:jc w:val="center"/>
        </w:trPr>
        <w:tc>
          <w:tcPr>
            <w:tcW w:w="833" w:type="dxa"/>
            <w:vMerge w:val="restart"/>
            <w:noWrap/>
            <w:textDirection w:val="tbRlV"/>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影响评价</w:t>
            </w: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水污染控制和水环境影响减缓措施有效性评价</w:t>
            </w:r>
          </w:p>
        </w:tc>
        <w:tc>
          <w:tcPr>
            <w:tcW w:w="10242" w:type="dxa"/>
            <w:gridSpan w:val="12"/>
            <w:noWrap/>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xml:space="preserve">区（流）域水环境质量改善目标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替代削减源 </w:t>
            </w:r>
            <w:r>
              <w:rPr>
                <w:rFonts w:ascii="宋体" w:hAnsi="宋体"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71"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水环境影响评价</w:t>
            </w:r>
          </w:p>
        </w:tc>
        <w:tc>
          <w:tcPr>
            <w:tcW w:w="10242" w:type="dxa"/>
            <w:gridSpan w:val="12"/>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排</w:t>
            </w:r>
            <w:r>
              <w:rPr>
                <w:rFonts w:hint="eastAsia" w:ascii="Times New Roman" w:hAnsi="Times New Roman" w:eastAsia="宋体"/>
                <w:color w:val="000000"/>
                <w:kern w:val="0"/>
                <w:sz w:val="18"/>
                <w:szCs w:val="18"/>
              </w:rPr>
              <w:t>放</w:t>
            </w:r>
            <w:r>
              <w:rPr>
                <w:rFonts w:ascii="Times New Roman" w:hAnsi="Times New Roman" w:eastAsia="宋体"/>
                <w:color w:val="000000"/>
                <w:kern w:val="0"/>
                <w:sz w:val="18"/>
                <w:szCs w:val="18"/>
              </w:rPr>
              <w:t>口混合区</w:t>
            </w:r>
            <w:r>
              <w:rPr>
                <w:rFonts w:hint="eastAsia" w:ascii="Times New Roman" w:hAnsi="Times New Roman" w:eastAsia="宋体"/>
                <w:color w:val="000000"/>
                <w:kern w:val="0"/>
                <w:sz w:val="18"/>
                <w:szCs w:val="18"/>
              </w:rPr>
              <w:t>外满足水</w:t>
            </w:r>
            <w:r>
              <w:rPr>
                <w:rFonts w:ascii="Times New Roman" w:hAnsi="Times New Roman" w:eastAsia="宋体"/>
                <w:color w:val="000000"/>
                <w:kern w:val="0"/>
                <w:sz w:val="18"/>
                <w:szCs w:val="18"/>
              </w:rPr>
              <w:t xml:space="preserve">环境管理要求 </w:t>
            </w:r>
            <w:r>
              <w:rPr>
                <w:rFonts w:ascii="Wingdings 2" w:hAnsi="Wingdings 2" w:eastAsia="Wingdings 2" w:cs="Wingdings 2"/>
                <w:color w:val="000000"/>
                <w:sz w:val="24"/>
                <w:szCs w:val="21"/>
                <w:lang w:bidi="ar"/>
              </w:rPr>
              <w:sym w:font="Wingdings 2" w:char="00A3"/>
            </w:r>
            <w:r>
              <w:rPr>
                <w:rFonts w:ascii="Times New Roman" w:hAnsi="Times New Roman" w:eastAsia="宋体"/>
                <w:color w:val="000000"/>
                <w:kern w:val="0"/>
                <w:sz w:val="18"/>
                <w:szCs w:val="18"/>
              </w:rPr>
              <w:br w:type="textWrapping"/>
            </w:r>
            <w:r>
              <w:rPr>
                <w:rFonts w:hint="eastAsia" w:ascii="Times New Roman" w:hAnsi="Times New Roman" w:eastAsia="宋体"/>
                <w:color w:val="000000"/>
                <w:kern w:val="0"/>
                <w:sz w:val="18"/>
                <w:szCs w:val="18"/>
              </w:rPr>
              <w:t>水环境功能区或水功能区</w:t>
            </w:r>
            <w:r>
              <w:rPr>
                <w:rFonts w:ascii="Times New Roman" w:hAnsi="Times New Roman" w:eastAsia="宋体"/>
                <w:color w:val="000000"/>
                <w:kern w:val="0"/>
                <w:sz w:val="18"/>
                <w:szCs w:val="18"/>
              </w:rPr>
              <w:t xml:space="preserve">、近岸海域环境功能区水质达标 </w:t>
            </w:r>
            <w:r>
              <w:rPr>
                <w:rFonts w:ascii="Wingdings 2" w:hAnsi="Wingdings 2" w:eastAsia="Wingdings 2" w:cs="Wingdings 2"/>
                <w:color w:val="000000"/>
                <w:sz w:val="24"/>
                <w:szCs w:val="21"/>
                <w:lang w:bidi="ar"/>
              </w:rPr>
              <w:sym w:font="Wingdings 2" w:char="00A3"/>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满足水环境保护目标水域水环境质量要求</w:t>
            </w:r>
            <w:r>
              <w:rPr>
                <w:rFonts w:ascii="Wingdings 2" w:hAnsi="Wingdings 2" w:eastAsia="Wingdings 2" w:cs="Wingdings 2"/>
                <w:color w:val="000000"/>
                <w:sz w:val="24"/>
                <w:szCs w:val="21"/>
                <w:lang w:bidi="ar"/>
              </w:rPr>
              <w:sym w:font="Wingdings 2" w:char="00A3"/>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水环境控制单元</w:t>
            </w:r>
            <w:r>
              <w:rPr>
                <w:rFonts w:hint="eastAsia" w:ascii="Times New Roman" w:hAnsi="Times New Roman" w:eastAsia="宋体"/>
                <w:color w:val="000000"/>
                <w:kern w:val="0"/>
                <w:sz w:val="18"/>
                <w:szCs w:val="18"/>
              </w:rPr>
              <w:t>或</w:t>
            </w:r>
            <w:r>
              <w:rPr>
                <w:rFonts w:ascii="Times New Roman" w:hAnsi="Times New Roman" w:eastAsia="宋体"/>
                <w:color w:val="000000"/>
                <w:kern w:val="0"/>
                <w:sz w:val="18"/>
                <w:szCs w:val="18"/>
              </w:rPr>
              <w:t>断面水质达标</w:t>
            </w:r>
            <w:r>
              <w:rPr>
                <w:rFonts w:ascii="Wingdings 2" w:hAnsi="Wingdings 2" w:eastAsia="Wingdings 2" w:cs="Wingdings 2"/>
                <w:color w:val="000000"/>
                <w:sz w:val="24"/>
                <w:szCs w:val="21"/>
                <w:lang w:bidi="ar"/>
              </w:rPr>
              <w:sym w:font="Wingdings 2" w:char="00A3"/>
            </w:r>
            <w:r>
              <w:rPr>
                <w:rFonts w:ascii="宋体" w:hAnsi="宋体" w:eastAsia="宋体"/>
                <w:color w:val="000000"/>
                <w:kern w:val="0"/>
                <w:sz w:val="18"/>
                <w:szCs w:val="18"/>
              </w:rPr>
              <w:br w:type="textWrapping"/>
            </w:r>
            <w:r>
              <w:rPr>
                <w:rFonts w:ascii="Times New Roman" w:hAnsi="Times New Roman" w:eastAsia="宋体"/>
                <w:color w:val="000000"/>
                <w:kern w:val="0"/>
                <w:sz w:val="18"/>
                <w:szCs w:val="18"/>
              </w:rPr>
              <w:t>满足重点水污染物排放总量控制指标要求</w:t>
            </w:r>
            <w:r>
              <w:rPr>
                <w:rFonts w:hint="eastAsia" w:ascii="Times New Roman" w:hAnsi="Times New Roman" w:eastAsia="宋体"/>
                <w:color w:val="000000"/>
                <w:kern w:val="0"/>
                <w:sz w:val="18"/>
                <w:szCs w:val="18"/>
              </w:rPr>
              <w:t>，重点行业建设项目， 主要污染物排放满足等量或减量替代要求</w:t>
            </w:r>
            <w:r>
              <w:rPr>
                <w:rFonts w:ascii="Times New Roman" w:hAnsi="Times New Roman" w:eastAsia="宋体"/>
                <w:color w:val="000000"/>
                <w:kern w:val="0"/>
                <w:sz w:val="18"/>
                <w:szCs w:val="18"/>
              </w:rPr>
              <w:t xml:space="preserve"> </w:t>
            </w:r>
            <w:r>
              <w:rPr>
                <w:rFonts w:ascii="宋体" w:hAnsi="宋体" w:eastAsia="宋体"/>
                <w:color w:val="000000"/>
                <w:kern w:val="0"/>
                <w:sz w:val="18"/>
                <w:szCs w:val="18"/>
              </w:rPr>
              <w:t>□</w:t>
            </w:r>
          </w:p>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xml:space="preserve">满足区（流）域水环境质量改善目标要求 </w:t>
            </w:r>
            <w:r>
              <w:rPr>
                <w:rFonts w:ascii="宋体" w:hAnsi="宋体" w:eastAsia="宋体"/>
                <w:color w:val="000000"/>
                <w:kern w:val="0"/>
                <w:sz w:val="18"/>
                <w:szCs w:val="18"/>
              </w:rPr>
              <w:t>□</w:t>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水文要素影响型建设项目同时应包括水文情势变化评价、</w:t>
            </w:r>
            <w:r>
              <w:rPr>
                <w:rFonts w:hint="eastAsia" w:ascii="Times New Roman" w:hAnsi="Times New Roman" w:eastAsia="宋体"/>
                <w:color w:val="000000"/>
                <w:kern w:val="0"/>
                <w:sz w:val="18"/>
                <w:szCs w:val="18"/>
              </w:rPr>
              <w:t>主要水文特征值影响评价、</w:t>
            </w:r>
            <w:r>
              <w:rPr>
                <w:rFonts w:ascii="Times New Roman" w:hAnsi="Times New Roman" w:eastAsia="宋体"/>
                <w:color w:val="000000"/>
                <w:kern w:val="0"/>
                <w:sz w:val="18"/>
                <w:szCs w:val="18"/>
              </w:rPr>
              <w:t xml:space="preserve">生态流量符合性评价 </w:t>
            </w:r>
            <w:r>
              <w:rPr>
                <w:rFonts w:ascii="宋体" w:hAnsi="宋体" w:eastAsia="宋体"/>
                <w:color w:val="000000"/>
                <w:kern w:val="0"/>
                <w:sz w:val="18"/>
                <w:szCs w:val="18"/>
              </w:rPr>
              <w:t>□</w:t>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对于新设或调整入河（湖库、近岸海域）排放口的建设项目，应包括排</w:t>
            </w:r>
            <w:r>
              <w:rPr>
                <w:rFonts w:hint="eastAsia" w:ascii="Times New Roman" w:hAnsi="Times New Roman" w:eastAsia="宋体"/>
                <w:color w:val="000000"/>
                <w:kern w:val="0"/>
                <w:sz w:val="18"/>
                <w:szCs w:val="18"/>
              </w:rPr>
              <w:t>放</w:t>
            </w:r>
            <w:r>
              <w:rPr>
                <w:rFonts w:ascii="Times New Roman" w:hAnsi="Times New Roman" w:eastAsia="宋体"/>
                <w:color w:val="000000"/>
                <w:kern w:val="0"/>
                <w:sz w:val="18"/>
                <w:szCs w:val="18"/>
              </w:rPr>
              <w:t xml:space="preserve">口设置的环境合理性评价 </w:t>
            </w:r>
            <w:r>
              <w:rPr>
                <w:rFonts w:ascii="Wingdings 2" w:hAnsi="Wingdings 2" w:eastAsia="Wingdings 2" w:cs="Wingdings 2"/>
                <w:color w:val="000000"/>
                <w:sz w:val="24"/>
                <w:szCs w:val="21"/>
                <w:lang w:bidi="ar"/>
              </w:rPr>
              <w:sym w:font="Wingdings 2" w:char="00A3"/>
            </w:r>
            <w:r>
              <w:rPr>
                <w:rFonts w:ascii="Times New Roman" w:hAnsi="Times New Roman" w:eastAsia="宋体"/>
                <w:color w:val="000000"/>
                <w:kern w:val="0"/>
                <w:sz w:val="18"/>
                <w:szCs w:val="18"/>
              </w:rPr>
              <w:br w:type="textWrapping"/>
            </w:r>
            <w:r>
              <w:rPr>
                <w:rFonts w:ascii="Times New Roman" w:hAnsi="Times New Roman" w:eastAsia="宋体"/>
                <w:color w:val="000000"/>
                <w:kern w:val="0"/>
                <w:sz w:val="18"/>
                <w:szCs w:val="18"/>
              </w:rPr>
              <w:t>满足生态保护红线、水环境质量底线、资源利用上线和环境准入清单管理要求</w:t>
            </w:r>
            <w:r>
              <w:rPr>
                <w:rFonts w:ascii="Wingdings 2" w:hAnsi="Wingdings 2" w:eastAsia="Wingdings 2" w:cs="Wingdings 2"/>
                <w:color w:val="000000"/>
                <w:sz w:val="24"/>
                <w:szCs w:val="21"/>
                <w:lang w:bidi="ar"/>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vMerge w:val="restart"/>
            <w:noWrap w:val="0"/>
            <w:vAlign w:val="center"/>
          </w:tcPr>
          <w:p>
            <w:pPr>
              <w:jc w:val="center"/>
              <w:rPr>
                <w:rFonts w:ascii="Times New Roman" w:hAnsi="Times New Roman" w:eastAsia="宋体"/>
                <w:color w:val="000000"/>
                <w:kern w:val="0"/>
                <w:sz w:val="18"/>
                <w:szCs w:val="18"/>
              </w:rPr>
            </w:pPr>
            <w:r>
              <w:rPr>
                <w:rFonts w:hint="eastAsia" w:ascii="Times New Roman" w:hAnsi="Times New Roman" w:eastAsia="宋体"/>
                <w:color w:val="000000"/>
                <w:kern w:val="0"/>
                <w:sz w:val="18"/>
                <w:szCs w:val="18"/>
              </w:rPr>
              <w:t>污染源排放量</w:t>
            </w:r>
            <w:r>
              <w:rPr>
                <w:rFonts w:ascii="Times New Roman" w:hAnsi="Times New Roman" w:eastAsia="宋体"/>
                <w:color w:val="000000"/>
                <w:kern w:val="0"/>
                <w:sz w:val="18"/>
                <w:szCs w:val="18"/>
              </w:rPr>
              <w:t>核算</w:t>
            </w:r>
          </w:p>
        </w:tc>
        <w:tc>
          <w:tcPr>
            <w:tcW w:w="3414" w:type="dxa"/>
            <w:gridSpan w:val="3"/>
            <w:noWrap/>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污染物名称</w:t>
            </w:r>
          </w:p>
        </w:tc>
        <w:tc>
          <w:tcPr>
            <w:tcW w:w="3414" w:type="dxa"/>
            <w:gridSpan w:val="5"/>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排放量</w:t>
            </w:r>
            <w:r>
              <w:rPr>
                <w:rFonts w:hint="eastAsia" w:ascii="Times New Roman" w:hAnsi="Times New Roman" w:eastAsia="宋体"/>
                <w:color w:val="000000"/>
                <w:kern w:val="0"/>
                <w:sz w:val="18"/>
                <w:szCs w:val="18"/>
              </w:rPr>
              <w:t>/</w:t>
            </w:r>
            <w:r>
              <w:rPr>
                <w:rFonts w:ascii="Times New Roman" w:hAnsi="Times New Roman" w:eastAsia="宋体"/>
                <w:color w:val="000000"/>
                <w:kern w:val="0"/>
                <w:sz w:val="18"/>
                <w:szCs w:val="18"/>
              </w:rPr>
              <w:t>（</w:t>
            </w:r>
            <w:r>
              <w:rPr>
                <w:rFonts w:hint="eastAsia" w:ascii="宋体" w:hAnsi="宋体" w:eastAsia="宋体"/>
                <w:sz w:val="18"/>
                <w:szCs w:val="18"/>
              </w:rPr>
              <w:t>t/a</w:t>
            </w:r>
            <w:r>
              <w:rPr>
                <w:rFonts w:ascii="Times New Roman" w:hAnsi="Times New Roman" w:eastAsia="宋体"/>
                <w:color w:val="000000"/>
                <w:kern w:val="0"/>
                <w:sz w:val="18"/>
                <w:szCs w:val="18"/>
              </w:rPr>
              <w:t>）</w:t>
            </w:r>
          </w:p>
        </w:tc>
        <w:tc>
          <w:tcPr>
            <w:tcW w:w="3414" w:type="dxa"/>
            <w:gridSpan w:val="4"/>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排放浓度</w:t>
            </w:r>
            <w:r>
              <w:rPr>
                <w:rFonts w:hint="eastAsia" w:ascii="Times New Roman" w:hAnsi="Times New Roman" w:eastAsia="宋体"/>
                <w:color w:val="000000"/>
                <w:kern w:val="0"/>
                <w:sz w:val="18"/>
                <w:szCs w:val="18"/>
              </w:rPr>
              <w:t>/</w:t>
            </w:r>
            <w:r>
              <w:rPr>
                <w:rFonts w:ascii="Times New Roman" w:hAnsi="Times New Roman" w:eastAsia="宋体"/>
                <w:color w:val="000000"/>
                <w:kern w:val="0"/>
                <w:sz w:val="18"/>
                <w:szCs w:val="18"/>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vMerge w:val="continue"/>
            <w:noWrap w:val="0"/>
            <w:vAlign w:val="center"/>
          </w:tcPr>
          <w:p>
            <w:pPr>
              <w:jc w:val="center"/>
              <w:rPr>
                <w:rFonts w:ascii="Times New Roman" w:hAnsi="Times New Roman" w:eastAsia="宋体"/>
                <w:color w:val="000000"/>
                <w:kern w:val="0"/>
                <w:sz w:val="18"/>
                <w:szCs w:val="18"/>
              </w:rPr>
            </w:pPr>
          </w:p>
        </w:tc>
        <w:tc>
          <w:tcPr>
            <w:tcW w:w="3414" w:type="dxa"/>
            <w:gridSpan w:val="3"/>
            <w:noWrap/>
            <w:vAlign w:val="center"/>
          </w:tcPr>
          <w:p>
            <w:pPr>
              <w:jc w:val="center"/>
              <w:rPr>
                <w:rFonts w:ascii="Times New Roman" w:hAnsi="Times New Roman" w:eastAsia="宋体"/>
                <w:color w:val="000000"/>
                <w:kern w:val="0"/>
                <w:sz w:val="18"/>
                <w:szCs w:val="18"/>
              </w:rPr>
            </w:pPr>
          </w:p>
        </w:tc>
        <w:tc>
          <w:tcPr>
            <w:tcW w:w="3414" w:type="dxa"/>
            <w:gridSpan w:val="5"/>
            <w:noWrap w:val="0"/>
            <w:vAlign w:val="center"/>
          </w:tcPr>
          <w:p>
            <w:pPr>
              <w:jc w:val="center"/>
              <w:rPr>
                <w:rFonts w:ascii="Times New Roman" w:hAnsi="Times New Roman" w:eastAsia="宋体"/>
                <w:bCs/>
                <w:sz w:val="18"/>
                <w:szCs w:val="18"/>
              </w:rPr>
            </w:pPr>
          </w:p>
        </w:tc>
        <w:tc>
          <w:tcPr>
            <w:tcW w:w="3414" w:type="dxa"/>
            <w:gridSpan w:val="4"/>
            <w:noWrap w:val="0"/>
            <w:vAlign w:val="center"/>
          </w:tcPr>
          <w:p>
            <w:pPr>
              <w:jc w:val="center"/>
              <w:rPr>
                <w:rFonts w:ascii="Times New Roman" w:hAnsi="Times New Roman" w:eastAsia="宋体"/>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vMerge w:val="continue"/>
            <w:noWrap w:val="0"/>
            <w:vAlign w:val="center"/>
          </w:tcPr>
          <w:p>
            <w:pPr>
              <w:jc w:val="center"/>
              <w:rPr>
                <w:rFonts w:ascii="Times New Roman" w:hAnsi="Times New Roman" w:eastAsia="宋体"/>
                <w:color w:val="000000"/>
                <w:kern w:val="0"/>
                <w:sz w:val="18"/>
                <w:szCs w:val="18"/>
              </w:rPr>
            </w:pPr>
          </w:p>
        </w:tc>
        <w:tc>
          <w:tcPr>
            <w:tcW w:w="3414" w:type="dxa"/>
            <w:gridSpan w:val="3"/>
            <w:noWrap/>
            <w:vAlign w:val="center"/>
          </w:tcPr>
          <w:p>
            <w:pPr>
              <w:jc w:val="center"/>
              <w:rPr>
                <w:rFonts w:ascii="Times New Roman" w:hAnsi="Times New Roman" w:eastAsia="宋体"/>
                <w:color w:val="000000"/>
                <w:kern w:val="0"/>
                <w:sz w:val="18"/>
                <w:szCs w:val="18"/>
              </w:rPr>
            </w:pPr>
          </w:p>
        </w:tc>
        <w:tc>
          <w:tcPr>
            <w:tcW w:w="3414" w:type="dxa"/>
            <w:gridSpan w:val="5"/>
            <w:noWrap w:val="0"/>
            <w:vAlign w:val="center"/>
          </w:tcPr>
          <w:p>
            <w:pPr>
              <w:jc w:val="center"/>
              <w:rPr>
                <w:rFonts w:ascii="Times New Roman" w:hAnsi="Times New Roman" w:eastAsia="宋体"/>
                <w:bCs/>
                <w:sz w:val="18"/>
                <w:szCs w:val="18"/>
              </w:rPr>
            </w:pPr>
          </w:p>
        </w:tc>
        <w:tc>
          <w:tcPr>
            <w:tcW w:w="3414" w:type="dxa"/>
            <w:gridSpan w:val="4"/>
            <w:noWrap w:val="0"/>
            <w:vAlign w:val="center"/>
          </w:tcPr>
          <w:p>
            <w:pPr>
              <w:jc w:val="center"/>
              <w:rPr>
                <w:rFonts w:ascii="Times New Roman" w:hAnsi="Times New Roman" w:eastAsia="宋体"/>
                <w:color w:val="000000"/>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vMerge w:val="restart"/>
            <w:noWrap w:val="0"/>
            <w:vAlign w:val="center"/>
          </w:tcPr>
          <w:p>
            <w:pPr>
              <w:jc w:val="center"/>
              <w:rPr>
                <w:rFonts w:ascii="Times New Roman" w:hAnsi="Times New Roman" w:eastAsia="宋体"/>
                <w:color w:val="000000"/>
                <w:kern w:val="0"/>
                <w:sz w:val="18"/>
                <w:szCs w:val="18"/>
              </w:rPr>
            </w:pPr>
            <w:r>
              <w:rPr>
                <w:rFonts w:hint="eastAsia" w:ascii="Times New Roman" w:hAnsi="Times New Roman" w:eastAsia="宋体"/>
                <w:color w:val="000000"/>
                <w:kern w:val="0"/>
                <w:sz w:val="18"/>
                <w:szCs w:val="18"/>
              </w:rPr>
              <w:t>替代源排放情况</w:t>
            </w:r>
          </w:p>
        </w:tc>
        <w:tc>
          <w:tcPr>
            <w:tcW w:w="2048" w:type="dxa"/>
            <w:noWrap/>
            <w:vAlign w:val="center"/>
          </w:tcPr>
          <w:p>
            <w:pPr>
              <w:jc w:val="left"/>
              <w:rPr>
                <w:rFonts w:ascii="Times New Roman" w:hAnsi="Times New Roman" w:eastAsia="宋体"/>
                <w:color w:val="000000"/>
                <w:kern w:val="0"/>
                <w:sz w:val="18"/>
                <w:szCs w:val="18"/>
              </w:rPr>
            </w:pPr>
            <w:r>
              <w:rPr>
                <w:rFonts w:hint="eastAsia" w:ascii="Times New Roman" w:hAnsi="Times New Roman" w:eastAsia="宋体"/>
                <w:color w:val="000000"/>
                <w:kern w:val="0"/>
                <w:sz w:val="18"/>
                <w:szCs w:val="18"/>
              </w:rPr>
              <w:t>污染源名称</w:t>
            </w:r>
          </w:p>
        </w:tc>
        <w:tc>
          <w:tcPr>
            <w:tcW w:w="2048" w:type="dxa"/>
            <w:gridSpan w:val="3"/>
            <w:noWrap w:val="0"/>
            <w:vAlign w:val="center"/>
          </w:tcPr>
          <w:p>
            <w:pPr>
              <w:jc w:val="left"/>
              <w:rPr>
                <w:rFonts w:ascii="Times New Roman" w:hAnsi="Times New Roman" w:eastAsia="宋体"/>
                <w:color w:val="000000"/>
                <w:kern w:val="0"/>
                <w:sz w:val="18"/>
                <w:szCs w:val="18"/>
              </w:rPr>
            </w:pPr>
            <w:r>
              <w:rPr>
                <w:rFonts w:hint="eastAsia" w:ascii="Times New Roman" w:hAnsi="Times New Roman" w:eastAsia="宋体"/>
                <w:color w:val="000000"/>
                <w:kern w:val="0"/>
                <w:sz w:val="18"/>
                <w:szCs w:val="18"/>
              </w:rPr>
              <w:t>排污许可证编号</w:t>
            </w:r>
          </w:p>
        </w:tc>
        <w:tc>
          <w:tcPr>
            <w:tcW w:w="2049" w:type="dxa"/>
            <w:gridSpan w:val="2"/>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污染物名称</w:t>
            </w:r>
          </w:p>
        </w:tc>
        <w:tc>
          <w:tcPr>
            <w:tcW w:w="2048" w:type="dxa"/>
            <w:gridSpan w:val="3"/>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排放量</w:t>
            </w:r>
            <w:r>
              <w:rPr>
                <w:rFonts w:hint="eastAsia" w:ascii="Times New Roman" w:hAnsi="Times New Roman" w:eastAsia="宋体"/>
                <w:color w:val="000000"/>
                <w:kern w:val="0"/>
                <w:sz w:val="18"/>
                <w:szCs w:val="18"/>
              </w:rPr>
              <w:t>/</w:t>
            </w:r>
            <w:r>
              <w:rPr>
                <w:rFonts w:ascii="Times New Roman" w:hAnsi="Times New Roman" w:eastAsia="宋体"/>
                <w:color w:val="000000"/>
                <w:kern w:val="0"/>
                <w:sz w:val="18"/>
                <w:szCs w:val="18"/>
              </w:rPr>
              <w:t>（</w:t>
            </w:r>
            <w:r>
              <w:rPr>
                <w:rFonts w:hint="eastAsia" w:ascii="宋体" w:hAnsi="宋体" w:eastAsia="宋体"/>
                <w:sz w:val="18"/>
                <w:szCs w:val="18"/>
              </w:rPr>
              <w:t>t/a</w:t>
            </w:r>
            <w:r>
              <w:rPr>
                <w:rFonts w:ascii="Times New Roman" w:hAnsi="Times New Roman" w:eastAsia="宋体"/>
                <w:color w:val="000000"/>
                <w:kern w:val="0"/>
                <w:sz w:val="18"/>
                <w:szCs w:val="18"/>
              </w:rPr>
              <w:t>）</w:t>
            </w:r>
          </w:p>
        </w:tc>
        <w:tc>
          <w:tcPr>
            <w:tcW w:w="2049" w:type="dxa"/>
            <w:gridSpan w:val="3"/>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排放浓度</w:t>
            </w:r>
            <w:r>
              <w:rPr>
                <w:rFonts w:hint="eastAsia" w:ascii="Times New Roman" w:hAnsi="Times New Roman" w:eastAsia="宋体"/>
                <w:color w:val="000000"/>
                <w:kern w:val="0"/>
                <w:sz w:val="18"/>
                <w:szCs w:val="18"/>
              </w:rPr>
              <w:t>/</w:t>
            </w:r>
            <w:r>
              <w:rPr>
                <w:rFonts w:ascii="Times New Roman" w:hAnsi="Times New Roman" w:eastAsia="宋体"/>
                <w:color w:val="000000"/>
                <w:kern w:val="0"/>
                <w:sz w:val="18"/>
                <w:szCs w:val="18"/>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vMerge w:val="continue"/>
            <w:noWrap w:val="0"/>
            <w:vAlign w:val="center"/>
          </w:tcPr>
          <w:p>
            <w:pPr>
              <w:jc w:val="center"/>
              <w:rPr>
                <w:rFonts w:ascii="Times New Roman" w:hAnsi="Times New Roman" w:eastAsia="宋体"/>
                <w:color w:val="000000"/>
                <w:kern w:val="0"/>
                <w:sz w:val="18"/>
                <w:szCs w:val="18"/>
              </w:rPr>
            </w:pPr>
          </w:p>
        </w:tc>
        <w:tc>
          <w:tcPr>
            <w:tcW w:w="2048" w:type="dxa"/>
            <w:noWrap/>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w:t>
            </w:r>
          </w:p>
        </w:tc>
        <w:tc>
          <w:tcPr>
            <w:tcW w:w="2048" w:type="dxa"/>
            <w:gridSpan w:val="3"/>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w:t>
            </w:r>
          </w:p>
        </w:tc>
        <w:tc>
          <w:tcPr>
            <w:tcW w:w="2049" w:type="dxa"/>
            <w:gridSpan w:val="2"/>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w:t>
            </w:r>
          </w:p>
        </w:tc>
        <w:tc>
          <w:tcPr>
            <w:tcW w:w="2048" w:type="dxa"/>
            <w:gridSpan w:val="3"/>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w:t>
            </w:r>
          </w:p>
        </w:tc>
        <w:tc>
          <w:tcPr>
            <w:tcW w:w="2049" w:type="dxa"/>
            <w:gridSpan w:val="3"/>
            <w:noWrap w:val="0"/>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生态流量确定</w:t>
            </w:r>
          </w:p>
        </w:tc>
        <w:tc>
          <w:tcPr>
            <w:tcW w:w="10242" w:type="dxa"/>
            <w:gridSpan w:val="12"/>
            <w:noWrap/>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生态流量：一般水期（   ）m</w:t>
            </w:r>
            <w:r>
              <w:rPr>
                <w:rFonts w:ascii="Times New Roman" w:hAnsi="Times New Roman" w:eastAsia="宋体"/>
                <w:color w:val="000000"/>
                <w:kern w:val="0"/>
                <w:sz w:val="18"/>
                <w:szCs w:val="18"/>
                <w:vertAlign w:val="superscript"/>
              </w:rPr>
              <w:t>3</w:t>
            </w:r>
            <w:r>
              <w:rPr>
                <w:rFonts w:ascii="Times New Roman" w:hAnsi="Times New Roman" w:eastAsia="宋体"/>
                <w:color w:val="000000"/>
                <w:kern w:val="0"/>
                <w:sz w:val="18"/>
                <w:szCs w:val="18"/>
              </w:rPr>
              <w:t>/s；鱼类繁殖期（   ）m</w:t>
            </w:r>
            <w:r>
              <w:rPr>
                <w:rFonts w:ascii="Times New Roman" w:hAnsi="Times New Roman" w:eastAsia="宋体"/>
                <w:color w:val="000000"/>
                <w:kern w:val="0"/>
                <w:sz w:val="18"/>
                <w:szCs w:val="18"/>
                <w:vertAlign w:val="superscript"/>
              </w:rPr>
              <w:t>3</w:t>
            </w:r>
            <w:r>
              <w:rPr>
                <w:rFonts w:ascii="Times New Roman" w:hAnsi="Times New Roman" w:eastAsia="宋体"/>
                <w:color w:val="000000"/>
                <w:kern w:val="0"/>
                <w:sz w:val="18"/>
                <w:szCs w:val="18"/>
              </w:rPr>
              <w:t>/s；其他（   ）m</w:t>
            </w:r>
            <w:r>
              <w:rPr>
                <w:rFonts w:ascii="Times New Roman" w:hAnsi="Times New Roman" w:eastAsia="宋体"/>
                <w:color w:val="000000"/>
                <w:kern w:val="0"/>
                <w:sz w:val="18"/>
                <w:szCs w:val="18"/>
                <w:vertAlign w:val="superscript"/>
              </w:rPr>
              <w:t>3</w:t>
            </w:r>
            <w:r>
              <w:rPr>
                <w:rFonts w:ascii="Times New Roman" w:hAnsi="Times New Roman" w:eastAsia="宋体"/>
                <w:color w:val="000000"/>
                <w:kern w:val="0"/>
                <w:sz w:val="18"/>
                <w:szCs w:val="18"/>
              </w:rPr>
              <w:t>/s</w:t>
            </w:r>
          </w:p>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生态水位：一般水期（   ）m；鱼类繁殖期（   ）m；其他（   ）m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7" w:hRule="atLeast"/>
          <w:jc w:val="center"/>
        </w:trPr>
        <w:tc>
          <w:tcPr>
            <w:tcW w:w="833" w:type="dxa"/>
            <w:vMerge w:val="restart"/>
            <w:noWrap/>
            <w:textDirection w:val="tbRlV"/>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防治措施</w:t>
            </w: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环保措施</w:t>
            </w:r>
          </w:p>
        </w:tc>
        <w:tc>
          <w:tcPr>
            <w:tcW w:w="10242" w:type="dxa"/>
            <w:gridSpan w:val="12"/>
            <w:noWrap/>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 xml:space="preserve">污水处理设施 </w:t>
            </w:r>
            <w:r>
              <w:rPr>
                <w:rFonts w:ascii="Wingdings 2" w:hAnsi="Wingdings 2" w:eastAsia="Wingdings 2" w:cs="Wingdings 2"/>
                <w:color w:val="000000"/>
                <w:sz w:val="24"/>
                <w:szCs w:val="21"/>
                <w:lang w:bidi="ar"/>
              </w:rPr>
              <w:t></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水文减缓设施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生态流量保障设施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区域削减 </w:t>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依托其他工程措施 </w:t>
            </w:r>
            <w:r>
              <w:rPr>
                <w:rFonts w:ascii="宋体" w:hAnsi="宋体" w:eastAsia="宋体"/>
                <w:color w:val="000000"/>
                <w:kern w:val="0"/>
                <w:sz w:val="18"/>
                <w:szCs w:val="18"/>
              </w:rPr>
              <w:sym w:font="Wingdings 2" w:char="0052"/>
            </w:r>
            <w:r>
              <w:rPr>
                <w:rFonts w:ascii="宋体" w:hAnsi="宋体" w:eastAsia="宋体"/>
                <w:color w:val="000000"/>
                <w:kern w:val="0"/>
                <w:sz w:val="18"/>
                <w:szCs w:val="18"/>
              </w:rPr>
              <w:t>；</w:t>
            </w:r>
            <w:r>
              <w:rPr>
                <w:rFonts w:ascii="Times New Roman" w:hAnsi="Times New Roman" w:eastAsia="宋体"/>
                <w:color w:val="000000"/>
                <w:kern w:val="0"/>
                <w:sz w:val="18"/>
                <w:szCs w:val="18"/>
              </w:rPr>
              <w:t xml:space="preserve">其他 </w:t>
            </w:r>
            <w:r>
              <w:rPr>
                <w:rFonts w:ascii="宋体" w:hAnsi="宋体"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vMerge w:val="restart"/>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监测计划</w:t>
            </w:r>
          </w:p>
        </w:tc>
        <w:tc>
          <w:tcPr>
            <w:tcW w:w="2560" w:type="dxa"/>
            <w:gridSpan w:val="2"/>
            <w:noWrap/>
            <w:vAlign w:val="center"/>
          </w:tcPr>
          <w:p>
            <w:pPr>
              <w:jc w:val="center"/>
              <w:rPr>
                <w:rFonts w:ascii="Times New Roman" w:hAnsi="Times New Roman" w:eastAsia="宋体"/>
                <w:color w:val="000000"/>
                <w:kern w:val="0"/>
                <w:sz w:val="18"/>
                <w:szCs w:val="18"/>
              </w:rPr>
            </w:pPr>
          </w:p>
        </w:tc>
        <w:tc>
          <w:tcPr>
            <w:tcW w:w="3841" w:type="dxa"/>
            <w:gridSpan w:val="5"/>
            <w:noWrap w:val="0"/>
            <w:vAlign w:val="center"/>
          </w:tcPr>
          <w:p>
            <w:pPr>
              <w:jc w:val="center"/>
              <w:rPr>
                <w:rFonts w:ascii="Times New Roman" w:hAnsi="Times New Roman" w:eastAsia="宋体"/>
                <w:color w:val="000000"/>
                <w:kern w:val="0"/>
                <w:sz w:val="18"/>
                <w:szCs w:val="18"/>
              </w:rPr>
            </w:pPr>
            <w:r>
              <w:rPr>
                <w:rFonts w:hint="eastAsia" w:ascii="宋体" w:hAnsi="宋体" w:eastAsia="宋体"/>
                <w:color w:val="000000"/>
                <w:kern w:val="0"/>
                <w:sz w:val="18"/>
                <w:szCs w:val="18"/>
              </w:rPr>
              <w:t>环境质量</w:t>
            </w:r>
          </w:p>
        </w:tc>
        <w:tc>
          <w:tcPr>
            <w:tcW w:w="3841" w:type="dxa"/>
            <w:gridSpan w:val="5"/>
            <w:noWrap w:val="0"/>
            <w:vAlign w:val="center"/>
          </w:tcPr>
          <w:p>
            <w:pPr>
              <w:jc w:val="center"/>
              <w:rPr>
                <w:rFonts w:ascii="Times New Roman" w:hAnsi="Times New Roman" w:eastAsia="宋体"/>
                <w:color w:val="000000"/>
                <w:kern w:val="0"/>
                <w:sz w:val="18"/>
                <w:szCs w:val="18"/>
              </w:rPr>
            </w:pPr>
            <w:r>
              <w:rPr>
                <w:rFonts w:hint="eastAsia" w:ascii="Times New Roman" w:hAnsi="Times New Roman" w:eastAsia="宋体"/>
                <w:color w:val="000000"/>
                <w:kern w:val="0"/>
                <w:sz w:val="18"/>
                <w:szCs w:val="18"/>
              </w:rPr>
              <w:t>污染源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21"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vMerge w:val="continue"/>
            <w:noWrap w:val="0"/>
            <w:vAlign w:val="center"/>
          </w:tcPr>
          <w:p>
            <w:pPr>
              <w:jc w:val="center"/>
              <w:rPr>
                <w:rFonts w:ascii="Times New Roman" w:hAnsi="Times New Roman" w:eastAsia="宋体"/>
                <w:color w:val="000000"/>
                <w:kern w:val="0"/>
                <w:sz w:val="18"/>
                <w:szCs w:val="18"/>
              </w:rPr>
            </w:pPr>
          </w:p>
        </w:tc>
        <w:tc>
          <w:tcPr>
            <w:tcW w:w="2560" w:type="dxa"/>
            <w:gridSpan w:val="2"/>
            <w:noWrap/>
            <w:vAlign w:val="center"/>
          </w:tcPr>
          <w:p>
            <w:pPr>
              <w:jc w:val="center"/>
              <w:rPr>
                <w:rFonts w:ascii="宋体" w:hAnsi="宋体" w:eastAsia="宋体"/>
                <w:color w:val="000000"/>
                <w:kern w:val="0"/>
                <w:sz w:val="18"/>
                <w:szCs w:val="18"/>
              </w:rPr>
            </w:pPr>
            <w:r>
              <w:rPr>
                <w:rFonts w:hint="eastAsia" w:ascii="宋体" w:hAnsi="宋体" w:eastAsia="宋体"/>
                <w:color w:val="000000"/>
                <w:kern w:val="0"/>
                <w:sz w:val="18"/>
                <w:szCs w:val="18"/>
              </w:rPr>
              <w:t>监测方式</w:t>
            </w:r>
          </w:p>
        </w:tc>
        <w:tc>
          <w:tcPr>
            <w:tcW w:w="3841" w:type="dxa"/>
            <w:gridSpan w:val="5"/>
            <w:noWrap w:val="0"/>
            <w:vAlign w:val="center"/>
          </w:tcPr>
          <w:p>
            <w:pPr>
              <w:jc w:val="center"/>
              <w:rPr>
                <w:rFonts w:ascii="宋体" w:hAnsi="宋体" w:eastAsia="宋体"/>
                <w:b/>
                <w:color w:val="000000"/>
                <w:kern w:val="0"/>
                <w:sz w:val="18"/>
                <w:szCs w:val="18"/>
              </w:rPr>
            </w:pPr>
            <w:r>
              <w:rPr>
                <w:rFonts w:hint="eastAsia" w:ascii="宋体" w:hAnsi="宋体" w:eastAsia="宋体"/>
                <w:color w:val="000000"/>
                <w:kern w:val="0"/>
                <w:sz w:val="18"/>
                <w:szCs w:val="18"/>
              </w:rPr>
              <w:t xml:space="preserve">手动 </w:t>
            </w:r>
            <w:r>
              <w:rPr>
                <w:rFonts w:ascii="Wingdings 2" w:hAnsi="Wingdings 2" w:eastAsia="Wingdings 2" w:cs="Wingdings 2"/>
                <w:color w:val="000000"/>
                <w:sz w:val="24"/>
                <w:szCs w:val="21"/>
                <w:lang w:bidi="ar"/>
              </w:rPr>
              <w:sym w:font="Wingdings 2" w:char="00A3"/>
            </w:r>
            <w:r>
              <w:rPr>
                <w:rFonts w:ascii="宋体" w:hAnsi="宋体" w:eastAsia="宋体"/>
                <w:color w:val="000000"/>
                <w:kern w:val="0"/>
                <w:sz w:val="18"/>
                <w:szCs w:val="18"/>
              </w:rPr>
              <w:t>；</w:t>
            </w:r>
            <w:r>
              <w:rPr>
                <w:rFonts w:hint="eastAsia" w:ascii="宋体" w:hAnsi="宋体" w:eastAsia="宋体"/>
                <w:color w:val="000000"/>
                <w:kern w:val="0"/>
                <w:sz w:val="18"/>
                <w:szCs w:val="18"/>
              </w:rPr>
              <w:t>自动</w:t>
            </w:r>
            <w:r>
              <w:rPr>
                <w:rFonts w:ascii="宋体" w:hAnsi="宋体" w:eastAsia="宋体"/>
                <w:color w:val="000000"/>
                <w:kern w:val="0"/>
                <w:sz w:val="18"/>
                <w:szCs w:val="18"/>
              </w:rPr>
              <w:sym w:font="Wingdings 2" w:char="00A3"/>
            </w:r>
            <w:r>
              <w:rPr>
                <w:rFonts w:hint="eastAsia" w:ascii="宋体" w:hAnsi="宋体" w:eastAsia="宋体"/>
                <w:color w:val="000000"/>
                <w:kern w:val="0"/>
                <w:sz w:val="18"/>
                <w:szCs w:val="18"/>
              </w:rPr>
              <w:t>；无监测</w:t>
            </w:r>
            <w:r>
              <w:rPr>
                <w:rFonts w:ascii="宋体" w:hAnsi="宋体" w:eastAsia="宋体"/>
                <w:color w:val="000000"/>
                <w:kern w:val="0"/>
                <w:sz w:val="18"/>
                <w:szCs w:val="18"/>
              </w:rPr>
              <w:t>□</w:t>
            </w:r>
          </w:p>
        </w:tc>
        <w:tc>
          <w:tcPr>
            <w:tcW w:w="3841" w:type="dxa"/>
            <w:gridSpan w:val="5"/>
            <w:noWrap w:val="0"/>
            <w:vAlign w:val="center"/>
          </w:tcPr>
          <w:p>
            <w:pPr>
              <w:jc w:val="center"/>
              <w:rPr>
                <w:rFonts w:ascii="Times New Roman" w:hAnsi="Times New Roman" w:eastAsia="宋体"/>
                <w:color w:val="000000"/>
                <w:kern w:val="0"/>
                <w:sz w:val="18"/>
                <w:szCs w:val="18"/>
              </w:rPr>
            </w:pPr>
            <w:r>
              <w:rPr>
                <w:rFonts w:hint="eastAsia" w:ascii="宋体" w:hAnsi="宋体" w:eastAsia="宋体"/>
                <w:color w:val="000000"/>
                <w:kern w:val="0"/>
                <w:sz w:val="18"/>
                <w:szCs w:val="18"/>
              </w:rPr>
              <w:t>手动</w:t>
            </w:r>
            <w:r>
              <w:rPr>
                <w:rFonts w:ascii="Wingdings 2" w:hAnsi="Wingdings 2" w:eastAsia="Wingdings 2" w:cs="Wingdings 2"/>
                <w:color w:val="000000"/>
                <w:sz w:val="24"/>
                <w:szCs w:val="21"/>
                <w:lang w:bidi="ar"/>
              </w:rPr>
              <w:sym w:font="Wingdings 2" w:char="00A3"/>
            </w:r>
            <w:r>
              <w:rPr>
                <w:rFonts w:hint="eastAsia" w:ascii="宋体" w:hAnsi="宋体" w:eastAsia="宋体"/>
                <w:color w:val="000000"/>
                <w:kern w:val="0"/>
                <w:sz w:val="18"/>
                <w:szCs w:val="18"/>
              </w:rPr>
              <w:t>；自动</w:t>
            </w:r>
            <w:r>
              <w:rPr>
                <w:rFonts w:ascii="宋体" w:hAnsi="宋体" w:eastAsia="宋体"/>
                <w:color w:val="000000"/>
                <w:kern w:val="0"/>
                <w:sz w:val="18"/>
                <w:szCs w:val="18"/>
              </w:rPr>
              <w:sym w:font="Wingdings 2" w:char="0052"/>
            </w:r>
            <w:r>
              <w:rPr>
                <w:rFonts w:hint="eastAsia" w:ascii="宋体" w:hAnsi="宋体" w:eastAsia="宋体"/>
                <w:color w:val="000000"/>
                <w:kern w:val="0"/>
                <w:sz w:val="18"/>
                <w:szCs w:val="18"/>
              </w:rPr>
              <w:t>；无监测</w:t>
            </w:r>
            <w:r>
              <w:rPr>
                <w:rFonts w:ascii="宋体" w:hAnsi="宋体"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vMerge w:val="continue"/>
            <w:noWrap w:val="0"/>
            <w:vAlign w:val="center"/>
          </w:tcPr>
          <w:p>
            <w:pPr>
              <w:jc w:val="center"/>
              <w:rPr>
                <w:rFonts w:ascii="Times New Roman" w:hAnsi="Times New Roman" w:eastAsia="宋体"/>
                <w:color w:val="000000"/>
                <w:kern w:val="0"/>
                <w:sz w:val="18"/>
                <w:szCs w:val="18"/>
              </w:rPr>
            </w:pPr>
          </w:p>
        </w:tc>
        <w:tc>
          <w:tcPr>
            <w:tcW w:w="2560" w:type="dxa"/>
            <w:gridSpan w:val="2"/>
            <w:noWrap/>
            <w:vAlign w:val="center"/>
          </w:tcPr>
          <w:p>
            <w:pPr>
              <w:jc w:val="center"/>
              <w:rPr>
                <w:rFonts w:ascii="宋体" w:hAnsi="宋体" w:eastAsia="宋体"/>
                <w:color w:val="000000"/>
                <w:kern w:val="0"/>
                <w:sz w:val="18"/>
                <w:szCs w:val="18"/>
              </w:rPr>
            </w:pPr>
            <w:r>
              <w:rPr>
                <w:rFonts w:hint="eastAsia" w:ascii="宋体" w:hAnsi="宋体" w:eastAsia="宋体"/>
                <w:color w:val="000000"/>
                <w:kern w:val="0"/>
                <w:sz w:val="18"/>
                <w:szCs w:val="18"/>
              </w:rPr>
              <w:t>监测点位</w:t>
            </w:r>
          </w:p>
        </w:tc>
        <w:tc>
          <w:tcPr>
            <w:tcW w:w="3841" w:type="dxa"/>
            <w:gridSpan w:val="5"/>
            <w:noWrap w:val="0"/>
            <w:vAlign w:val="center"/>
          </w:tcPr>
          <w:p>
            <w:pPr>
              <w:jc w:val="center"/>
              <w:rPr>
                <w:rFonts w:ascii="宋体" w:hAnsi="宋体" w:eastAsia="宋体"/>
                <w:color w:val="000000"/>
                <w:kern w:val="0"/>
                <w:sz w:val="18"/>
                <w:szCs w:val="18"/>
              </w:rPr>
            </w:pPr>
            <w:r>
              <w:rPr>
                <w:rFonts w:ascii="Times New Roman" w:hAnsi="Times New Roman" w:eastAsia="宋体"/>
                <w:color w:val="000000"/>
                <w:kern w:val="0"/>
                <w:sz w:val="18"/>
                <w:szCs w:val="18"/>
              </w:rPr>
              <w:t>（）</w:t>
            </w:r>
          </w:p>
        </w:tc>
        <w:tc>
          <w:tcPr>
            <w:tcW w:w="3841" w:type="dxa"/>
            <w:gridSpan w:val="5"/>
            <w:noWrap w:val="0"/>
            <w:vAlign w:val="center"/>
          </w:tcPr>
          <w:p>
            <w:pPr>
              <w:jc w:val="center"/>
              <w:rPr>
                <w:rFonts w:ascii="宋体" w:hAnsi="宋体" w:eastAsia="宋体"/>
                <w:color w:val="000000"/>
                <w:kern w:val="0"/>
                <w:sz w:val="18"/>
                <w:szCs w:val="18"/>
              </w:rPr>
            </w:pPr>
            <w:r>
              <w:rPr>
                <w:rFonts w:ascii="Times New Roman" w:hAnsi="Times New Roman" w:eastAsia="宋体"/>
                <w:color w:val="000000"/>
                <w:kern w:val="0"/>
                <w:sz w:val="18"/>
                <w:szCs w:val="18"/>
              </w:rPr>
              <w:t>（</w:t>
            </w:r>
            <w:r>
              <w:rPr>
                <w:rFonts w:hint="eastAsia" w:ascii="Times New Roman" w:hAnsi="Times New Roman" w:eastAsia="宋体"/>
                <w:color w:val="000000"/>
                <w:kern w:val="0"/>
                <w:sz w:val="18"/>
                <w:szCs w:val="18"/>
              </w:rPr>
              <w:t>污水处理厂进口、出口</w:t>
            </w:r>
            <w:r>
              <w:rPr>
                <w:rFonts w:ascii="Times New Roman" w:hAnsi="Times New Roman"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vMerge w:val="continue"/>
            <w:noWrap w:val="0"/>
            <w:vAlign w:val="center"/>
          </w:tcPr>
          <w:p>
            <w:pPr>
              <w:jc w:val="center"/>
              <w:rPr>
                <w:rFonts w:ascii="Times New Roman" w:hAnsi="Times New Roman" w:eastAsia="宋体"/>
                <w:color w:val="000000"/>
                <w:kern w:val="0"/>
                <w:sz w:val="18"/>
                <w:szCs w:val="18"/>
              </w:rPr>
            </w:pPr>
          </w:p>
        </w:tc>
        <w:tc>
          <w:tcPr>
            <w:tcW w:w="2560" w:type="dxa"/>
            <w:gridSpan w:val="2"/>
            <w:noWrap/>
            <w:vAlign w:val="center"/>
          </w:tcPr>
          <w:p>
            <w:pPr>
              <w:jc w:val="center"/>
              <w:rPr>
                <w:rFonts w:ascii="宋体" w:hAnsi="宋体" w:eastAsia="宋体"/>
                <w:color w:val="000000"/>
                <w:kern w:val="0"/>
                <w:sz w:val="18"/>
                <w:szCs w:val="18"/>
              </w:rPr>
            </w:pPr>
            <w:r>
              <w:rPr>
                <w:rFonts w:hint="eastAsia" w:ascii="宋体" w:hAnsi="宋体" w:eastAsia="宋体"/>
                <w:color w:val="000000"/>
                <w:kern w:val="0"/>
                <w:sz w:val="18"/>
                <w:szCs w:val="18"/>
              </w:rPr>
              <w:t>监测因子</w:t>
            </w:r>
          </w:p>
        </w:tc>
        <w:tc>
          <w:tcPr>
            <w:tcW w:w="3841" w:type="dxa"/>
            <w:gridSpan w:val="5"/>
            <w:noWrap w:val="0"/>
            <w:vAlign w:val="top"/>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w:t>
            </w:r>
          </w:p>
        </w:tc>
        <w:tc>
          <w:tcPr>
            <w:tcW w:w="3841" w:type="dxa"/>
            <w:gridSpan w:val="5"/>
            <w:noWrap w:val="0"/>
            <w:vAlign w:val="top"/>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67" w:hRule="atLeast"/>
          <w:jc w:val="center"/>
        </w:trPr>
        <w:tc>
          <w:tcPr>
            <w:tcW w:w="833" w:type="dxa"/>
            <w:vMerge w:val="continue"/>
            <w:noWrap w:val="0"/>
            <w:vAlign w:val="center"/>
          </w:tcPr>
          <w:p>
            <w:pPr>
              <w:jc w:val="left"/>
              <w:rPr>
                <w:rFonts w:ascii="Times New Roman" w:hAnsi="Times New Roman" w:eastAsia="宋体"/>
                <w:color w:val="000000"/>
                <w:kern w:val="0"/>
                <w:sz w:val="18"/>
                <w:szCs w:val="18"/>
              </w:rPr>
            </w:pPr>
          </w:p>
        </w:tc>
        <w:tc>
          <w:tcPr>
            <w:tcW w:w="2843" w:type="dxa"/>
            <w:noWrap w:val="0"/>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污染物排放清单</w:t>
            </w:r>
          </w:p>
        </w:tc>
        <w:tc>
          <w:tcPr>
            <w:tcW w:w="10242" w:type="dxa"/>
            <w:gridSpan w:val="12"/>
            <w:noWrap/>
            <w:vAlign w:val="center"/>
          </w:tcPr>
          <w:p>
            <w:pPr>
              <w:jc w:val="left"/>
              <w:rPr>
                <w:rFonts w:ascii="Times New Roman" w:hAnsi="Times New Roman" w:eastAsia="宋体"/>
                <w:color w:val="000000"/>
                <w:kern w:val="0"/>
                <w:sz w:val="18"/>
                <w:szCs w:val="18"/>
              </w:rPr>
            </w:pPr>
            <w:r>
              <w:rPr>
                <w:rFonts w:ascii="Wingdings 2" w:hAnsi="Wingdings 2" w:eastAsia="Wingdings 2" w:cs="Wingdings 2"/>
                <w:color w:val="000000"/>
                <w:sz w:val="24"/>
                <w:szCs w:val="21"/>
                <w:lang w:bidi="ar"/>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3676" w:type="dxa"/>
            <w:gridSpan w:val="2"/>
            <w:tcBorders>
              <w:bottom w:val="single" w:color="auto" w:sz="12" w:space="0"/>
            </w:tcBorders>
            <w:noWrap/>
            <w:vAlign w:val="center"/>
          </w:tcPr>
          <w:p>
            <w:pPr>
              <w:jc w:val="center"/>
              <w:rPr>
                <w:rFonts w:ascii="Times New Roman" w:hAnsi="Times New Roman" w:eastAsia="宋体"/>
                <w:color w:val="000000"/>
                <w:kern w:val="0"/>
                <w:sz w:val="18"/>
                <w:szCs w:val="18"/>
              </w:rPr>
            </w:pPr>
            <w:r>
              <w:rPr>
                <w:rFonts w:ascii="Times New Roman" w:hAnsi="Times New Roman" w:eastAsia="宋体"/>
                <w:color w:val="000000"/>
                <w:kern w:val="0"/>
                <w:sz w:val="18"/>
                <w:szCs w:val="18"/>
              </w:rPr>
              <w:t>评价结论</w:t>
            </w:r>
          </w:p>
        </w:tc>
        <w:tc>
          <w:tcPr>
            <w:tcW w:w="10242" w:type="dxa"/>
            <w:gridSpan w:val="12"/>
            <w:tcBorders>
              <w:bottom w:val="single" w:color="auto" w:sz="12" w:space="0"/>
            </w:tcBorders>
            <w:noWrap/>
            <w:vAlign w:val="center"/>
          </w:tcPr>
          <w:p>
            <w:pPr>
              <w:jc w:val="left"/>
              <w:rPr>
                <w:rFonts w:ascii="Times New Roman" w:hAnsi="Times New Roman" w:eastAsia="宋体"/>
                <w:color w:val="000000"/>
                <w:kern w:val="0"/>
                <w:sz w:val="18"/>
                <w:szCs w:val="18"/>
              </w:rPr>
            </w:pPr>
            <w:r>
              <w:rPr>
                <w:rFonts w:ascii="Times New Roman" w:hAnsi="Times New Roman" w:eastAsia="宋体"/>
                <w:color w:val="000000"/>
                <w:kern w:val="0"/>
                <w:sz w:val="18"/>
                <w:szCs w:val="18"/>
              </w:rPr>
              <w:t>可</w:t>
            </w:r>
            <w:r>
              <w:rPr>
                <w:rFonts w:hint="eastAsia" w:ascii="Times New Roman" w:hAnsi="Times New Roman" w:eastAsia="宋体"/>
                <w:color w:val="000000"/>
                <w:kern w:val="0"/>
                <w:sz w:val="18"/>
                <w:szCs w:val="18"/>
              </w:rPr>
              <w:t>以</w:t>
            </w:r>
            <w:r>
              <w:rPr>
                <w:rFonts w:ascii="Times New Roman" w:hAnsi="Times New Roman" w:eastAsia="宋体"/>
                <w:color w:val="000000"/>
                <w:kern w:val="0"/>
                <w:sz w:val="18"/>
                <w:szCs w:val="18"/>
              </w:rPr>
              <w:t>接受</w:t>
            </w:r>
            <w:r>
              <w:rPr>
                <w:rFonts w:ascii="Wingdings 2" w:hAnsi="Wingdings 2" w:eastAsia="Wingdings 2" w:cs="Wingdings 2"/>
                <w:color w:val="000000"/>
                <w:sz w:val="24"/>
                <w:szCs w:val="21"/>
                <w:lang w:bidi="ar"/>
              </w:rPr>
              <w:t></w:t>
            </w:r>
            <w:r>
              <w:rPr>
                <w:rFonts w:ascii="宋体" w:hAnsi="宋体" w:eastAsia="宋体"/>
                <w:color w:val="000000"/>
                <w:kern w:val="0"/>
                <w:sz w:val="18"/>
                <w:szCs w:val="18"/>
              </w:rPr>
              <w:t>；</w:t>
            </w:r>
            <w:r>
              <w:rPr>
                <w:rFonts w:ascii="Times New Roman" w:hAnsi="Times New Roman" w:eastAsia="宋体"/>
                <w:color w:val="000000"/>
                <w:kern w:val="0"/>
                <w:sz w:val="18"/>
                <w:szCs w:val="18"/>
              </w:rPr>
              <w:t>不可</w:t>
            </w:r>
            <w:r>
              <w:rPr>
                <w:rFonts w:hint="eastAsia" w:ascii="Times New Roman" w:hAnsi="Times New Roman" w:eastAsia="宋体"/>
                <w:color w:val="000000"/>
                <w:kern w:val="0"/>
                <w:sz w:val="18"/>
                <w:szCs w:val="18"/>
              </w:rPr>
              <w:t>以</w:t>
            </w:r>
            <w:r>
              <w:rPr>
                <w:rFonts w:ascii="Times New Roman" w:hAnsi="Times New Roman" w:eastAsia="宋体"/>
                <w:color w:val="000000"/>
                <w:kern w:val="0"/>
                <w:sz w:val="18"/>
                <w:szCs w:val="18"/>
              </w:rPr>
              <w:t xml:space="preserve">接受 </w:t>
            </w:r>
            <w:r>
              <w:rPr>
                <w:rFonts w:ascii="宋体" w:hAnsi="宋体" w:eastAsia="宋体"/>
                <w:color w:val="000000"/>
                <w:kern w:val="0"/>
                <w:sz w:val="18"/>
                <w:szCs w:val="1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jc w:val="center"/>
        </w:trPr>
        <w:tc>
          <w:tcPr>
            <w:tcW w:w="13918" w:type="dxa"/>
            <w:gridSpan w:val="14"/>
            <w:tcBorders>
              <w:top w:val="single" w:color="auto" w:sz="12" w:space="0"/>
              <w:bottom w:val="single" w:color="auto" w:sz="12" w:space="0"/>
            </w:tcBorders>
            <w:noWrap/>
            <w:vAlign w:val="center"/>
          </w:tcPr>
          <w:p>
            <w:pPr>
              <w:jc w:val="left"/>
              <w:rPr>
                <w:rFonts w:ascii="Times New Roman" w:hAnsi="Times New Roman" w:eastAsia="宋体"/>
                <w:color w:val="000000"/>
                <w:kern w:val="0"/>
                <w:sz w:val="18"/>
                <w:szCs w:val="18"/>
              </w:rPr>
            </w:pPr>
            <w:r>
              <w:rPr>
                <w:rFonts w:hint="eastAsia" w:ascii="Times New Roman" w:hAnsi="Times New Roman" w:eastAsia="宋体"/>
                <w:color w:val="000000"/>
                <w:kern w:val="0"/>
                <w:sz w:val="18"/>
                <w:szCs w:val="18"/>
              </w:rPr>
              <w:t>注：“</w:t>
            </w:r>
            <w:r>
              <w:rPr>
                <w:rFonts w:ascii="宋体" w:hAnsi="宋体" w:eastAsia="宋体"/>
                <w:color w:val="000000"/>
                <w:kern w:val="0"/>
                <w:sz w:val="18"/>
                <w:szCs w:val="18"/>
              </w:rPr>
              <w:t>□</w:t>
            </w:r>
            <w:r>
              <w:rPr>
                <w:rFonts w:hint="eastAsia" w:ascii="Times New Roman" w:hAnsi="Times New Roman" w:eastAsia="宋体"/>
                <w:color w:val="000000"/>
                <w:kern w:val="0"/>
                <w:sz w:val="18"/>
                <w:szCs w:val="18"/>
              </w:rPr>
              <w:t>”为勾选项，可打</w:t>
            </w:r>
            <w:r>
              <w:rPr>
                <w:rFonts w:hint="eastAsia" w:ascii="宋体" w:hAnsi="宋体" w:eastAsia="宋体"/>
                <w:color w:val="000000"/>
                <w:kern w:val="0"/>
                <w:sz w:val="18"/>
                <w:szCs w:val="18"/>
              </w:rPr>
              <w:t>√</w:t>
            </w:r>
            <w:r>
              <w:rPr>
                <w:rFonts w:hint="eastAsia" w:ascii="Times New Roman" w:hAnsi="Times New Roman" w:eastAsia="宋体"/>
                <w:color w:val="000000"/>
                <w:kern w:val="0"/>
                <w:sz w:val="18"/>
                <w:szCs w:val="18"/>
              </w:rPr>
              <w:t>；“</w:t>
            </w:r>
            <w:r>
              <w:rPr>
                <w:rFonts w:ascii="Times New Roman" w:hAnsi="Times New Roman" w:eastAsia="宋体"/>
                <w:color w:val="000000"/>
                <w:kern w:val="0"/>
                <w:sz w:val="18"/>
                <w:szCs w:val="18"/>
              </w:rPr>
              <w:t>（   ）</w:t>
            </w:r>
            <w:r>
              <w:rPr>
                <w:rFonts w:hint="eastAsia" w:ascii="Times New Roman" w:hAnsi="Times New Roman" w:eastAsia="宋体"/>
                <w:color w:val="000000"/>
                <w:kern w:val="0"/>
                <w:sz w:val="18"/>
                <w:szCs w:val="18"/>
              </w:rPr>
              <w:t>”为内容填写项；“备注”为其他补充内容。</w:t>
            </w:r>
          </w:p>
        </w:tc>
      </w:tr>
    </w:tbl>
    <w:p>
      <w:pPr>
        <w:pStyle w:val="6"/>
        <w:rPr>
          <w:rFonts w:hint="eastAsia"/>
        </w:rPr>
        <w:sectPr>
          <w:pgSz w:w="16840" w:h="11907" w:orient="landscape"/>
          <w:pgMar w:top="1803"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rPr>
          <w:rFonts w:hint="eastAsia"/>
        </w:rPr>
      </w:pPr>
    </w:p>
    <w:p>
      <w:pPr>
        <w:keepNext/>
        <w:keepLines/>
        <w:widowControl w:val="0"/>
        <w:adjustRightInd w:val="0"/>
        <w:snapToGrid w:val="0"/>
        <w:spacing w:before="120" w:beforeLines="50"/>
        <w:ind w:firstLine="0" w:firstLineChars="0"/>
        <w:outlineLvl w:val="1"/>
        <w:rPr>
          <w:b/>
          <w:color w:val="000000"/>
          <w:sz w:val="28"/>
          <w:szCs w:val="32"/>
        </w:rPr>
      </w:pPr>
      <w:r>
        <w:rPr>
          <w:b/>
          <w:color w:val="000000"/>
          <w:sz w:val="28"/>
          <w:szCs w:val="32"/>
        </w:rPr>
        <w:t>4</w:t>
      </w:r>
      <w:r>
        <w:rPr>
          <w:rFonts w:hint="eastAsia"/>
          <w:b/>
          <w:color w:val="000000"/>
          <w:sz w:val="28"/>
          <w:szCs w:val="32"/>
        </w:rPr>
        <w:t>.</w:t>
      </w:r>
      <w:r>
        <w:rPr>
          <w:b/>
          <w:color w:val="000000"/>
          <w:sz w:val="28"/>
          <w:szCs w:val="32"/>
        </w:rPr>
        <w:t>2</w:t>
      </w:r>
      <w:r>
        <w:rPr>
          <w:rFonts w:hint="eastAsia"/>
          <w:b/>
          <w:color w:val="000000"/>
          <w:sz w:val="28"/>
          <w:szCs w:val="32"/>
        </w:rPr>
        <w:t>.3工程地下水环境影响分析</w:t>
      </w:r>
    </w:p>
    <w:p>
      <w:pPr>
        <w:pStyle w:val="81"/>
        <w:rPr>
          <w:rFonts w:hint="eastAsia" w:eastAsia="宋体"/>
          <w:lang w:eastAsia="zh-CN"/>
        </w:rPr>
      </w:pPr>
      <w:r>
        <w:t>4.2</w:t>
      </w:r>
      <w:r>
        <w:rPr>
          <w:rFonts w:hint="eastAsia"/>
        </w:rPr>
        <w:t>.3.1</w:t>
      </w:r>
      <w:r>
        <w:rPr>
          <w:rFonts w:hint="eastAsia"/>
          <w:lang w:eastAsia="zh-CN"/>
        </w:rPr>
        <w:t>水文地质概况</w:t>
      </w:r>
    </w:p>
    <w:p>
      <w:pPr>
        <w:ind w:firstLine="480"/>
        <w:rPr>
          <w:rFonts w:hint="eastAsia" w:ascii="Times New Roman" w:hAnsi="Times New Roman" w:eastAsia="宋体" w:cs="Times New Roman"/>
          <w:color w:val="000000"/>
        </w:rPr>
      </w:pPr>
      <w:r>
        <w:rPr>
          <w:rFonts w:hint="eastAsia" w:ascii="Times New Roman" w:hAnsi="Times New Roman" w:eastAsia="宋体" w:cs="Times New Roman"/>
          <w:color w:val="000000"/>
        </w:rPr>
        <w:t>根据《花垣县工业集中区重金属废水处理工程岩土工程详细勘察报告》对本项目所在区域勘察结果，</w:t>
      </w:r>
      <w:r>
        <w:rPr>
          <w:rFonts w:hint="eastAsia" w:ascii="Times New Roman" w:hAnsi="Times New Roman" w:eastAsia="宋体" w:cs="Times New Roman"/>
          <w:color w:val="000000"/>
          <w:lang w:eastAsia="zh-CN"/>
        </w:rPr>
        <w:t>项目</w:t>
      </w:r>
      <w:r>
        <w:rPr>
          <w:rFonts w:hint="eastAsia" w:ascii="Times New Roman" w:hAnsi="Times New Roman" w:eastAsia="宋体" w:cs="Times New Roman"/>
          <w:color w:val="000000"/>
        </w:rPr>
        <w:t>场地地下水类型主要为赋存于粉质粘土中的潜水， 受大气降水、地表水和区域地下水补给，不具承压性，水量丰富。勘察期间测得 潜水初见水位埋深介于1.00~1.40m之间，相当于标高287.45~299.03m；潜水稳定水位埋深介于1.20~1.70m之间，相当于标高287.15~298.83m。场地内的地下水受季节影响变化，丰水季节地下水位上升，枯水季节地下水位有一定的下降， 地下水的年变化幅度为1m左右。</w:t>
      </w:r>
    </w:p>
    <w:p>
      <w:pPr>
        <w:pStyle w:val="16"/>
        <w:spacing w:before="16" w:line="355" w:lineRule="auto"/>
        <w:ind w:left="237" w:right="235" w:firstLine="480"/>
        <w:jc w:val="both"/>
      </w:pPr>
      <w:r>
        <w:rPr>
          <w:spacing w:val="-3"/>
        </w:rPr>
        <w:t>综合考虑地层特征，本场地岩土层参数见下</w:t>
      </w:r>
      <w:r>
        <w:t>表</w:t>
      </w:r>
      <w:r>
        <w:rPr>
          <w:rFonts w:hint="eastAsia"/>
          <w:spacing w:val="-61"/>
          <w:lang w:val="en-US" w:eastAsia="zh-CN"/>
        </w:rPr>
        <w:t>4.</w:t>
      </w:r>
      <w:r>
        <w:rPr>
          <w:rFonts w:ascii="Times New Roman" w:hAnsi="Times New Roman" w:eastAsia="Times New Roman" w:cs="Times New Roman"/>
        </w:rPr>
        <w:t>2-</w:t>
      </w:r>
      <w:r>
        <w:rPr>
          <w:rFonts w:hint="eastAsia" w:ascii="Times New Roman" w:hAnsi="Times New Roman" w:eastAsia="宋体" w:cs="Times New Roman"/>
          <w:lang w:val="en-US" w:eastAsia="zh-CN"/>
        </w:rPr>
        <w:t>10</w:t>
      </w:r>
      <w:r>
        <w:t>。</w:t>
      </w:r>
    </w:p>
    <w:p>
      <w:pPr>
        <w:bidi w:val="0"/>
        <w:jc w:val="center"/>
        <w:rPr>
          <w:b/>
          <w:bCs/>
          <w:sz w:val="21"/>
          <w:szCs w:val="21"/>
        </w:rPr>
      </w:pPr>
      <w:r>
        <w:rPr>
          <w:b/>
          <w:bCs/>
          <w:sz w:val="21"/>
          <w:szCs w:val="21"/>
        </w:rPr>
        <w:t xml:space="preserve">表 </w:t>
      </w:r>
      <w:r>
        <w:rPr>
          <w:rFonts w:hint="eastAsia"/>
          <w:b/>
          <w:bCs/>
          <w:sz w:val="21"/>
          <w:szCs w:val="21"/>
          <w:lang w:val="en-US" w:eastAsia="zh-CN"/>
        </w:rPr>
        <w:t>4</w:t>
      </w:r>
      <w:r>
        <w:rPr>
          <w:b/>
          <w:bCs/>
          <w:sz w:val="21"/>
          <w:szCs w:val="21"/>
        </w:rPr>
        <w:t>.2-</w:t>
      </w:r>
      <w:r>
        <w:rPr>
          <w:rFonts w:hint="eastAsia"/>
          <w:b/>
          <w:bCs/>
          <w:sz w:val="21"/>
          <w:szCs w:val="21"/>
          <w:lang w:val="en-US" w:eastAsia="zh-CN"/>
        </w:rPr>
        <w:t>10</w:t>
      </w:r>
      <w:r>
        <w:rPr>
          <w:b/>
          <w:bCs/>
          <w:sz w:val="21"/>
          <w:szCs w:val="21"/>
        </w:rPr>
        <w:t xml:space="preserve"> 场地岩土参数一览表</w:t>
      </w:r>
    </w:p>
    <w:tbl>
      <w:tblPr>
        <w:tblStyle w:val="37"/>
        <w:tblW w:w="8280" w:type="dxa"/>
        <w:tblInd w:w="114" w:type="dxa"/>
        <w:tblLayout w:type="fixed"/>
        <w:tblCellMar>
          <w:top w:w="0" w:type="dxa"/>
          <w:left w:w="0" w:type="dxa"/>
          <w:bottom w:w="0" w:type="dxa"/>
          <w:right w:w="0" w:type="dxa"/>
        </w:tblCellMar>
      </w:tblPr>
      <w:tblGrid>
        <w:gridCol w:w="1656"/>
        <w:gridCol w:w="1656"/>
        <w:gridCol w:w="1935"/>
        <w:gridCol w:w="1376"/>
        <w:gridCol w:w="1657"/>
      </w:tblGrid>
      <w:tr>
        <w:trPr>
          <w:trHeight w:val="408" w:hRule="exact"/>
        </w:trPr>
        <w:tc>
          <w:tcPr>
            <w:tcW w:w="1656" w:type="dxa"/>
            <w:vMerge w:val="restart"/>
            <w:tcBorders>
              <w:top w:val="single" w:color="000000" w:sz="12" w:space="0"/>
              <w:left w:val="nil"/>
              <w:right w:val="single" w:color="000000" w:sz="4" w:space="0"/>
            </w:tcBorders>
            <w:noWrap w:val="0"/>
            <w:vAlign w:val="center"/>
          </w:tcPr>
          <w:p>
            <w:pPr>
              <w:pStyle w:val="104"/>
              <w:spacing w:before="48" w:line="240" w:lineRule="auto"/>
              <w:ind w:right="0"/>
              <w:jc w:val="center"/>
              <w:rPr>
                <w:rFonts w:ascii="宋体" w:hAnsi="宋体" w:eastAsia="宋体" w:cs="宋体"/>
                <w:sz w:val="21"/>
                <w:szCs w:val="21"/>
              </w:rPr>
            </w:pPr>
            <w:r>
              <w:rPr>
                <w:rFonts w:ascii="宋体" w:hAnsi="宋体" w:eastAsia="宋体" w:cs="宋体"/>
                <w:sz w:val="21"/>
                <w:szCs w:val="21"/>
              </w:rPr>
              <w:t>指标名称</w:t>
            </w:r>
          </w:p>
        </w:tc>
        <w:tc>
          <w:tcPr>
            <w:tcW w:w="1656" w:type="dxa"/>
            <w:tcBorders>
              <w:top w:val="single" w:color="000000" w:sz="12" w:space="0"/>
              <w:left w:val="single" w:color="000000" w:sz="4" w:space="0"/>
              <w:bottom w:val="single" w:color="000000" w:sz="8" w:space="0"/>
              <w:right w:val="single" w:color="000000" w:sz="4" w:space="0"/>
            </w:tcBorders>
            <w:noWrap w:val="0"/>
            <w:vAlign w:val="center"/>
          </w:tcPr>
          <w:p>
            <w:pPr>
              <w:pStyle w:val="104"/>
              <w:spacing w:before="48" w:line="240" w:lineRule="auto"/>
              <w:ind w:right="0"/>
              <w:jc w:val="center"/>
              <w:rPr>
                <w:rFonts w:ascii="宋体" w:hAnsi="宋体" w:eastAsia="宋体" w:cs="宋体"/>
                <w:sz w:val="21"/>
                <w:szCs w:val="21"/>
              </w:rPr>
            </w:pPr>
            <w:r>
              <w:rPr>
                <w:rFonts w:ascii="宋体" w:hAnsi="宋体" w:eastAsia="宋体" w:cs="宋体"/>
                <w:sz w:val="21"/>
                <w:szCs w:val="21"/>
              </w:rPr>
              <w:t>天然密度ρ</w:t>
            </w:r>
          </w:p>
        </w:tc>
        <w:tc>
          <w:tcPr>
            <w:tcW w:w="1935" w:type="dxa"/>
            <w:tcBorders>
              <w:top w:val="single" w:color="000000" w:sz="12" w:space="0"/>
              <w:left w:val="single" w:color="000000" w:sz="4" w:space="0"/>
              <w:bottom w:val="single" w:color="000000" w:sz="8" w:space="0"/>
              <w:right w:val="single" w:color="000000" w:sz="4" w:space="0"/>
            </w:tcBorders>
            <w:noWrap w:val="0"/>
            <w:vAlign w:val="center"/>
          </w:tcPr>
          <w:p>
            <w:pPr>
              <w:pStyle w:val="104"/>
              <w:spacing w:before="48" w:line="240" w:lineRule="auto"/>
              <w:ind w:right="0"/>
              <w:jc w:val="center"/>
              <w:rPr>
                <w:rFonts w:ascii="Times New Roman" w:hAnsi="Times New Roman" w:eastAsia="Times New Roman" w:cs="Times New Roman"/>
                <w:sz w:val="21"/>
                <w:szCs w:val="21"/>
              </w:rPr>
            </w:pPr>
            <w:r>
              <w:rPr>
                <w:rFonts w:ascii="宋体" w:hAnsi="宋体" w:eastAsia="宋体" w:cs="宋体"/>
                <w:sz w:val="21"/>
                <w:szCs w:val="21"/>
              </w:rPr>
              <w:t>承载力特征值</w:t>
            </w:r>
            <w:r>
              <w:rPr>
                <w:rFonts w:ascii="Times New Roman" w:hAnsi="Times New Roman" w:eastAsia="Times New Roman" w:cs="Times New Roman"/>
                <w:sz w:val="21"/>
                <w:szCs w:val="21"/>
              </w:rPr>
              <w:t>ƒak</w:t>
            </w:r>
          </w:p>
        </w:tc>
        <w:tc>
          <w:tcPr>
            <w:tcW w:w="1376" w:type="dxa"/>
            <w:tcBorders>
              <w:top w:val="single" w:color="000000" w:sz="12" w:space="0"/>
              <w:left w:val="single" w:color="000000" w:sz="4" w:space="0"/>
              <w:bottom w:val="single" w:color="000000" w:sz="8" w:space="0"/>
              <w:right w:val="single" w:color="000000" w:sz="4" w:space="0"/>
            </w:tcBorders>
            <w:noWrap w:val="0"/>
            <w:vAlign w:val="center"/>
          </w:tcPr>
          <w:p>
            <w:pPr>
              <w:pStyle w:val="104"/>
              <w:spacing w:before="48" w:line="240" w:lineRule="auto"/>
              <w:ind w:right="0"/>
              <w:jc w:val="center"/>
              <w:rPr>
                <w:rFonts w:ascii="Times New Roman" w:hAnsi="Times New Roman" w:eastAsia="Times New Roman" w:cs="Times New Roman"/>
                <w:sz w:val="21"/>
                <w:szCs w:val="21"/>
              </w:rPr>
            </w:pPr>
            <w:r>
              <w:rPr>
                <w:rFonts w:ascii="宋体" w:hAnsi="宋体" w:eastAsia="宋体" w:cs="宋体"/>
                <w:sz w:val="21"/>
                <w:szCs w:val="21"/>
              </w:rPr>
              <w:t>压缩模量</w:t>
            </w:r>
            <w:r>
              <w:rPr>
                <w:rFonts w:ascii="Times New Roman" w:hAnsi="Times New Roman" w:eastAsia="Times New Roman" w:cs="Times New Roman"/>
                <w:sz w:val="21"/>
                <w:szCs w:val="21"/>
              </w:rPr>
              <w:t>Es</w:t>
            </w:r>
          </w:p>
        </w:tc>
        <w:tc>
          <w:tcPr>
            <w:tcW w:w="1657" w:type="dxa"/>
            <w:tcBorders>
              <w:top w:val="single" w:color="000000" w:sz="12" w:space="0"/>
              <w:left w:val="single" w:color="000000" w:sz="4" w:space="0"/>
              <w:bottom w:val="single" w:color="000000" w:sz="8" w:space="0"/>
              <w:right w:val="nil"/>
            </w:tcBorders>
            <w:noWrap w:val="0"/>
            <w:vAlign w:val="center"/>
          </w:tcPr>
          <w:p>
            <w:pPr>
              <w:pStyle w:val="104"/>
              <w:spacing w:before="48" w:line="240" w:lineRule="auto"/>
              <w:ind w:right="0"/>
              <w:jc w:val="center"/>
              <w:rPr>
                <w:rFonts w:ascii="Times New Roman" w:hAnsi="Times New Roman" w:eastAsia="Times New Roman" w:cs="Times New Roman"/>
                <w:sz w:val="21"/>
                <w:szCs w:val="21"/>
              </w:rPr>
            </w:pPr>
            <w:r>
              <w:rPr>
                <w:rFonts w:ascii="宋体" w:hAnsi="宋体" w:eastAsia="宋体" w:cs="宋体"/>
                <w:sz w:val="21"/>
                <w:szCs w:val="21"/>
              </w:rPr>
              <w:t>渗透系数</w:t>
            </w:r>
            <w:r>
              <w:rPr>
                <w:rFonts w:ascii="Times New Roman" w:hAnsi="Times New Roman" w:eastAsia="Times New Roman" w:cs="Times New Roman"/>
                <w:sz w:val="21"/>
                <w:szCs w:val="21"/>
              </w:rPr>
              <w:t>k</w:t>
            </w:r>
          </w:p>
        </w:tc>
      </w:tr>
      <w:tr>
        <w:trPr>
          <w:trHeight w:val="380" w:hRule="exact"/>
        </w:trPr>
        <w:tc>
          <w:tcPr>
            <w:tcW w:w="1656" w:type="dxa"/>
            <w:vMerge w:val="continue"/>
            <w:tcBorders>
              <w:left w:val="nil"/>
              <w:bottom w:val="single" w:color="000000" w:sz="8" w:space="0"/>
              <w:right w:val="single" w:color="000000" w:sz="4" w:space="0"/>
            </w:tcBorders>
            <w:noWrap w:val="0"/>
            <w:vAlign w:val="center"/>
          </w:tcPr>
          <w:p>
            <w:pPr>
              <w:jc w:val="center"/>
            </w:pPr>
          </w:p>
        </w:tc>
        <w:tc>
          <w:tcPr>
            <w:tcW w:w="1656" w:type="dxa"/>
            <w:tcBorders>
              <w:top w:val="single" w:color="000000" w:sz="8" w:space="0"/>
              <w:left w:val="single" w:color="000000" w:sz="4" w:space="0"/>
              <w:bottom w:val="single" w:color="000000" w:sz="8" w:space="0"/>
              <w:right w:val="single" w:color="000000" w:sz="4" w:space="0"/>
            </w:tcBorders>
            <w:noWrap w:val="0"/>
            <w:vAlign w:val="center"/>
          </w:tcPr>
          <w:p>
            <w:pPr>
              <w:pStyle w:val="104"/>
              <w:spacing w:before="27" w:line="240" w:lineRule="auto"/>
              <w:ind w:right="0"/>
              <w:jc w:val="center"/>
              <w:rPr>
                <w:rFonts w:ascii="宋体" w:hAnsi="宋体" w:eastAsia="宋体" w:cs="宋体"/>
                <w:sz w:val="21"/>
                <w:szCs w:val="21"/>
              </w:rPr>
            </w:pPr>
            <w:r>
              <w:rPr>
                <w:rFonts w:ascii="宋体" w:hAnsi="宋体" w:eastAsia="宋体" w:cs="宋体"/>
                <w:spacing w:val="-1"/>
                <w:w w:val="99"/>
                <w:sz w:val="21"/>
                <w:szCs w:val="21"/>
              </w:rPr>
              <w:t>（</w:t>
            </w:r>
            <w:r>
              <w:rPr>
                <w:rFonts w:ascii="宋体" w:hAnsi="宋体" w:eastAsia="宋体" w:cs="宋体"/>
                <w:spacing w:val="1"/>
                <w:w w:val="99"/>
                <w:sz w:val="21"/>
                <w:szCs w:val="21"/>
              </w:rPr>
              <w:t>g/</w:t>
            </w:r>
            <w:r>
              <w:rPr>
                <w:rFonts w:ascii="宋体" w:hAnsi="宋体" w:eastAsia="宋体" w:cs="宋体"/>
                <w:spacing w:val="-2"/>
                <w:w w:val="99"/>
                <w:sz w:val="21"/>
                <w:szCs w:val="21"/>
              </w:rPr>
              <w:t>m</w:t>
            </w:r>
            <w:r>
              <w:rPr>
                <w:rFonts w:ascii="宋体" w:hAnsi="宋体" w:eastAsia="宋体" w:cs="宋体"/>
                <w:spacing w:val="-1"/>
                <w:w w:val="105"/>
                <w:position w:val="10"/>
                <w:sz w:val="10"/>
                <w:szCs w:val="10"/>
              </w:rPr>
              <w:t>3</w:t>
            </w:r>
            <w:r>
              <w:rPr>
                <w:rFonts w:ascii="宋体" w:hAnsi="宋体" w:eastAsia="宋体" w:cs="宋体"/>
                <w:w w:val="99"/>
                <w:sz w:val="21"/>
                <w:szCs w:val="21"/>
              </w:rPr>
              <w:t>）</w:t>
            </w:r>
          </w:p>
        </w:tc>
        <w:tc>
          <w:tcPr>
            <w:tcW w:w="1935" w:type="dxa"/>
            <w:tcBorders>
              <w:top w:val="single" w:color="000000" w:sz="8" w:space="0"/>
              <w:left w:val="single" w:color="000000" w:sz="4" w:space="0"/>
              <w:bottom w:val="single" w:color="000000" w:sz="8" w:space="0"/>
              <w:right w:val="single" w:color="000000" w:sz="4" w:space="0"/>
            </w:tcBorders>
            <w:noWrap w:val="0"/>
            <w:vAlign w:val="center"/>
          </w:tcPr>
          <w:p>
            <w:pPr>
              <w:pStyle w:val="104"/>
              <w:spacing w:before="27" w:line="240" w:lineRule="auto"/>
              <w:ind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kPa</w:t>
            </w:r>
            <w:r>
              <w:rPr>
                <w:rFonts w:ascii="宋体" w:hAnsi="宋体" w:eastAsia="宋体" w:cs="宋体"/>
                <w:sz w:val="21"/>
                <w:szCs w:val="21"/>
              </w:rPr>
              <w:t>）</w:t>
            </w:r>
          </w:p>
        </w:tc>
        <w:tc>
          <w:tcPr>
            <w:tcW w:w="1376" w:type="dxa"/>
            <w:tcBorders>
              <w:top w:val="single" w:color="000000" w:sz="8" w:space="0"/>
              <w:left w:val="single" w:color="000000" w:sz="4" w:space="0"/>
              <w:bottom w:val="single" w:color="000000" w:sz="8" w:space="0"/>
              <w:right w:val="single" w:color="000000" w:sz="4" w:space="0"/>
            </w:tcBorders>
            <w:noWrap w:val="0"/>
            <w:vAlign w:val="center"/>
          </w:tcPr>
          <w:p>
            <w:pPr>
              <w:pStyle w:val="104"/>
              <w:spacing w:before="27" w:line="240" w:lineRule="auto"/>
              <w:ind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MPa</w:t>
            </w:r>
            <w:r>
              <w:rPr>
                <w:rFonts w:ascii="宋体" w:hAnsi="宋体" w:eastAsia="宋体" w:cs="宋体"/>
                <w:sz w:val="21"/>
                <w:szCs w:val="21"/>
              </w:rPr>
              <w:t>）</w:t>
            </w:r>
          </w:p>
        </w:tc>
        <w:tc>
          <w:tcPr>
            <w:tcW w:w="1657" w:type="dxa"/>
            <w:tcBorders>
              <w:top w:val="single" w:color="000000" w:sz="8" w:space="0"/>
              <w:left w:val="single" w:color="000000" w:sz="4" w:space="0"/>
              <w:bottom w:val="single" w:color="000000" w:sz="8" w:space="0"/>
              <w:right w:val="nil"/>
            </w:tcBorders>
            <w:noWrap w:val="0"/>
            <w:vAlign w:val="center"/>
          </w:tcPr>
          <w:p>
            <w:pPr>
              <w:pStyle w:val="104"/>
              <w:spacing w:before="27" w:line="240" w:lineRule="auto"/>
              <w:ind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cm/s</w:t>
            </w:r>
            <w:r>
              <w:rPr>
                <w:rFonts w:ascii="宋体" w:hAnsi="宋体" w:eastAsia="宋体" w:cs="宋体"/>
                <w:sz w:val="21"/>
                <w:szCs w:val="21"/>
              </w:rPr>
              <w:t>）</w:t>
            </w:r>
          </w:p>
        </w:tc>
      </w:tr>
      <w:tr>
        <w:trPr>
          <w:trHeight w:val="400" w:hRule="exact"/>
        </w:trPr>
        <w:tc>
          <w:tcPr>
            <w:tcW w:w="1656" w:type="dxa"/>
            <w:tcBorders>
              <w:top w:val="single" w:color="000000" w:sz="8" w:space="0"/>
              <w:left w:val="nil"/>
              <w:bottom w:val="single" w:color="000000" w:sz="12" w:space="0"/>
              <w:right w:val="single" w:color="000000" w:sz="4" w:space="0"/>
            </w:tcBorders>
            <w:noWrap w:val="0"/>
            <w:vAlign w:val="center"/>
          </w:tcPr>
          <w:p>
            <w:pPr>
              <w:pStyle w:val="104"/>
              <w:spacing w:before="47" w:line="240" w:lineRule="auto"/>
              <w:ind w:right="0"/>
              <w:jc w:val="center"/>
              <w:rPr>
                <w:rFonts w:ascii="宋体" w:hAnsi="宋体" w:eastAsia="宋体" w:cs="宋体"/>
                <w:sz w:val="21"/>
                <w:szCs w:val="21"/>
              </w:rPr>
            </w:pPr>
            <w:r>
              <w:rPr>
                <w:rFonts w:ascii="宋体" w:hAnsi="宋体" w:eastAsia="宋体" w:cs="宋体"/>
                <w:sz w:val="21"/>
                <w:szCs w:val="21"/>
              </w:rPr>
              <w:t>粉质粘土</w:t>
            </w:r>
          </w:p>
        </w:tc>
        <w:tc>
          <w:tcPr>
            <w:tcW w:w="1656" w:type="dxa"/>
            <w:tcBorders>
              <w:top w:val="single" w:color="000000" w:sz="8" w:space="0"/>
              <w:left w:val="single" w:color="000000" w:sz="4" w:space="0"/>
              <w:bottom w:val="single" w:color="000000" w:sz="12" w:space="0"/>
              <w:right w:val="single" w:color="000000" w:sz="4" w:space="0"/>
            </w:tcBorders>
            <w:noWrap w:val="0"/>
            <w:vAlign w:val="center"/>
          </w:tcPr>
          <w:p>
            <w:pPr>
              <w:pStyle w:val="104"/>
              <w:spacing w:before="96" w:line="240" w:lineRule="auto"/>
              <w:ind w:right="0"/>
              <w:jc w:val="center"/>
              <w:rPr>
                <w:rFonts w:ascii="Times New Roman" w:hAnsi="Times New Roman" w:eastAsia="Times New Roman" w:cs="Times New Roman"/>
                <w:sz w:val="21"/>
                <w:szCs w:val="21"/>
              </w:rPr>
            </w:pPr>
            <w:r>
              <w:rPr>
                <w:rFonts w:ascii="Times New Roman"/>
                <w:sz w:val="21"/>
              </w:rPr>
              <w:t>1.97</w:t>
            </w:r>
          </w:p>
        </w:tc>
        <w:tc>
          <w:tcPr>
            <w:tcW w:w="1935" w:type="dxa"/>
            <w:tcBorders>
              <w:top w:val="single" w:color="000000" w:sz="8" w:space="0"/>
              <w:left w:val="single" w:color="000000" w:sz="4" w:space="0"/>
              <w:bottom w:val="single" w:color="000000" w:sz="12" w:space="0"/>
              <w:right w:val="single" w:color="000000" w:sz="4" w:space="0"/>
            </w:tcBorders>
            <w:noWrap w:val="0"/>
            <w:vAlign w:val="center"/>
          </w:tcPr>
          <w:p>
            <w:pPr>
              <w:pStyle w:val="104"/>
              <w:spacing w:before="96" w:line="240" w:lineRule="auto"/>
              <w:ind w:right="0"/>
              <w:jc w:val="center"/>
              <w:rPr>
                <w:rFonts w:ascii="Times New Roman" w:hAnsi="Times New Roman" w:eastAsia="Times New Roman" w:cs="Times New Roman"/>
                <w:sz w:val="21"/>
                <w:szCs w:val="21"/>
              </w:rPr>
            </w:pPr>
            <w:r>
              <w:rPr>
                <w:rFonts w:ascii="Times New Roman"/>
                <w:sz w:val="21"/>
              </w:rPr>
              <w:t>240</w:t>
            </w:r>
          </w:p>
        </w:tc>
        <w:tc>
          <w:tcPr>
            <w:tcW w:w="1376" w:type="dxa"/>
            <w:tcBorders>
              <w:top w:val="single" w:color="000000" w:sz="8" w:space="0"/>
              <w:left w:val="single" w:color="000000" w:sz="4" w:space="0"/>
              <w:bottom w:val="single" w:color="000000" w:sz="12" w:space="0"/>
              <w:right w:val="single" w:color="000000" w:sz="4" w:space="0"/>
            </w:tcBorders>
            <w:noWrap w:val="0"/>
            <w:vAlign w:val="center"/>
          </w:tcPr>
          <w:p>
            <w:pPr>
              <w:pStyle w:val="104"/>
              <w:spacing w:before="96" w:line="240" w:lineRule="auto"/>
              <w:ind w:right="0"/>
              <w:jc w:val="center"/>
              <w:rPr>
                <w:rFonts w:ascii="Times New Roman" w:hAnsi="Times New Roman" w:eastAsia="Times New Roman" w:cs="Times New Roman"/>
                <w:sz w:val="21"/>
                <w:szCs w:val="21"/>
              </w:rPr>
            </w:pPr>
            <w:r>
              <w:rPr>
                <w:rFonts w:ascii="Times New Roman"/>
                <w:sz w:val="21"/>
              </w:rPr>
              <w:t>8.0</w:t>
            </w:r>
          </w:p>
        </w:tc>
        <w:tc>
          <w:tcPr>
            <w:tcW w:w="1657" w:type="dxa"/>
            <w:tcBorders>
              <w:top w:val="single" w:color="000000" w:sz="8" w:space="0"/>
              <w:left w:val="single" w:color="000000" w:sz="4" w:space="0"/>
              <w:bottom w:val="single" w:color="000000" w:sz="12" w:space="0"/>
              <w:right w:val="nil"/>
            </w:tcBorders>
            <w:noWrap w:val="0"/>
            <w:vAlign w:val="center"/>
          </w:tcPr>
          <w:p>
            <w:pPr>
              <w:pStyle w:val="104"/>
              <w:spacing w:before="47" w:line="240" w:lineRule="auto"/>
              <w:ind w:right="0"/>
              <w:jc w:val="center"/>
              <w:rPr>
                <w:rFonts w:ascii="Times New Roman" w:hAnsi="Times New Roman" w:eastAsia="Times New Roman" w:cs="Times New Roman"/>
                <w:sz w:val="13"/>
                <w:szCs w:val="13"/>
              </w:rPr>
            </w:pPr>
            <w:r>
              <w:rPr>
                <w:rFonts w:ascii="Times New Roman" w:hAnsi="Times New Roman" w:eastAsia="Times New Roman" w:cs="Times New Roman"/>
                <w:sz w:val="21"/>
                <w:szCs w:val="21"/>
              </w:rPr>
              <w:t>2.3</w:t>
            </w:r>
            <w:r>
              <w:rPr>
                <w:rFonts w:ascii="宋体" w:hAnsi="宋体" w:eastAsia="宋体" w:cs="宋体"/>
                <w:sz w:val="21"/>
                <w:szCs w:val="21"/>
              </w:rPr>
              <w:t>×</w:t>
            </w:r>
            <w:r>
              <w:rPr>
                <w:rFonts w:ascii="Times New Roman" w:hAnsi="Times New Roman" w:eastAsia="Times New Roman" w:cs="Times New Roman"/>
                <w:sz w:val="21"/>
                <w:szCs w:val="21"/>
              </w:rPr>
              <w:t>10</w:t>
            </w:r>
            <w:r>
              <w:rPr>
                <w:rFonts w:ascii="Times New Roman" w:hAnsi="Times New Roman" w:eastAsia="Times New Roman" w:cs="Times New Roman"/>
                <w:position w:val="7"/>
                <w:sz w:val="13"/>
                <w:szCs w:val="13"/>
              </w:rPr>
              <w:t>-5</w:t>
            </w:r>
          </w:p>
        </w:tc>
      </w:tr>
    </w:tbl>
    <w:p>
      <w:pPr>
        <w:pStyle w:val="81"/>
        <w:rPr>
          <w:rFonts w:ascii="Times New Roman" w:hAnsi="Times New Roman"/>
          <w:b/>
        </w:rPr>
      </w:pPr>
      <w:r>
        <w:rPr>
          <w:rFonts w:hint="eastAsia" w:ascii="Times New Roman" w:hAnsi="Times New Roman"/>
          <w:b/>
          <w:lang w:val="en-US" w:eastAsia="zh-CN"/>
        </w:rPr>
        <w:t>4.2.3.2</w:t>
      </w:r>
      <w:r>
        <w:rPr>
          <w:rFonts w:ascii="Times New Roman" w:hAnsi="Times New Roman"/>
          <w:b/>
        </w:rPr>
        <w:t>、地下水补、径、排条件及动态变化规律</w:t>
      </w:r>
    </w:p>
    <w:p>
      <w:pPr>
        <w:pStyle w:val="16"/>
        <w:spacing w:before="133" w:line="360" w:lineRule="auto"/>
        <w:ind w:left="237" w:right="235" w:firstLine="480"/>
        <w:jc w:val="both"/>
      </w:pPr>
      <w:r>
        <w:t>场地东北侧直线距离约</w:t>
      </w:r>
      <w:r>
        <w:rPr>
          <w:spacing w:val="-78"/>
        </w:rPr>
        <w:t xml:space="preserve"> </w:t>
      </w:r>
      <w:r>
        <w:rPr>
          <w:rFonts w:ascii="Times New Roman" w:hAnsi="Times New Roman" w:eastAsia="Times New Roman" w:cs="Times New Roman"/>
        </w:rPr>
        <w:t>300m</w:t>
      </w:r>
      <w:r>
        <w:t>处为花垣河，场地地下水受其入渗补给。场地地势较平坦，地下水水平径流交替作用较快，主要以地下潜流方式排泄为主。</w:t>
      </w:r>
    </w:p>
    <w:p>
      <w:pPr>
        <w:ind w:firstLine="480"/>
        <w:rPr>
          <w:rFonts w:hint="eastAsia"/>
          <w:color w:val="000000"/>
        </w:rPr>
      </w:pPr>
      <w:r>
        <w:rPr>
          <w:spacing w:val="3"/>
        </w:rPr>
        <w:t>地下水流向与地形基本一致。项目区域地下水流向总的趋势是由西向东运</w:t>
      </w:r>
      <w:r>
        <w:t xml:space="preserve"> </w:t>
      </w:r>
      <w:r>
        <w:rPr>
          <w:spacing w:val="-3"/>
        </w:rPr>
        <w:t>移，地下水的排泄以常年性和季节性地表、地下径流、井、泉、人工开采的形式</w:t>
      </w:r>
      <w:r>
        <w:rPr>
          <w:spacing w:val="-108"/>
        </w:rPr>
        <w:t xml:space="preserve"> </w:t>
      </w:r>
      <w:r>
        <w:rPr>
          <w:spacing w:val="-3"/>
        </w:rPr>
        <w:t>为主。场地内的地下水受季节影响变化，丰水季节地下水位上升，枯水季节地下</w:t>
      </w:r>
      <w:r>
        <w:rPr>
          <w:spacing w:val="-106"/>
        </w:rPr>
        <w:t xml:space="preserve"> </w:t>
      </w:r>
      <w:r>
        <w:t>水位有一定的下降，地下水的年变化幅度为</w:t>
      </w:r>
      <w:r>
        <w:rPr>
          <w:spacing w:val="-61"/>
        </w:rPr>
        <w:t xml:space="preserve"> </w:t>
      </w:r>
      <w:r>
        <w:rPr>
          <w:rFonts w:ascii="Times New Roman" w:hAnsi="Times New Roman" w:eastAsia="Times New Roman" w:cs="Times New Roman"/>
        </w:rPr>
        <w:t>1m</w:t>
      </w:r>
      <w:r>
        <w:t>左右。</w:t>
      </w:r>
    </w:p>
    <w:p>
      <w:pPr>
        <w:pStyle w:val="81"/>
        <w:spacing w:line="360" w:lineRule="auto"/>
        <w:rPr>
          <w:rFonts w:hint="eastAsia" w:ascii="Times New Roman" w:hAnsi="Times New Roman" w:eastAsia="宋体" w:cs="Times New Roman"/>
          <w:b/>
        </w:rPr>
      </w:pPr>
      <w:r>
        <w:rPr>
          <w:rFonts w:hint="eastAsia" w:eastAsia="宋体" w:cs="Times New Roman"/>
          <w:b/>
          <w:lang w:val="en-US" w:eastAsia="zh-CN"/>
        </w:rPr>
        <w:t>4.2.3.3</w:t>
      </w:r>
      <w:r>
        <w:rPr>
          <w:rFonts w:hint="eastAsia" w:ascii="Times New Roman" w:hAnsi="Times New Roman" w:eastAsia="宋体" w:cs="Times New Roman"/>
          <w:b/>
        </w:rPr>
        <w:t xml:space="preserve">  地下水开发利用现状及规划。</w:t>
      </w:r>
    </w:p>
    <w:p>
      <w:pPr>
        <w:ind w:firstLine="480"/>
        <w:rPr>
          <w:rFonts w:hint="eastAsia" w:ascii="Times New Roman" w:hAnsi="Times New Roman" w:eastAsia="宋体" w:cs="Times New Roman"/>
          <w:spacing w:val="3"/>
        </w:rPr>
      </w:pPr>
      <w:r>
        <w:rPr>
          <w:rFonts w:hint="eastAsia" w:ascii="Times New Roman" w:hAnsi="Times New Roman" w:eastAsia="宋体" w:cs="Times New Roman"/>
          <w:spacing w:val="3"/>
        </w:rPr>
        <w:t>项目所在地不属于地下水饮用水源保护区，属于生活杂用水。项目所在地目前尚无地下水开发利用规划。</w:t>
      </w:r>
    </w:p>
    <w:p>
      <w:pPr>
        <w:pStyle w:val="81"/>
        <w:spacing w:line="360" w:lineRule="auto"/>
        <w:rPr>
          <w:rFonts w:hint="eastAsia" w:ascii="Times New Roman" w:hAnsi="Times New Roman" w:eastAsia="宋体" w:cs="Times New Roman"/>
          <w:b/>
        </w:rPr>
      </w:pPr>
      <w:r>
        <w:rPr>
          <w:rFonts w:hint="eastAsia" w:eastAsia="宋体" w:cs="Times New Roman"/>
          <w:b/>
          <w:lang w:val="en-US" w:eastAsia="zh-CN"/>
        </w:rPr>
        <w:t>4.2.3.4</w:t>
      </w:r>
      <w:r>
        <w:rPr>
          <w:rFonts w:hint="eastAsia" w:ascii="Times New Roman" w:hAnsi="Times New Roman" w:eastAsia="宋体" w:cs="Times New Roman"/>
          <w:b/>
        </w:rPr>
        <w:t xml:space="preserve">  评价区域地下水水质现状</w:t>
      </w:r>
    </w:p>
    <w:p>
      <w:pPr>
        <w:ind w:firstLine="480"/>
        <w:rPr>
          <w:rFonts w:hint="eastAsia" w:ascii="Times New Roman" w:hAnsi="Times New Roman" w:eastAsia="宋体" w:cs="Times New Roman"/>
          <w:spacing w:val="3"/>
        </w:rPr>
      </w:pPr>
      <w:r>
        <w:rPr>
          <w:rFonts w:hint="eastAsia" w:ascii="Times New Roman" w:hAnsi="Times New Roman" w:eastAsia="宋体" w:cs="Times New Roman"/>
          <w:spacing w:val="3"/>
        </w:rPr>
        <w:t>根据地下水监测结果显示：各监测点的监测因子水质标准指数均能满足GB/T14848-2017《地下水质量标准》Ⅲ类标准的要求，区域地下水水质较好。</w:t>
      </w:r>
    </w:p>
    <w:p>
      <w:pPr>
        <w:pStyle w:val="81"/>
        <w:rPr>
          <w:rFonts w:hint="eastAsia"/>
        </w:rPr>
      </w:pPr>
      <w:r>
        <w:rPr>
          <w:rFonts w:hint="eastAsia"/>
          <w:lang w:val="en-US" w:eastAsia="zh-CN"/>
        </w:rPr>
        <w:t>4.2.3.5</w:t>
      </w:r>
      <w:r>
        <w:rPr>
          <w:rFonts w:hint="eastAsia"/>
        </w:rPr>
        <w:t>地下水污染途径</w:t>
      </w:r>
    </w:p>
    <w:p>
      <w:pPr>
        <w:ind w:firstLine="480"/>
        <w:rPr>
          <w:rFonts w:hint="eastAsia"/>
          <w:color w:val="000000"/>
        </w:rPr>
      </w:pPr>
      <w:r>
        <w:rPr>
          <w:rFonts w:hint="eastAsia"/>
          <w:color w:val="000000"/>
          <w:lang w:eastAsia="zh-CN"/>
        </w:rPr>
        <w:t>（</w:t>
      </w:r>
      <w:r>
        <w:rPr>
          <w:rFonts w:hint="eastAsia"/>
          <w:color w:val="000000"/>
          <w:lang w:val="en-US" w:eastAsia="zh-CN"/>
        </w:rPr>
        <w:t>1</w:t>
      </w:r>
      <w:r>
        <w:rPr>
          <w:rFonts w:hint="eastAsia"/>
          <w:color w:val="000000"/>
          <w:lang w:eastAsia="zh-CN"/>
        </w:rPr>
        <w:t>）</w:t>
      </w:r>
      <w:r>
        <w:rPr>
          <w:rFonts w:hint="eastAsia"/>
          <w:color w:val="000000"/>
        </w:rPr>
        <w:t>、污染途径</w:t>
      </w:r>
    </w:p>
    <w:p>
      <w:pPr>
        <w:ind w:firstLine="480"/>
        <w:rPr>
          <w:rFonts w:hint="eastAsia"/>
          <w:color w:val="000000"/>
        </w:rPr>
      </w:pPr>
      <w:r>
        <w:rPr>
          <w:rFonts w:hint="eastAsia"/>
          <w:color w:val="000000"/>
        </w:rPr>
        <w:t>地下水污染途径是多种多样的，大致可归为以下四类：</w:t>
      </w:r>
    </w:p>
    <w:p>
      <w:pPr>
        <w:ind w:firstLine="480"/>
        <w:rPr>
          <w:rFonts w:hint="eastAsia"/>
          <w:color w:val="000000"/>
        </w:rPr>
      </w:pPr>
      <w:r>
        <w:rPr>
          <w:rFonts w:hint="eastAsia"/>
          <w:color w:val="000000"/>
        </w:rPr>
        <w:t>①间歇入渗型。大气降水或其他灌溉水使污染物随水通过非饱水带，周期地渗入含水层，主要是污染潜水。淋滤固体废物堆引起的污染，即属此类。</w:t>
      </w:r>
    </w:p>
    <w:p>
      <w:pPr>
        <w:ind w:firstLine="480"/>
        <w:rPr>
          <w:rFonts w:hint="eastAsia"/>
          <w:color w:val="000000"/>
        </w:rPr>
      </w:pPr>
      <w:r>
        <w:rPr>
          <w:rFonts w:hint="eastAsia"/>
          <w:color w:val="000000"/>
        </w:rPr>
        <w:t>②连续入渗型。污染物随水不断地渗入含水层，主要也是污染潜水。废水聚集地段(如废水渠、废水池等)和受污染的地表水体连续渗漏造成地下水污染，即属此类。</w:t>
      </w:r>
    </w:p>
    <w:p>
      <w:pPr>
        <w:ind w:firstLine="480"/>
        <w:rPr>
          <w:rFonts w:hint="eastAsia"/>
          <w:color w:val="000000"/>
        </w:rPr>
      </w:pPr>
      <w:r>
        <w:rPr>
          <w:rFonts w:hint="eastAsia"/>
          <w:color w:val="000000"/>
        </w:rPr>
        <w:t>③越流型。污染物是通过越流的方式从已受污染的含水层(或天然成水层)转移到未受污染的含水层(或天然淡水层)。污染物或者是通过整个层间，或者是通过地层尖灭的天窗，或者是通过破损的井管，污染潜水和承压水、地下水的开采改变了越流方向，使已受污染的潜水进入未受污染的承压水，即属此类</w:t>
      </w:r>
    </w:p>
    <w:p>
      <w:pPr>
        <w:ind w:firstLine="480"/>
        <w:rPr>
          <w:rFonts w:hint="eastAsia"/>
          <w:color w:val="000000"/>
        </w:rPr>
      </w:pPr>
      <w:r>
        <w:rPr>
          <w:rFonts w:hint="eastAsia"/>
          <w:color w:val="000000"/>
        </w:rPr>
        <w:t>④径流型。污染物通过地下径流进入含水层，污染潜水或承压水。污染物通过地下岩溶孔道进入含水层，即属此类。</w:t>
      </w:r>
    </w:p>
    <w:p>
      <w:pPr>
        <w:ind w:firstLine="480"/>
        <w:rPr>
          <w:rFonts w:hint="eastAsia"/>
          <w:color w:val="000000"/>
        </w:rPr>
      </w:pPr>
      <w:r>
        <w:rPr>
          <w:rFonts w:hint="eastAsia"/>
          <w:color w:val="000000"/>
          <w:lang w:eastAsia="zh-CN"/>
        </w:rPr>
        <w:t>（</w:t>
      </w:r>
      <w:r>
        <w:rPr>
          <w:rFonts w:hint="eastAsia"/>
          <w:color w:val="000000"/>
          <w:lang w:val="en-US" w:eastAsia="zh-CN"/>
        </w:rPr>
        <w:t>2</w:t>
      </w:r>
      <w:r>
        <w:rPr>
          <w:rFonts w:hint="eastAsia"/>
          <w:color w:val="000000"/>
          <w:lang w:eastAsia="zh-CN"/>
        </w:rPr>
        <w:t>）</w:t>
      </w:r>
      <w:r>
        <w:rPr>
          <w:rFonts w:hint="eastAsia"/>
          <w:color w:val="000000"/>
        </w:rPr>
        <w:t>、本项目对地下水污染途径</w:t>
      </w:r>
    </w:p>
    <w:p>
      <w:pPr>
        <w:ind w:firstLine="480"/>
        <w:rPr>
          <w:rFonts w:hint="eastAsia"/>
          <w:color w:val="000000"/>
        </w:rPr>
      </w:pPr>
      <w:r>
        <w:rPr>
          <w:rFonts w:hint="eastAsia"/>
          <w:color w:val="000000"/>
        </w:rPr>
        <w:t>本项目的地下水污染途径主要为间歇入渗型、连续入渗型。结合本项目厂区的实际情况，地下水的污染源主要有以下两类：</w:t>
      </w:r>
    </w:p>
    <w:p>
      <w:pPr>
        <w:ind w:firstLine="480"/>
        <w:rPr>
          <w:rFonts w:hint="eastAsia"/>
          <w:color w:val="000000"/>
        </w:rPr>
      </w:pPr>
      <w:r>
        <w:rPr>
          <w:rFonts w:hint="eastAsia"/>
          <w:color w:val="000000"/>
        </w:rPr>
        <w:t>1）</w:t>
      </w:r>
      <w:r>
        <w:rPr>
          <w:rFonts w:hint="eastAsia"/>
          <w:color w:val="000000"/>
          <w:lang w:eastAsia="zh-CN"/>
        </w:rPr>
        <w:t>污泥脱水间</w:t>
      </w:r>
      <w:r>
        <w:rPr>
          <w:rFonts w:hint="eastAsia"/>
          <w:color w:val="000000"/>
        </w:rPr>
        <w:t>。</w:t>
      </w:r>
      <w:r>
        <w:rPr>
          <w:rFonts w:hint="eastAsia"/>
          <w:color w:val="000000"/>
          <w:lang w:eastAsia="zh-CN"/>
        </w:rPr>
        <w:t>污泥脱水间</w:t>
      </w:r>
      <w:r>
        <w:rPr>
          <w:rFonts w:hint="eastAsia"/>
          <w:color w:val="000000"/>
        </w:rPr>
        <w:t>主要是危险废物暂存区暂存区。上述储存场所在有水冲刷或者暴露在雨天的情况下，以上区域中的污染物有可能随地表径流进入地下水环境，造成地下水的污染。</w:t>
      </w:r>
    </w:p>
    <w:p>
      <w:pPr>
        <w:ind w:firstLine="480"/>
        <w:rPr>
          <w:rFonts w:hint="eastAsia"/>
          <w:color w:val="000000"/>
        </w:rPr>
      </w:pPr>
      <w:r>
        <w:rPr>
          <w:rFonts w:hint="eastAsia"/>
          <w:color w:val="000000"/>
        </w:rPr>
        <w:t>2）废水收集处理系统，主要是</w:t>
      </w:r>
      <w:r>
        <w:rPr>
          <w:rFonts w:hint="eastAsia"/>
          <w:color w:val="000000"/>
          <w:lang w:eastAsia="zh-CN"/>
        </w:rPr>
        <w:t>项目污水管网</w:t>
      </w:r>
      <w:r>
        <w:rPr>
          <w:rFonts w:hint="eastAsia"/>
          <w:color w:val="000000"/>
        </w:rPr>
        <w:t>、</w:t>
      </w:r>
      <w:r>
        <w:rPr>
          <w:rFonts w:hint="eastAsia"/>
          <w:color w:val="000000"/>
          <w:lang w:eastAsia="zh-CN"/>
        </w:rPr>
        <w:t>污水处理设施</w:t>
      </w:r>
      <w:r>
        <w:rPr>
          <w:rFonts w:hint="eastAsia"/>
          <w:color w:val="000000"/>
        </w:rPr>
        <w:t>等废水聚集地。由于上述废水聚集地的防渗工程不到位或者因事故破裂等原因导致池/桶内的污废水不断地渗入到地下含水层，造成地下水的污染。</w:t>
      </w:r>
    </w:p>
    <w:p>
      <w:pPr>
        <w:pStyle w:val="81"/>
        <w:rPr>
          <w:rFonts w:hint="eastAsia"/>
        </w:rPr>
      </w:pPr>
      <w:r>
        <w:t>4.2</w:t>
      </w:r>
      <w:r>
        <w:rPr>
          <w:rFonts w:hint="eastAsia"/>
        </w:rPr>
        <w:t>.3.</w:t>
      </w:r>
      <w:r>
        <w:rPr>
          <w:rFonts w:hint="eastAsia"/>
          <w:lang w:val="en-US" w:eastAsia="zh-CN"/>
        </w:rPr>
        <w:t>6</w:t>
      </w:r>
      <w:r>
        <w:rPr>
          <w:rFonts w:hint="eastAsia"/>
        </w:rPr>
        <w:t>地下水环境影响预测分析</w:t>
      </w:r>
    </w:p>
    <w:p>
      <w:pPr>
        <w:ind w:firstLine="480"/>
        <w:rPr>
          <w:rFonts w:hint="eastAsia"/>
          <w:color w:val="000000"/>
        </w:rPr>
      </w:pPr>
      <w:r>
        <w:rPr>
          <w:color w:val="000000"/>
        </w:rPr>
        <w:t>（</w:t>
      </w:r>
      <w:r>
        <w:rPr>
          <w:rFonts w:hint="eastAsia" w:eastAsia="宋体"/>
          <w:color w:val="000000"/>
          <w:lang w:val="en-US" w:eastAsia="zh-CN"/>
        </w:rPr>
        <w:t>1</w:t>
      </w:r>
      <w:r>
        <w:rPr>
          <w:color w:val="000000"/>
        </w:rPr>
        <w:t>）</w:t>
      </w:r>
      <w:r>
        <w:rPr>
          <w:rFonts w:hint="eastAsia"/>
          <w:color w:val="000000"/>
        </w:rPr>
        <w:t xml:space="preserve">正常情况下地下水环境影响分析 </w:t>
      </w:r>
    </w:p>
    <w:p>
      <w:pPr>
        <w:ind w:firstLine="480"/>
        <w:rPr>
          <w:rFonts w:hint="eastAsia"/>
          <w:color w:val="000000"/>
        </w:rPr>
      </w:pPr>
      <w:r>
        <w:rPr>
          <w:rFonts w:hint="eastAsia"/>
          <w:color w:val="000000"/>
        </w:rPr>
        <w:t>本工程自身产生的生活污水经化粪池处理后，</w:t>
      </w:r>
      <w:r>
        <w:rPr>
          <w:rFonts w:hint="eastAsia"/>
          <w:color w:val="000000"/>
          <w:lang w:eastAsia="zh-CN"/>
        </w:rPr>
        <w:t>进入花垣工业集中区污水处理厂</w:t>
      </w:r>
      <w:r>
        <w:rPr>
          <w:rFonts w:hint="eastAsia"/>
          <w:color w:val="000000"/>
        </w:rPr>
        <w:t>一并处理，对纳污范围内</w:t>
      </w:r>
      <w:r>
        <w:rPr>
          <w:rFonts w:hint="eastAsia"/>
          <w:color w:val="auto"/>
          <w:lang w:eastAsia="zh-CN"/>
        </w:rPr>
        <w:t>重金属</w:t>
      </w:r>
      <w:r>
        <w:rPr>
          <w:rFonts w:hint="eastAsia"/>
          <w:color w:val="auto"/>
        </w:rPr>
        <w:t>废水采用“</w:t>
      </w:r>
      <w:r>
        <w:rPr>
          <w:rFonts w:hint="eastAsia"/>
          <w:color w:val="auto"/>
          <w:lang w:eastAsia="zh-CN"/>
        </w:rPr>
        <w:t>化学沉淀</w:t>
      </w:r>
      <w:r>
        <w:rPr>
          <w:rFonts w:hint="eastAsia"/>
          <w:color w:val="auto"/>
        </w:rPr>
        <w:t>+</w:t>
      </w:r>
      <w:r>
        <w:rPr>
          <w:rFonts w:hint="eastAsia"/>
          <w:color w:val="auto"/>
          <w:lang w:eastAsia="zh-CN"/>
        </w:rPr>
        <w:t>石英砂过来</w:t>
      </w:r>
      <w:r>
        <w:rPr>
          <w:rFonts w:hint="eastAsia"/>
          <w:color w:val="auto"/>
        </w:rPr>
        <w:t>”处理</w:t>
      </w:r>
      <w:r>
        <w:rPr>
          <w:rFonts w:hint="eastAsia"/>
          <w:color w:val="000000"/>
        </w:rPr>
        <w:t>工艺，去处效率高，对来水波动适应性强，易于控制管理，去除进水大部分重金属离子浓度；在运营过程中，严格做到以下方面工作：①加强进、出水质管控：对工程进、出水口设置在线监测系统，对进、出水的</w:t>
      </w:r>
      <w:r>
        <w:rPr>
          <w:rFonts w:hint="eastAsia"/>
          <w:color w:val="auto"/>
        </w:rPr>
        <w:t>流量及锰、铬（六价）、总钒、总锌、总铬、总铅等因子进行监控，并做</w:t>
      </w:r>
      <w:r>
        <w:rPr>
          <w:rFonts w:hint="eastAsia"/>
          <w:color w:val="000000"/>
        </w:rPr>
        <w:t>好与相关部门的联网工作。确保进水水质在可接受范围内，以免高浓度污水影响处理系统的正常运行，一量发现进水中污染物浓度高于进水水质控制要求，应迅速对进水进行阻断或应急处理，追查污染源头。②认真做好污水处理厂的运行管理工作，加强对员工的培训和教育，提高其工作责任心；制定各项规章制度和操作规程，避免因操作失误而造成事故排放。③加强对各类设备及尾水排放管道的定期检查、维护和管理，以减少事故隐患；污水厂应采用双回路供电，防止因停电而造成运转事故。④对各类污水处理设施采取防渗措施。</w:t>
      </w:r>
    </w:p>
    <w:p>
      <w:pPr>
        <w:ind w:firstLine="480"/>
        <w:rPr>
          <w:rFonts w:hint="eastAsia"/>
          <w:color w:val="000000"/>
        </w:rPr>
      </w:pPr>
      <w:r>
        <w:rPr>
          <w:rFonts w:hint="eastAsia"/>
          <w:color w:val="000000"/>
        </w:rPr>
        <w:t>根据建设单位提供的资料可知，本项目构筑物均采用抗渗钢纤维混凝土，混凝土自防水并涂聚合物水泥基防水涂膜，内表面采用环氧树脂砂浆抹面防渗防腐处理，在处理系统底部及四壁采取防止渗透的措施。在正常情况下，可有效防止项目运营过程中污染物进入地下水环境。</w:t>
      </w:r>
    </w:p>
    <w:p>
      <w:pPr>
        <w:ind w:firstLine="480"/>
        <w:rPr>
          <w:color w:val="000000"/>
        </w:rPr>
      </w:pPr>
      <w:r>
        <w:rPr>
          <w:rFonts w:hint="eastAsia"/>
          <w:color w:val="000000"/>
        </w:rPr>
        <w:t>根据《环境影响评价技术导则 地下水环境》（HJ610-2016）9.4.2条，已依据GB16889、GB18597、GB18598、GB18599、GB/T50934 设计地下水污染防渗措施的建设项目，可不进行正常状况情景下的预测。因此，本评价地下水环境影响主要考虑非正常状况下的影响。</w:t>
      </w:r>
    </w:p>
    <w:p>
      <w:pPr>
        <w:ind w:firstLine="480"/>
        <w:rPr>
          <w:rFonts w:hint="eastAsia" w:ascii="微软雅黑" w:eastAsia="宋体"/>
          <w:color w:val="000000"/>
          <w:lang w:eastAsia="zh-CN"/>
        </w:rPr>
      </w:pPr>
      <w:r>
        <w:rPr>
          <w:rFonts w:hint="default" w:ascii="Times New Roman" w:hAnsi="Times New Roman" w:cs="Times New Roman"/>
          <w:color w:val="000000"/>
          <w:lang w:eastAsia="zh-CN"/>
        </w:rPr>
        <w:t>（</w:t>
      </w:r>
      <w:r>
        <w:rPr>
          <w:rFonts w:hint="default" w:ascii="Times New Roman" w:hAnsi="Times New Roman" w:cs="Times New Roman"/>
          <w:color w:val="000000"/>
          <w:lang w:val="en-US" w:eastAsia="zh-CN"/>
        </w:rPr>
        <w:t>2</w:t>
      </w:r>
      <w:r>
        <w:rPr>
          <w:rFonts w:hint="default" w:ascii="Times New Roman" w:hAnsi="Times New Roman" w:cs="Times New Roman"/>
          <w:color w:val="000000"/>
          <w:lang w:eastAsia="zh-CN"/>
        </w:rPr>
        <w:t>）</w:t>
      </w:r>
      <w:r>
        <w:rPr>
          <w:rFonts w:hint="eastAsia" w:ascii="微软雅黑"/>
          <w:color w:val="000000"/>
          <w:lang w:eastAsia="zh-CN"/>
        </w:rPr>
        <w:t>非正常情况下地下水环境影响与预测</w:t>
      </w:r>
    </w:p>
    <w:p>
      <w:pPr>
        <w:ind w:firstLine="480"/>
        <w:rPr>
          <w:color w:val="000000"/>
        </w:rPr>
      </w:pPr>
      <w:r>
        <w:rPr>
          <w:rFonts w:eastAsia="Times New Roman"/>
          <w:color w:val="000000"/>
        </w:rPr>
        <w:t>1</w:t>
      </w:r>
      <w:r>
        <w:rPr>
          <w:color w:val="000000"/>
        </w:rPr>
        <w:t>）预测范围及预测内容</w:t>
      </w:r>
    </w:p>
    <w:p>
      <w:pPr>
        <w:ind w:firstLine="480"/>
        <w:rPr>
          <w:rFonts w:hint="eastAsia"/>
          <w:color w:val="000000"/>
        </w:rPr>
      </w:pPr>
      <w:r>
        <w:rPr>
          <w:color w:val="000000"/>
        </w:rPr>
        <w:t>预测范围：地下水环境影响预测的范围与评价范围相同，包括保护目标和环境影响的敏感区域。</w:t>
      </w:r>
    </w:p>
    <w:p>
      <w:pPr>
        <w:ind w:firstLine="480"/>
        <w:rPr>
          <w:color w:val="000000"/>
        </w:rPr>
      </w:pPr>
      <w:r>
        <w:rPr>
          <w:color w:val="000000"/>
        </w:rPr>
        <w:t>预测内容：一般情况下，污水处理</w:t>
      </w:r>
      <w:r>
        <w:rPr>
          <w:rFonts w:hint="eastAsia"/>
          <w:color w:val="000000"/>
          <w:lang w:eastAsia="zh-CN"/>
        </w:rPr>
        <w:t>站</w:t>
      </w:r>
      <w:r>
        <w:rPr>
          <w:color w:val="000000"/>
        </w:rPr>
        <w:t>各池体均按照相关技术规范进行了防渗， 基本对地下水无影响，且项目厂址地下无溶洞和地下暗河，厂址靠近</w:t>
      </w:r>
      <w:r>
        <w:rPr>
          <w:rFonts w:hint="eastAsia"/>
          <w:color w:val="000000"/>
          <w:lang w:eastAsia="zh-CN"/>
        </w:rPr>
        <w:t>花垣河</w:t>
      </w:r>
      <w:r>
        <w:rPr>
          <w:color w:val="000000"/>
        </w:rPr>
        <w:t>边，地下水流向为向东</w:t>
      </w:r>
      <w:r>
        <w:rPr>
          <w:rFonts w:hint="eastAsia"/>
          <w:color w:val="000000"/>
          <w:lang w:eastAsia="zh-CN"/>
        </w:rPr>
        <w:t>北</w:t>
      </w:r>
      <w:r>
        <w:rPr>
          <w:color w:val="000000"/>
        </w:rPr>
        <w:t>往</w:t>
      </w:r>
      <w:r>
        <w:rPr>
          <w:rFonts w:hint="eastAsia"/>
          <w:color w:val="000000"/>
          <w:lang w:eastAsia="zh-CN"/>
        </w:rPr>
        <w:t>花垣河</w:t>
      </w:r>
      <w:r>
        <w:rPr>
          <w:color w:val="000000"/>
        </w:rPr>
        <w:t>排泄，故本评价主要预测非正常工况下，对场址及附近基岩裂隙水影响进行预测评价。</w:t>
      </w:r>
    </w:p>
    <w:p>
      <w:pPr>
        <w:ind w:firstLine="480"/>
        <w:rPr>
          <w:color w:val="000000"/>
        </w:rPr>
      </w:pPr>
      <w:r>
        <w:rPr>
          <w:rFonts w:hint="eastAsia"/>
          <w:color w:val="000000"/>
          <w:lang w:val="en-US" w:eastAsia="zh-CN"/>
        </w:rPr>
        <w:t>2</w:t>
      </w:r>
      <w:r>
        <w:rPr>
          <w:rFonts w:hint="eastAsia"/>
          <w:color w:val="000000"/>
          <w:lang w:eastAsia="zh-CN"/>
        </w:rPr>
        <w:t>）</w:t>
      </w:r>
      <w:r>
        <w:rPr>
          <w:color w:val="000000"/>
        </w:rPr>
        <w:t>预测因子</w:t>
      </w:r>
    </w:p>
    <w:p>
      <w:pPr>
        <w:ind w:firstLine="480"/>
        <w:rPr>
          <w:rFonts w:hint="eastAsia"/>
          <w:color w:val="000000"/>
        </w:rPr>
      </w:pPr>
      <w:r>
        <w:rPr>
          <w:rFonts w:hint="eastAsia"/>
          <w:color w:val="000000"/>
        </w:rPr>
        <w:t>根据工程分析可知， 本项目运行过程中尾水通过污水管道外排，对地下水污染影响最大的为项目各污水处理构筑物的渗漏等非正常排放，废水旦穿过了表层的粘土，即可快速下渗，可能污染地下水</w:t>
      </w:r>
      <w:r>
        <w:rPr>
          <w:rFonts w:hint="eastAsia"/>
          <w:color w:val="auto"/>
        </w:rPr>
        <w:t>。因此项目主要针对废水处理构筑物进行预测，主要的污染物为</w:t>
      </w:r>
      <w:r>
        <w:rPr>
          <w:rFonts w:hint="eastAsia"/>
          <w:color w:val="auto"/>
          <w:lang w:eastAsia="zh-CN"/>
        </w:rPr>
        <w:t>锰</w:t>
      </w:r>
      <w:r>
        <w:rPr>
          <w:rFonts w:hint="eastAsia"/>
          <w:color w:val="auto"/>
        </w:rPr>
        <w:t>、铬</w:t>
      </w:r>
      <w:r>
        <w:rPr>
          <w:rFonts w:hint="eastAsia"/>
          <w:color w:val="auto"/>
          <w:lang w:eastAsia="zh-CN"/>
        </w:rPr>
        <w:t>（六价）</w:t>
      </w:r>
      <w:r>
        <w:rPr>
          <w:rFonts w:hint="eastAsia"/>
          <w:color w:val="auto"/>
        </w:rPr>
        <w:t>、</w:t>
      </w:r>
      <w:r>
        <w:rPr>
          <w:rFonts w:hint="eastAsia"/>
          <w:color w:val="auto"/>
          <w:lang w:eastAsia="zh-CN"/>
        </w:rPr>
        <w:t>总钒</w:t>
      </w:r>
      <w:r>
        <w:rPr>
          <w:rFonts w:hint="eastAsia"/>
          <w:color w:val="auto"/>
        </w:rPr>
        <w:t>、</w:t>
      </w:r>
      <w:r>
        <w:rPr>
          <w:rFonts w:hint="eastAsia"/>
          <w:color w:val="auto"/>
          <w:lang w:eastAsia="zh-CN"/>
        </w:rPr>
        <w:t>总</w:t>
      </w:r>
      <w:r>
        <w:rPr>
          <w:rFonts w:hint="eastAsia"/>
          <w:color w:val="auto"/>
        </w:rPr>
        <w:t>锌、</w:t>
      </w:r>
      <w:r>
        <w:rPr>
          <w:rFonts w:hint="eastAsia"/>
          <w:color w:val="auto"/>
          <w:lang w:eastAsia="zh-CN"/>
        </w:rPr>
        <w:t>总铬、总</w:t>
      </w:r>
      <w:r>
        <w:rPr>
          <w:rFonts w:hint="eastAsia"/>
          <w:color w:val="000000"/>
          <w:lang w:eastAsia="zh-CN"/>
        </w:rPr>
        <w:t>铅</w:t>
      </w:r>
      <w:r>
        <w:rPr>
          <w:rFonts w:hint="eastAsia"/>
          <w:color w:val="000000"/>
        </w:rPr>
        <w:t>等重金属离子，鉴于不同污染因子与地质条件的关系存在差异，如吸附、降解、迁移速度的不同，按污染物在污水中含量大小和危害程度，本次选取</w:t>
      </w:r>
      <w:r>
        <w:rPr>
          <w:rFonts w:hint="eastAsia"/>
          <w:color w:val="000000"/>
          <w:lang w:eastAsia="zh-CN"/>
        </w:rPr>
        <w:t>锰（</w:t>
      </w:r>
      <w:r>
        <w:rPr>
          <w:rFonts w:hint="eastAsia"/>
          <w:color w:val="000000"/>
        </w:rPr>
        <w:t>泄漏浓度为</w:t>
      </w:r>
      <w:r>
        <w:rPr>
          <w:rFonts w:hint="eastAsia"/>
          <w:color w:val="000000"/>
          <w:lang w:val="en-US" w:eastAsia="zh-CN"/>
        </w:rPr>
        <w:t>25</w:t>
      </w:r>
      <w:r>
        <w:rPr>
          <w:rFonts w:hint="eastAsia"/>
          <w:color w:val="000000"/>
        </w:rPr>
        <w:t>mg/L</w:t>
      </w:r>
      <w:r>
        <w:rPr>
          <w:rFonts w:hint="eastAsia"/>
          <w:color w:val="000000"/>
          <w:lang w:eastAsia="zh-CN"/>
        </w:rPr>
        <w:t>）</w:t>
      </w:r>
      <w:r>
        <w:rPr>
          <w:rFonts w:hint="eastAsia"/>
          <w:color w:val="000000"/>
        </w:rPr>
        <w:t>、</w:t>
      </w:r>
      <w:r>
        <w:rPr>
          <w:rFonts w:hint="eastAsia"/>
          <w:color w:val="000000"/>
          <w:lang w:eastAsia="zh-CN"/>
        </w:rPr>
        <w:t>六价铬（</w:t>
      </w:r>
      <w:r>
        <w:rPr>
          <w:rFonts w:hint="eastAsia"/>
          <w:color w:val="000000"/>
        </w:rPr>
        <w:t>泄漏浓度为</w:t>
      </w:r>
      <w:r>
        <w:rPr>
          <w:rFonts w:hint="eastAsia"/>
          <w:color w:val="000000"/>
          <w:lang w:val="en-US" w:eastAsia="zh-CN"/>
        </w:rPr>
        <w:t>0.5</w:t>
      </w:r>
      <w:r>
        <w:rPr>
          <w:rFonts w:hint="eastAsia"/>
          <w:color w:val="000000"/>
        </w:rPr>
        <w:t>mg/L</w:t>
      </w:r>
      <w:r>
        <w:rPr>
          <w:rFonts w:hint="eastAsia"/>
          <w:color w:val="000000"/>
          <w:lang w:eastAsia="zh-CN"/>
        </w:rPr>
        <w:t>）</w:t>
      </w:r>
      <w:r>
        <w:rPr>
          <w:rFonts w:hint="eastAsia"/>
          <w:color w:val="000000"/>
        </w:rPr>
        <w:t>、</w:t>
      </w:r>
      <w:r>
        <w:rPr>
          <w:rFonts w:hint="eastAsia"/>
          <w:color w:val="000000"/>
          <w:lang w:eastAsia="zh-CN"/>
        </w:rPr>
        <w:t>总铅（</w:t>
      </w:r>
      <w:r>
        <w:rPr>
          <w:rFonts w:hint="eastAsia"/>
          <w:color w:val="000000"/>
        </w:rPr>
        <w:t>泄漏浓度为</w:t>
      </w:r>
      <w:r>
        <w:rPr>
          <w:rFonts w:hint="eastAsia"/>
          <w:color w:val="000000"/>
          <w:lang w:val="en-US" w:eastAsia="zh-CN"/>
        </w:rPr>
        <w:t>1.0</w:t>
      </w:r>
      <w:r>
        <w:rPr>
          <w:rFonts w:hint="eastAsia"/>
          <w:color w:val="000000"/>
        </w:rPr>
        <w:t>mgL</w:t>
      </w:r>
      <w:r>
        <w:rPr>
          <w:rFonts w:hint="eastAsia"/>
          <w:color w:val="000000"/>
          <w:lang w:eastAsia="zh-CN"/>
        </w:rPr>
        <w:t>）</w:t>
      </w:r>
      <w:r>
        <w:rPr>
          <w:rFonts w:hint="eastAsia"/>
          <w:color w:val="000000"/>
        </w:rPr>
        <w:t>作为预测因子。</w:t>
      </w:r>
    </w:p>
    <w:p>
      <w:pPr>
        <w:ind w:firstLine="480"/>
        <w:rPr>
          <w:color w:val="000000"/>
        </w:rPr>
      </w:pPr>
      <w:r>
        <w:rPr>
          <w:rFonts w:hint="eastAsia"/>
          <w:color w:val="000000"/>
        </w:rPr>
        <w:t>评价标准</w:t>
      </w:r>
      <w:r>
        <w:rPr>
          <w:rFonts w:hint="eastAsia"/>
          <w:color w:val="000000"/>
          <w:lang w:eastAsia="zh-CN"/>
        </w:rPr>
        <w:t>：</w:t>
      </w:r>
      <w:r>
        <w:rPr>
          <w:rFonts w:hint="eastAsia"/>
          <w:color w:val="000000"/>
        </w:rPr>
        <w:t>铅、六价铬、</w:t>
      </w:r>
      <w:r>
        <w:rPr>
          <w:rFonts w:hint="eastAsia"/>
          <w:color w:val="000000"/>
          <w:lang w:eastAsia="zh-CN"/>
        </w:rPr>
        <w:t>锰</w:t>
      </w:r>
      <w:r>
        <w:rPr>
          <w:rFonts w:hint="eastAsia"/>
          <w:color w:val="000000"/>
        </w:rPr>
        <w:t>执行《地下水质量标准》</w:t>
      </w:r>
      <w:r>
        <w:rPr>
          <w:rFonts w:hint="eastAsia"/>
          <w:color w:val="000000"/>
          <w:lang w:eastAsia="zh-CN"/>
        </w:rPr>
        <w:t>（</w:t>
      </w:r>
      <w:r>
        <w:rPr>
          <w:rFonts w:hint="eastAsia"/>
          <w:color w:val="000000"/>
        </w:rPr>
        <w:t>GB/T14848-2017</w:t>
      </w:r>
      <w:r>
        <w:rPr>
          <w:rFonts w:hint="eastAsia"/>
          <w:color w:val="000000"/>
          <w:lang w:eastAsia="zh-CN"/>
        </w:rPr>
        <w:t>）</w:t>
      </w:r>
      <w:r>
        <w:rPr>
          <w:rFonts w:hint="eastAsia"/>
          <w:color w:val="000000"/>
        </w:rPr>
        <w:t>中II</w:t>
      </w:r>
      <w:r>
        <w:rPr>
          <w:rFonts w:hint="eastAsia"/>
          <w:color w:val="000000"/>
          <w:lang w:eastAsia="zh-CN"/>
        </w:rPr>
        <w:t>、</w:t>
      </w:r>
      <w:r>
        <w:rPr>
          <w:rFonts w:hint="eastAsia" w:ascii="宋体" w:hAnsi="宋体" w:eastAsia="宋体" w:cs="宋体"/>
          <w:color w:val="000000"/>
          <w:lang w:eastAsia="zh-CN"/>
        </w:rPr>
        <w:t>Ⅲ</w:t>
      </w:r>
      <w:r>
        <w:rPr>
          <w:rFonts w:hint="eastAsia"/>
          <w:color w:val="000000"/>
        </w:rPr>
        <w:t>类标准分别为0.01mg/L、</w:t>
      </w:r>
      <w:r>
        <w:rPr>
          <w:rFonts w:hint="eastAsia"/>
          <w:color w:val="000000"/>
          <w:lang w:val="en-US" w:eastAsia="zh-CN"/>
        </w:rPr>
        <w:t>/0.05</w:t>
      </w:r>
      <w:r>
        <w:rPr>
          <w:rFonts w:hint="eastAsia"/>
          <w:color w:val="000000"/>
        </w:rPr>
        <w:t>mg/L、</w:t>
      </w:r>
      <w:r>
        <w:rPr>
          <w:rFonts w:hint="eastAsia"/>
          <w:color w:val="000000"/>
          <w:lang w:val="en-US" w:eastAsia="zh-CN"/>
        </w:rPr>
        <w:t>0.1</w:t>
      </w:r>
      <w:r>
        <w:rPr>
          <w:rFonts w:hint="eastAsia"/>
          <w:color w:val="000000"/>
        </w:rPr>
        <w:t>mg/L。</w:t>
      </w:r>
    </w:p>
    <w:p>
      <w:pPr>
        <w:ind w:firstLine="480"/>
        <w:rPr>
          <w:rFonts w:hint="eastAsia" w:eastAsia="宋体"/>
          <w:color w:val="000000"/>
          <w:lang w:eastAsia="zh-CN"/>
        </w:rPr>
      </w:pPr>
      <w:r>
        <w:rPr>
          <w:rFonts w:hint="eastAsia"/>
          <w:color w:val="000000"/>
          <w:lang w:val="en-US" w:eastAsia="zh-CN"/>
        </w:rPr>
        <w:t>3</w:t>
      </w:r>
      <w:r>
        <w:rPr>
          <w:rFonts w:hint="eastAsia"/>
          <w:color w:val="000000"/>
          <w:lang w:eastAsia="zh-CN"/>
        </w:rPr>
        <w:t>）预测时段</w:t>
      </w:r>
    </w:p>
    <w:p>
      <w:pPr>
        <w:ind w:firstLine="480"/>
        <w:rPr>
          <w:color w:val="000000"/>
        </w:rPr>
      </w:pPr>
      <w:r>
        <w:rPr>
          <w:rFonts w:hint="eastAsia"/>
          <w:color w:val="000000"/>
        </w:rPr>
        <w:t>根据本建设项目的类型，结合《环境影响评价技术导则--地下水环境》（HJ 610-2016）的规定，对100天、1000天运营期地下水污染羽的扩散情况进行预测，预测厂界超标时间、到达时间。</w:t>
      </w:r>
    </w:p>
    <w:p>
      <w:pPr>
        <w:ind w:firstLine="480"/>
        <w:rPr>
          <w:rFonts w:hint="eastAsia"/>
          <w:color w:val="000000"/>
        </w:rPr>
      </w:pPr>
      <w:r>
        <w:rPr>
          <w:color w:val="000000"/>
        </w:rPr>
        <w:t>（3）预测方法</w:t>
      </w:r>
    </w:p>
    <w:p>
      <w:pPr>
        <w:ind w:firstLine="480"/>
        <w:rPr>
          <w:rFonts w:hint="eastAsia"/>
          <w:color w:val="000000"/>
        </w:rPr>
      </w:pPr>
      <w:r>
        <w:rPr>
          <w:color w:val="000000"/>
        </w:rPr>
        <w:t>由于项目所处位置水文地质条件简单，按《环境影响评价技术导则 地下水环境》的要求，本次采用评价方法为解析法。</w:t>
      </w:r>
    </w:p>
    <w:p>
      <w:pPr>
        <w:ind w:firstLine="480"/>
        <w:rPr>
          <w:rFonts w:hint="eastAsia"/>
          <w:color w:val="000000"/>
        </w:rPr>
      </w:pPr>
      <w:r>
        <w:rPr>
          <w:color w:val="000000"/>
        </w:rPr>
        <w:t>1）水文地质条件概化</w:t>
      </w:r>
    </w:p>
    <w:p>
      <w:pPr>
        <w:ind w:firstLine="480"/>
        <w:rPr>
          <w:rFonts w:hint="eastAsia"/>
          <w:color w:val="000000"/>
        </w:rPr>
      </w:pPr>
      <w:r>
        <w:rPr>
          <w:color w:val="000000"/>
        </w:rPr>
        <w:t>区内潜水主要在微风化灰岩裂隙中，地下水埋藏较深，地下水分布较均匀，地下水力坡度较缓，地下水总体由西向东分散排泄。故将本厂区水文地质条件概化为</w:t>
      </w:r>
      <w:r>
        <w:rPr>
          <w:rFonts w:hint="eastAsia"/>
          <w:color w:val="000000"/>
        </w:rPr>
        <w:t>“</w:t>
      </w:r>
      <w:r>
        <w:rPr>
          <w:color w:val="000000"/>
        </w:rPr>
        <w:t>单层且含水介质均匀的含水层</w:t>
      </w:r>
      <w:r>
        <w:rPr>
          <w:rFonts w:hint="eastAsia"/>
          <w:color w:val="000000"/>
        </w:rPr>
        <w:t>”</w:t>
      </w:r>
      <w:r>
        <w:rPr>
          <w:color w:val="000000"/>
        </w:rPr>
        <w:t>水文地质模型。</w:t>
      </w:r>
    </w:p>
    <w:p>
      <w:pPr>
        <w:ind w:firstLine="480"/>
        <w:rPr>
          <w:rFonts w:hint="eastAsia"/>
          <w:color w:val="000000"/>
        </w:rPr>
      </w:pPr>
      <w:r>
        <w:rPr>
          <w:color w:val="000000"/>
        </w:rPr>
        <w:t>2）污染源概化</w:t>
      </w:r>
    </w:p>
    <w:p>
      <w:pPr>
        <w:ind w:firstLine="480"/>
        <w:rPr>
          <w:rFonts w:hint="eastAsia"/>
          <w:color w:val="000000"/>
        </w:rPr>
      </w:pPr>
      <w:r>
        <w:rPr>
          <w:color w:val="000000"/>
        </w:rPr>
        <w:t>本区污染源应为将来本工程通过污水管道收集的污水，工程运行后，在事故状态下，主要考虑污水未处理前调解池的防渗设施损坏，造成污染物穿过防渗层及包气带进入地下含水层，使地下水受到污染，此时，污染源的排放规律可以概化为连续排放。</w:t>
      </w:r>
    </w:p>
    <w:p>
      <w:pPr>
        <w:ind w:firstLine="480"/>
        <w:rPr>
          <w:rFonts w:hint="eastAsia"/>
          <w:color w:val="000000"/>
        </w:rPr>
      </w:pPr>
      <w:r>
        <w:rPr>
          <w:color w:val="000000"/>
        </w:rPr>
        <w:t>（4）预测场景与源强</w:t>
      </w:r>
    </w:p>
    <w:p>
      <w:pPr>
        <w:ind w:firstLine="480"/>
        <w:rPr>
          <w:color w:val="000000"/>
        </w:rPr>
      </w:pPr>
      <w:r>
        <w:rPr>
          <w:color w:val="000000"/>
        </w:rPr>
        <w:t>工程投产运行</w:t>
      </w:r>
      <w:r>
        <w:rPr>
          <w:rFonts w:hint="eastAsia"/>
          <w:color w:val="000000"/>
        </w:rPr>
        <w:t>5</w:t>
      </w:r>
      <w:r>
        <w:rPr>
          <w:color w:val="000000"/>
        </w:rPr>
        <w:t>年后由于各种原因</w:t>
      </w:r>
      <w:r>
        <w:rPr>
          <w:rFonts w:hint="eastAsia"/>
          <w:color w:val="000000"/>
        </w:rPr>
        <w:t>，</w:t>
      </w:r>
      <w:r>
        <w:rPr>
          <w:color w:val="000000"/>
        </w:rPr>
        <w:t>在调节池底部5%面积出现裂缝，并持续渗漏</w:t>
      </w:r>
      <w:r>
        <w:rPr>
          <w:rFonts w:hint="eastAsia"/>
          <w:color w:val="000000"/>
        </w:rPr>
        <w:t>，</w:t>
      </w:r>
      <w:r>
        <w:rPr>
          <w:color w:val="000000"/>
        </w:rPr>
        <w:t>进入到地下水中渗漏量可根据达西定律计算。公式入如下：</w:t>
      </w:r>
    </w:p>
    <w:p>
      <w:pPr>
        <w:ind w:firstLine="503"/>
        <w:jc w:val="center"/>
        <w:rPr>
          <w:color w:val="000000"/>
        </w:rPr>
      </w:pPr>
      <w:r>
        <w:rPr>
          <w:color w:val="000000"/>
          <w:w w:val="105"/>
        </w:rPr>
        <w:t xml:space="preserve">Q </w:t>
      </w:r>
      <w:r>
        <w:rPr>
          <w:rFonts w:ascii="Symbol" w:hAnsi="Symbol"/>
          <w:color w:val="000000"/>
          <w:w w:val="105"/>
        </w:rPr>
        <w:t></w:t>
      </w:r>
      <w:r>
        <w:rPr>
          <w:color w:val="000000"/>
          <w:w w:val="105"/>
        </w:rPr>
        <w:t xml:space="preserve"> K</w:t>
      </w:r>
      <w:r>
        <w:rPr>
          <w:rFonts w:hint="eastAsia"/>
          <w:color w:val="000000"/>
          <w:w w:val="105"/>
        </w:rPr>
        <w:t xml:space="preserve"> </w:t>
      </w:r>
      <w:r>
        <w:rPr>
          <w:rFonts w:ascii="Symbol" w:hAnsi="Symbol"/>
          <w:color w:val="000000"/>
          <w:w w:val="105"/>
        </w:rPr>
        <w:t></w:t>
      </w:r>
      <w:r>
        <w:rPr>
          <w:color w:val="000000"/>
          <w:w w:val="105"/>
        </w:rPr>
        <w:t xml:space="preserve"> F </w:t>
      </w:r>
      <w:r>
        <w:rPr>
          <w:rFonts w:ascii="Symbol" w:hAnsi="Symbol"/>
          <w:color w:val="000000"/>
          <w:w w:val="105"/>
        </w:rPr>
        <w:t></w:t>
      </w:r>
      <w:r>
        <w:rPr>
          <w:color w:val="000000"/>
          <w:w w:val="105"/>
        </w:rPr>
        <w:t xml:space="preserve"> I</w:t>
      </w:r>
    </w:p>
    <w:p>
      <w:pPr>
        <w:ind w:firstLine="480"/>
        <w:rPr>
          <w:rFonts w:hint="eastAsia"/>
          <w:color w:val="000000"/>
        </w:rPr>
      </w:pPr>
      <w:r>
        <w:rPr>
          <w:color w:val="000000"/>
        </w:rPr>
        <w:t>式中：Q——单位时间渗透量（m</w:t>
      </w:r>
      <w:r>
        <w:rPr>
          <w:rFonts w:hint="eastAsia"/>
          <w:color w:val="000000"/>
          <w:vertAlign w:val="superscript"/>
        </w:rPr>
        <w:t>3</w:t>
      </w:r>
      <w:r>
        <w:rPr>
          <w:color w:val="000000"/>
        </w:rPr>
        <w:t>/d）</w:t>
      </w:r>
      <w:r>
        <w:rPr>
          <w:rFonts w:hint="eastAsia"/>
          <w:color w:val="000000"/>
        </w:rPr>
        <w:t>；</w:t>
      </w:r>
    </w:p>
    <w:p>
      <w:pPr>
        <w:ind w:firstLine="1200" w:firstLineChars="500"/>
        <w:rPr>
          <w:rFonts w:hint="eastAsia"/>
          <w:color w:val="000000"/>
        </w:rPr>
      </w:pPr>
      <w:r>
        <w:rPr>
          <w:color w:val="000000"/>
        </w:rPr>
        <w:t>K——为渗透系数（m/d）；K取10</w:t>
      </w:r>
      <w:r>
        <w:rPr>
          <w:rFonts w:hint="eastAsia"/>
          <w:color w:val="000000"/>
          <w:vertAlign w:val="superscript"/>
        </w:rPr>
        <w:t>-4</w:t>
      </w:r>
      <w:r>
        <w:rPr>
          <w:color w:val="000000"/>
        </w:rPr>
        <w:t>cm/s（0.0864m/d）</w:t>
      </w:r>
      <w:r>
        <w:rPr>
          <w:rFonts w:hint="eastAsia"/>
          <w:color w:val="000000"/>
        </w:rPr>
        <w:t>；</w:t>
      </w:r>
    </w:p>
    <w:p>
      <w:pPr>
        <w:ind w:firstLine="1200" w:firstLineChars="500"/>
        <w:rPr>
          <w:rFonts w:hint="eastAsia"/>
          <w:color w:val="000000"/>
        </w:rPr>
      </w:pPr>
      <w:r>
        <w:rPr>
          <w:color w:val="000000"/>
        </w:rPr>
        <w:t>F——调节池破损面积；取</w:t>
      </w:r>
      <w:r>
        <w:rPr>
          <w:rFonts w:hint="eastAsia"/>
          <w:color w:val="000000"/>
        </w:rPr>
        <w:t>280</w:t>
      </w:r>
      <w:r>
        <w:rPr>
          <w:color w:val="000000"/>
        </w:rPr>
        <w:t>m</w:t>
      </w:r>
      <w:r>
        <w:rPr>
          <w:rFonts w:hint="eastAsia"/>
          <w:color w:val="000000"/>
          <w:vertAlign w:val="superscript"/>
        </w:rPr>
        <w:t>2</w:t>
      </w:r>
      <w:r>
        <w:rPr>
          <w:color w:val="000000"/>
        </w:rPr>
        <w:t>×5%=</w:t>
      </w:r>
      <w:r>
        <w:rPr>
          <w:rFonts w:hint="eastAsia"/>
          <w:color w:val="000000"/>
        </w:rPr>
        <w:t>14</w:t>
      </w:r>
      <w:r>
        <w:rPr>
          <w:color w:val="000000"/>
        </w:rPr>
        <w:t>m</w:t>
      </w:r>
      <w:r>
        <w:rPr>
          <w:rFonts w:hint="eastAsia"/>
          <w:color w:val="000000"/>
          <w:vertAlign w:val="superscript"/>
        </w:rPr>
        <w:t>2</w:t>
      </w:r>
      <w:r>
        <w:rPr>
          <w:color w:val="000000"/>
        </w:rPr>
        <w:t>；</w:t>
      </w:r>
    </w:p>
    <w:p>
      <w:pPr>
        <w:ind w:firstLine="1200" w:firstLineChars="500"/>
        <w:rPr>
          <w:color w:val="000000"/>
        </w:rPr>
      </w:pPr>
      <w:r>
        <w:rPr>
          <w:color w:val="000000"/>
        </w:rPr>
        <w:t>I——为水力坡度</w:t>
      </w:r>
      <w:r>
        <w:rPr>
          <w:rFonts w:hint="eastAsia"/>
          <w:color w:val="000000"/>
        </w:rPr>
        <w:t>；</w:t>
      </w:r>
      <w:r>
        <w:rPr>
          <w:color w:val="000000"/>
        </w:rPr>
        <w:t>池内水位高</w:t>
      </w:r>
      <w:r>
        <w:rPr>
          <w:rFonts w:hint="eastAsia"/>
          <w:color w:val="000000"/>
        </w:rPr>
        <w:t>6.5</w:t>
      </w:r>
      <w:r>
        <w:rPr>
          <w:color w:val="000000"/>
        </w:rPr>
        <w:t>米</w:t>
      </w:r>
      <w:r>
        <w:rPr>
          <w:rFonts w:hint="eastAsia"/>
          <w:color w:val="000000"/>
        </w:rPr>
        <w:t>，</w:t>
      </w:r>
      <w:r>
        <w:rPr>
          <w:color w:val="000000"/>
        </w:rPr>
        <w:t>砼厚</w:t>
      </w:r>
      <w:r>
        <w:rPr>
          <w:rFonts w:hint="eastAsia"/>
          <w:color w:val="000000"/>
        </w:rPr>
        <w:t>1</w:t>
      </w:r>
      <w:r>
        <w:rPr>
          <w:color w:val="000000"/>
        </w:rPr>
        <w:t>米，I近似等于4。</w:t>
      </w:r>
    </w:p>
    <w:p>
      <w:pPr>
        <w:ind w:firstLine="480"/>
        <w:rPr>
          <w:color w:val="000000"/>
        </w:rPr>
      </w:pPr>
      <w:r>
        <w:rPr>
          <w:color w:val="000000"/>
        </w:rPr>
        <w:t>计算得调节池事故工况下：渗透量为</w:t>
      </w:r>
      <w:r>
        <w:rPr>
          <w:rFonts w:hint="eastAsia"/>
          <w:color w:val="000000"/>
          <w:lang w:val="en-US" w:eastAsia="zh-CN"/>
        </w:rPr>
        <w:t>0.96</w:t>
      </w:r>
      <w:r>
        <w:rPr>
          <w:color w:val="000000"/>
        </w:rPr>
        <w:t>m</w:t>
      </w:r>
      <w:r>
        <w:rPr>
          <w:rFonts w:hint="eastAsia"/>
          <w:color w:val="000000"/>
          <w:vertAlign w:val="superscript"/>
        </w:rPr>
        <w:t>3</w:t>
      </w:r>
      <w:r>
        <w:rPr>
          <w:color w:val="000000"/>
        </w:rPr>
        <w:t>/d。</w:t>
      </w:r>
    </w:p>
    <w:p>
      <w:pPr>
        <w:ind w:firstLine="480"/>
        <w:rPr>
          <w:rFonts w:hint="eastAsia"/>
          <w:color w:val="000000"/>
        </w:rPr>
      </w:pPr>
      <w:r>
        <w:rPr>
          <w:color w:val="000000"/>
        </w:rPr>
        <w:t>假设污水中的</w:t>
      </w:r>
      <w:r>
        <w:rPr>
          <w:rFonts w:hint="eastAsia"/>
          <w:color w:val="000000"/>
        </w:rPr>
        <w:t>锰（泄漏浓度为25mg/L）、六价铬（泄漏浓度为0.5mg/L）、总铅（泄漏浓度为1.0mgL）</w:t>
      </w:r>
      <w:r>
        <w:rPr>
          <w:rFonts w:hint="eastAsia"/>
          <w:color w:val="000000"/>
          <w:lang w:eastAsia="zh-CN"/>
        </w:rPr>
        <w:t>，</w:t>
      </w:r>
      <w:r>
        <w:rPr>
          <w:color w:val="000000"/>
        </w:rPr>
        <w:t>按最不利情况考虑，不考虑土壤的吸附情况下进行预测。</w:t>
      </w:r>
    </w:p>
    <w:p>
      <w:pPr>
        <w:ind w:firstLine="480"/>
        <w:rPr>
          <w:rFonts w:hint="eastAsia"/>
          <w:color w:val="000000"/>
        </w:rPr>
      </w:pPr>
      <w:r>
        <w:rPr>
          <w:color w:val="000000"/>
        </w:rPr>
        <w:t>（5）预测模型</w:t>
      </w:r>
    </w:p>
    <w:p>
      <w:pPr>
        <w:ind w:firstLine="480"/>
        <w:rPr>
          <w:rFonts w:hint="eastAsia"/>
          <w:color w:val="000000"/>
        </w:rPr>
      </w:pPr>
      <w:r>
        <w:rPr>
          <w:color w:val="000000"/>
        </w:rPr>
        <w:t>1）模型选择</w:t>
      </w:r>
    </w:p>
    <w:p>
      <w:pPr>
        <w:ind w:firstLine="480"/>
      </w:pPr>
      <w:r>
        <w:t>根据《环境影响评价技术导则地下水环境》（HJ610-2016）要求，地下水环境影响评价</w:t>
      </w:r>
      <w:r>
        <w:rPr>
          <w:rFonts w:hint="eastAsia"/>
          <w:lang w:eastAsia="zh-CN"/>
        </w:rPr>
        <w:t>二</w:t>
      </w:r>
      <w:r>
        <w:t>级评价预测方法选用</w:t>
      </w:r>
      <w:r>
        <w:rPr>
          <w:rFonts w:hint="eastAsia"/>
        </w:rPr>
        <w:t>解析</w:t>
      </w:r>
      <w:r>
        <w:t>法。根据本项目地下水的污染特性选用“一维无限长多孔介质柱体，一端为定浓度边界”，公式如下。</w:t>
      </w:r>
    </w:p>
    <w:p>
      <w:pPr>
        <w:spacing w:line="480" w:lineRule="auto"/>
        <w:ind w:firstLine="480"/>
        <w:jc w:val="center"/>
        <w:rPr>
          <w:position w:val="-34"/>
        </w:rPr>
      </w:pPr>
      <w:r>
        <w:rPr>
          <w:position w:val="-34"/>
        </w:rPr>
        <w:object>
          <v:shape id="_x0000_i1025" o:spt="75" type="#_x0000_t75" style="height:41.25pt;width:239.95pt;" o:ole="t" filled="f" o:preferrelative="t" stroked="f" coordsize="21600,21600">
            <v:path/>
            <v:fill on="f" focussize="0,0"/>
            <v:stroke on="f"/>
            <v:imagedata r:id="rId39" o:title=""/>
            <o:lock v:ext="edit" aspectratio="t"/>
            <w10:wrap type="none"/>
            <w10:anchorlock/>
          </v:shape>
          <o:OLEObject Type="Embed" ProgID="Equation.3" ShapeID="_x0000_i1025" DrawAspect="Content" ObjectID="_1468075725" r:id="rId38">
            <o:LockedField>false</o:LockedField>
          </o:OLEObject>
        </w:object>
      </w:r>
    </w:p>
    <w:p>
      <w:pPr>
        <w:ind w:firstLine="480"/>
      </w:pPr>
      <w:r>
        <w:t>式中：</w:t>
      </w:r>
    </w:p>
    <w:p>
      <w:pPr>
        <w:ind w:firstLine="480"/>
      </w:pPr>
      <w:r>
        <w:t>X</w:t>
      </w:r>
      <w:r>
        <w:rPr>
          <w:rFonts w:eastAsia="TimesNewRomanPSMT"/>
        </w:rPr>
        <w:t>—</w:t>
      </w:r>
      <w:r>
        <w:t>距注入点的距离，</w:t>
      </w:r>
      <w:r>
        <w:rPr>
          <w:rFonts w:eastAsia="TimesNewRomanPSMT"/>
        </w:rPr>
        <w:t>m</w:t>
      </w:r>
      <w:r>
        <w:t>；</w:t>
      </w:r>
    </w:p>
    <w:p>
      <w:pPr>
        <w:ind w:firstLine="480"/>
      </w:pPr>
      <w:r>
        <w:rPr>
          <w:rFonts w:eastAsia="TimesNewRomanPSMT"/>
        </w:rPr>
        <w:t>t—</w:t>
      </w:r>
      <w:r>
        <w:t>时间，</w:t>
      </w:r>
      <w:r>
        <w:rPr>
          <w:rFonts w:eastAsia="TimesNewRomanPSMT"/>
        </w:rPr>
        <w:t>d</w:t>
      </w:r>
      <w:r>
        <w:t>；</w:t>
      </w:r>
    </w:p>
    <w:p>
      <w:pPr>
        <w:ind w:firstLine="480"/>
      </w:pPr>
      <w:r>
        <w:rPr>
          <w:rFonts w:eastAsia="TimesNewRomanPSMT"/>
        </w:rPr>
        <w:t>C</w:t>
      </w:r>
      <w:r>
        <w:t>（</w:t>
      </w:r>
      <w:r>
        <w:rPr>
          <w:rFonts w:eastAsia="TimesNewRomanPSMT"/>
        </w:rPr>
        <w:t>x,t</w:t>
      </w:r>
      <w:r>
        <w:t>）</w:t>
      </w:r>
      <w:r>
        <w:rPr>
          <w:rFonts w:eastAsia="TimesNewRomanPSMT"/>
        </w:rPr>
        <w:t xml:space="preserve">—t </w:t>
      </w:r>
      <w:r>
        <w:t>时刻点</w:t>
      </w:r>
      <w:r>
        <w:rPr>
          <w:rFonts w:eastAsia="TimesNewRomanPSMT"/>
        </w:rPr>
        <w:t xml:space="preserve">x </w:t>
      </w:r>
      <w:r>
        <w:t>处的示踪剂浓度，</w:t>
      </w:r>
      <w:r>
        <w:rPr>
          <w:rFonts w:eastAsia="TimesNewRomanPSMT"/>
        </w:rPr>
        <w:t>g/L</w:t>
      </w:r>
      <w:r>
        <w:t>；</w:t>
      </w:r>
    </w:p>
    <w:p>
      <w:pPr>
        <w:ind w:firstLine="480"/>
      </w:pPr>
      <w:r>
        <w:rPr>
          <w:rFonts w:eastAsia="TimesNewRomanPSMT"/>
        </w:rPr>
        <w:t>C</w:t>
      </w:r>
      <w:r>
        <w:rPr>
          <w:rFonts w:eastAsia="TimesNewRomanPSMT"/>
          <w:vertAlign w:val="subscript"/>
        </w:rPr>
        <w:t>0</w:t>
      </w:r>
      <w:r>
        <w:rPr>
          <w:rFonts w:eastAsia="TimesNewRomanPSMT"/>
        </w:rPr>
        <w:t>—</w:t>
      </w:r>
      <w:r>
        <w:t>注入示踪剂浓度，</w:t>
      </w:r>
      <w:r>
        <w:rPr>
          <w:rFonts w:eastAsia="TimesNewRomanPSMT"/>
        </w:rPr>
        <w:t>g/L</w:t>
      </w:r>
      <w:r>
        <w:t>；</w:t>
      </w:r>
    </w:p>
    <w:p>
      <w:pPr>
        <w:ind w:firstLine="480"/>
      </w:pPr>
      <w:r>
        <w:rPr>
          <w:rFonts w:eastAsia="TimesNewRomanPSMT"/>
        </w:rPr>
        <w:t>u—</w:t>
      </w:r>
      <w:r>
        <w:t>水流速度，</w:t>
      </w:r>
      <w:r>
        <w:rPr>
          <w:rFonts w:eastAsia="TimesNewRomanPSMT"/>
        </w:rPr>
        <w:t>m/d</w:t>
      </w:r>
      <w:r>
        <w:t>；</w:t>
      </w:r>
    </w:p>
    <w:p>
      <w:pPr>
        <w:ind w:firstLine="480"/>
      </w:pPr>
      <w:r>
        <w:rPr>
          <w:rFonts w:eastAsia="TimesNewRomanPSMT"/>
        </w:rPr>
        <w:t>D</w:t>
      </w:r>
      <w:r>
        <w:rPr>
          <w:rFonts w:eastAsia="TimesNewRomanPSMT"/>
          <w:vertAlign w:val="subscript"/>
        </w:rPr>
        <w:t>L</w:t>
      </w:r>
      <w:r>
        <w:rPr>
          <w:rFonts w:eastAsia="TimesNewRomanPSMT"/>
        </w:rPr>
        <w:t>—</w:t>
      </w:r>
      <w:r>
        <w:t>纵向弥散系数，</w:t>
      </w:r>
      <w:r>
        <w:rPr>
          <w:rFonts w:eastAsia="TimesNewRomanPSMT"/>
        </w:rPr>
        <w:t>m</w:t>
      </w:r>
      <w:r>
        <w:rPr>
          <w:rFonts w:eastAsia="TimesNewRomanPSMT"/>
          <w:vertAlign w:val="superscript"/>
        </w:rPr>
        <w:t>2</w:t>
      </w:r>
      <w:r>
        <w:rPr>
          <w:rFonts w:eastAsia="TimesNewRomanPSMT"/>
        </w:rPr>
        <w:t>/d</w:t>
      </w:r>
      <w:r>
        <w:t>；</w:t>
      </w:r>
    </w:p>
    <w:p>
      <w:pPr>
        <w:ind w:firstLine="480"/>
      </w:pPr>
      <w:r>
        <w:rPr>
          <w:rFonts w:eastAsia="TimesNewRomanPSMT"/>
        </w:rPr>
        <w:t>Erfc</w:t>
      </w:r>
      <w:r>
        <w:t>（）</w:t>
      </w:r>
      <w:r>
        <w:rPr>
          <w:rFonts w:eastAsia="TimesNewRomanPSMT"/>
        </w:rPr>
        <w:t>—</w:t>
      </w:r>
      <w:r>
        <w:t>余差数函数。</w:t>
      </w:r>
    </w:p>
    <w:p>
      <w:pPr>
        <w:tabs>
          <w:tab w:val="left" w:pos="0"/>
          <w:tab w:val="left" w:pos="870"/>
          <w:tab w:val="left" w:pos="990"/>
          <w:tab w:val="left" w:pos="1620"/>
        </w:tabs>
        <w:autoSpaceDE w:val="0"/>
        <w:autoSpaceDN w:val="0"/>
        <w:adjustRightInd w:val="0"/>
        <w:snapToGrid w:val="0"/>
        <w:spacing w:line="360" w:lineRule="auto"/>
        <w:ind w:firstLine="470" w:firstLineChars="196"/>
        <w:rPr>
          <w:rFonts w:ascii="Times New Roman" w:hAnsi="Times New Roman"/>
          <w:kern w:val="0"/>
          <w:szCs w:val="20"/>
        </w:rPr>
      </w:pPr>
      <w:r>
        <w:rPr>
          <w:rFonts w:ascii="Times New Roman" w:hAnsi="Times New Roman"/>
          <w:kern w:val="0"/>
          <w:szCs w:val="20"/>
        </w:rPr>
        <w:t>地下水实际流速和弥散系数确定按下列方法取得：</w:t>
      </w:r>
    </w:p>
    <w:p>
      <w:pPr>
        <w:tabs>
          <w:tab w:val="left" w:pos="0"/>
          <w:tab w:val="left" w:pos="870"/>
          <w:tab w:val="left" w:pos="990"/>
          <w:tab w:val="left" w:pos="1620"/>
        </w:tabs>
        <w:autoSpaceDE w:val="0"/>
        <w:autoSpaceDN w:val="0"/>
        <w:adjustRightInd w:val="0"/>
        <w:snapToGrid w:val="0"/>
        <w:spacing w:line="360" w:lineRule="auto"/>
        <w:jc w:val="center"/>
        <w:rPr>
          <w:rFonts w:ascii="Times New Roman" w:hAnsi="Times New Roman"/>
          <w:i/>
          <w:kern w:val="0"/>
          <w:szCs w:val="20"/>
        </w:rPr>
      </w:pPr>
      <w:r>
        <w:rPr>
          <w:rFonts w:ascii="Times New Roman" w:hAnsi="Times New Roman"/>
          <w:i/>
          <w:kern w:val="0"/>
          <w:szCs w:val="20"/>
        </w:rPr>
        <w:t>u</w:t>
      </w:r>
      <w:r>
        <w:rPr>
          <w:rFonts w:ascii="Times New Roman" w:hAnsi="Times New Roman"/>
          <w:kern w:val="0"/>
          <w:szCs w:val="20"/>
        </w:rPr>
        <w:t>=</w:t>
      </w:r>
      <w:r>
        <w:rPr>
          <w:rFonts w:ascii="Times New Roman" w:hAnsi="Times New Roman"/>
          <w:i/>
          <w:kern w:val="0"/>
          <w:szCs w:val="20"/>
        </w:rPr>
        <w:t>K</w:t>
      </w:r>
      <w:r>
        <w:rPr>
          <w:rFonts w:ascii="Times New Roman" w:hAnsi="Times New Roman"/>
          <w:kern w:val="0"/>
          <w:szCs w:val="20"/>
        </w:rPr>
        <w:t>·</w:t>
      </w:r>
      <w:r>
        <w:rPr>
          <w:rFonts w:ascii="Times New Roman" w:hAnsi="Times New Roman"/>
          <w:i/>
          <w:kern w:val="0"/>
          <w:szCs w:val="20"/>
        </w:rPr>
        <w:t>I</w:t>
      </w:r>
      <w:r>
        <w:rPr>
          <w:rFonts w:ascii="Times New Roman" w:hAnsi="Times New Roman"/>
          <w:kern w:val="0"/>
          <w:szCs w:val="20"/>
        </w:rPr>
        <w:t>/</w:t>
      </w:r>
      <w:r>
        <w:rPr>
          <w:rFonts w:ascii="Times New Roman" w:hAnsi="Times New Roman"/>
          <w:i/>
          <w:kern w:val="0"/>
          <w:szCs w:val="20"/>
        </w:rPr>
        <w:t>n</w:t>
      </w:r>
    </w:p>
    <w:p>
      <w:pPr>
        <w:tabs>
          <w:tab w:val="left" w:pos="0"/>
          <w:tab w:val="left" w:pos="870"/>
          <w:tab w:val="left" w:pos="990"/>
          <w:tab w:val="left" w:pos="1620"/>
        </w:tabs>
        <w:autoSpaceDE w:val="0"/>
        <w:autoSpaceDN w:val="0"/>
        <w:adjustRightInd w:val="0"/>
        <w:snapToGrid w:val="0"/>
        <w:spacing w:line="360" w:lineRule="auto"/>
        <w:jc w:val="center"/>
        <w:rPr>
          <w:rFonts w:ascii="Times New Roman" w:hAnsi="Times New Roman"/>
          <w:kern w:val="0"/>
          <w:szCs w:val="20"/>
        </w:rPr>
      </w:pPr>
      <w:r>
        <w:rPr>
          <w:rFonts w:ascii="Times New Roman" w:hAnsi="Times New Roman"/>
          <w:i/>
          <w:kern w:val="0"/>
          <w:szCs w:val="20"/>
        </w:rPr>
        <w:t>D</w:t>
      </w:r>
      <w:r>
        <w:rPr>
          <w:rFonts w:ascii="Times New Roman" w:hAnsi="Times New Roman"/>
          <w:i/>
          <w:kern w:val="0"/>
          <w:szCs w:val="20"/>
          <w:vertAlign w:val="subscript"/>
        </w:rPr>
        <w:t>L</w:t>
      </w:r>
      <w:r>
        <w:rPr>
          <w:rFonts w:ascii="Times New Roman" w:hAnsi="Times New Roman"/>
          <w:kern w:val="0"/>
          <w:szCs w:val="20"/>
        </w:rPr>
        <w:t>=</w:t>
      </w:r>
      <w:r>
        <w:rPr>
          <w:rFonts w:ascii="Times New Roman" w:hAnsi="Times New Roman"/>
          <w:i/>
          <w:kern w:val="0"/>
          <w:szCs w:val="20"/>
        </w:rPr>
        <w:t>а</w:t>
      </w:r>
      <w:r>
        <w:rPr>
          <w:rFonts w:ascii="Times New Roman" w:hAnsi="Times New Roman"/>
          <w:kern w:val="0"/>
          <w:szCs w:val="20"/>
          <w:vertAlign w:val="subscript"/>
        </w:rPr>
        <w:t>L</w:t>
      </w:r>
      <w:r>
        <w:rPr>
          <w:rFonts w:ascii="Times New Roman" w:hAnsi="Times New Roman"/>
          <w:kern w:val="0"/>
          <w:szCs w:val="20"/>
        </w:rPr>
        <w:t>·</w:t>
      </w:r>
      <w:r>
        <w:rPr>
          <w:rFonts w:ascii="Times New Roman" w:hAnsi="Times New Roman"/>
          <w:i/>
          <w:kern w:val="0"/>
          <w:szCs w:val="20"/>
        </w:rPr>
        <w:t>u</w:t>
      </w:r>
      <w:r>
        <w:rPr>
          <w:rFonts w:ascii="Times New Roman" w:hAnsi="Times New Roman"/>
          <w:kern w:val="0"/>
          <w:szCs w:val="20"/>
          <w:vertAlign w:val="superscript"/>
        </w:rPr>
        <w:t>m</w:t>
      </w:r>
    </w:p>
    <w:p>
      <w:pPr>
        <w:tabs>
          <w:tab w:val="left" w:pos="0"/>
          <w:tab w:val="left" w:pos="870"/>
          <w:tab w:val="left" w:pos="990"/>
          <w:tab w:val="left" w:pos="1620"/>
        </w:tabs>
        <w:autoSpaceDE w:val="0"/>
        <w:autoSpaceDN w:val="0"/>
        <w:adjustRightInd w:val="0"/>
        <w:snapToGrid w:val="0"/>
        <w:spacing w:line="360" w:lineRule="auto"/>
        <w:rPr>
          <w:rFonts w:ascii="Times New Roman" w:hAnsi="Times New Roman"/>
          <w:kern w:val="0"/>
          <w:szCs w:val="20"/>
        </w:rPr>
      </w:pPr>
      <w:r>
        <w:rPr>
          <w:rFonts w:ascii="Times New Roman" w:hAnsi="Times New Roman"/>
          <w:kern w:val="0"/>
          <w:szCs w:val="20"/>
        </w:rPr>
        <w:t>式中：</w:t>
      </w:r>
      <w:r>
        <w:rPr>
          <w:rFonts w:ascii="Times New Roman" w:hAnsi="Times New Roman"/>
          <w:i/>
          <w:kern w:val="0"/>
          <w:szCs w:val="20"/>
        </w:rPr>
        <w:t>u</w:t>
      </w:r>
      <w:r>
        <w:rPr>
          <w:rFonts w:ascii="Times New Roman" w:hAnsi="Times New Roman"/>
          <w:kern w:val="0"/>
          <w:szCs w:val="20"/>
        </w:rPr>
        <w:t>—地下水实际流速（m/d）；</w:t>
      </w:r>
    </w:p>
    <w:p>
      <w:pPr>
        <w:tabs>
          <w:tab w:val="left" w:pos="0"/>
          <w:tab w:val="left" w:pos="870"/>
          <w:tab w:val="left" w:pos="990"/>
          <w:tab w:val="left" w:pos="1620"/>
        </w:tabs>
        <w:autoSpaceDE w:val="0"/>
        <w:autoSpaceDN w:val="0"/>
        <w:adjustRightInd w:val="0"/>
        <w:snapToGrid w:val="0"/>
        <w:spacing w:line="360" w:lineRule="auto"/>
        <w:rPr>
          <w:rFonts w:ascii="Times New Roman" w:hAnsi="Times New Roman"/>
          <w:kern w:val="0"/>
          <w:szCs w:val="20"/>
        </w:rPr>
      </w:pPr>
      <w:r>
        <w:rPr>
          <w:rFonts w:ascii="Times New Roman" w:hAnsi="Times New Roman"/>
          <w:kern w:val="0"/>
          <w:szCs w:val="20"/>
        </w:rPr>
        <w:t xml:space="preserve">      </w:t>
      </w:r>
      <w:r>
        <w:rPr>
          <w:rFonts w:ascii="Times New Roman" w:hAnsi="Times New Roman"/>
          <w:i/>
          <w:kern w:val="0"/>
          <w:szCs w:val="20"/>
        </w:rPr>
        <w:t>K</w:t>
      </w:r>
      <w:r>
        <w:rPr>
          <w:rFonts w:ascii="Times New Roman" w:hAnsi="Times New Roman"/>
          <w:kern w:val="0"/>
          <w:szCs w:val="20"/>
        </w:rPr>
        <w:t>—渗透系数（m/d）；</w:t>
      </w:r>
    </w:p>
    <w:p>
      <w:pPr>
        <w:tabs>
          <w:tab w:val="left" w:pos="0"/>
          <w:tab w:val="left" w:pos="870"/>
          <w:tab w:val="left" w:pos="990"/>
          <w:tab w:val="left" w:pos="1620"/>
        </w:tabs>
        <w:autoSpaceDE w:val="0"/>
        <w:autoSpaceDN w:val="0"/>
        <w:adjustRightInd w:val="0"/>
        <w:snapToGrid w:val="0"/>
        <w:spacing w:line="360" w:lineRule="auto"/>
        <w:ind w:firstLine="1190" w:firstLineChars="496"/>
        <w:rPr>
          <w:rFonts w:ascii="Times New Roman" w:hAnsi="Times New Roman"/>
          <w:kern w:val="0"/>
          <w:szCs w:val="20"/>
        </w:rPr>
      </w:pPr>
      <w:r>
        <w:rPr>
          <w:rFonts w:ascii="Times New Roman" w:hAnsi="Times New Roman"/>
          <w:i/>
          <w:kern w:val="0"/>
          <w:szCs w:val="20"/>
        </w:rPr>
        <w:t>I</w:t>
      </w:r>
      <w:r>
        <w:rPr>
          <w:rFonts w:ascii="Times New Roman" w:hAnsi="Times New Roman"/>
          <w:kern w:val="0"/>
          <w:szCs w:val="20"/>
        </w:rPr>
        <w:t>—水力坡度；</w:t>
      </w:r>
    </w:p>
    <w:p>
      <w:pPr>
        <w:tabs>
          <w:tab w:val="left" w:pos="0"/>
          <w:tab w:val="left" w:pos="870"/>
          <w:tab w:val="left" w:pos="990"/>
          <w:tab w:val="left" w:pos="1620"/>
        </w:tabs>
        <w:autoSpaceDE w:val="0"/>
        <w:autoSpaceDN w:val="0"/>
        <w:adjustRightInd w:val="0"/>
        <w:snapToGrid w:val="0"/>
        <w:spacing w:line="360" w:lineRule="auto"/>
        <w:ind w:firstLine="1190" w:firstLineChars="496"/>
        <w:rPr>
          <w:rFonts w:ascii="Times New Roman" w:hAnsi="Times New Roman"/>
          <w:kern w:val="0"/>
          <w:szCs w:val="20"/>
        </w:rPr>
      </w:pPr>
      <w:r>
        <w:rPr>
          <w:rFonts w:ascii="Times New Roman" w:hAnsi="Times New Roman"/>
          <w:i/>
          <w:kern w:val="0"/>
          <w:szCs w:val="20"/>
        </w:rPr>
        <w:t>n</w:t>
      </w:r>
      <w:r>
        <w:rPr>
          <w:rFonts w:ascii="Times New Roman" w:hAnsi="Times New Roman"/>
          <w:kern w:val="0"/>
          <w:szCs w:val="20"/>
        </w:rPr>
        <w:t>—有效孔隙度；</w:t>
      </w:r>
    </w:p>
    <w:p>
      <w:pPr>
        <w:tabs>
          <w:tab w:val="left" w:pos="0"/>
          <w:tab w:val="left" w:pos="870"/>
          <w:tab w:val="left" w:pos="990"/>
          <w:tab w:val="left" w:pos="1620"/>
        </w:tabs>
        <w:autoSpaceDE w:val="0"/>
        <w:autoSpaceDN w:val="0"/>
        <w:adjustRightInd w:val="0"/>
        <w:snapToGrid w:val="0"/>
        <w:spacing w:line="360" w:lineRule="auto"/>
        <w:ind w:firstLine="1190" w:firstLineChars="496"/>
        <w:rPr>
          <w:rFonts w:ascii="Times New Roman" w:hAnsi="Times New Roman"/>
          <w:kern w:val="0"/>
          <w:szCs w:val="20"/>
        </w:rPr>
      </w:pPr>
      <w:r>
        <w:rPr>
          <w:rFonts w:ascii="Times New Roman" w:hAnsi="Times New Roman"/>
          <w:i/>
          <w:kern w:val="0"/>
          <w:szCs w:val="20"/>
        </w:rPr>
        <w:t>D</w:t>
      </w:r>
      <w:r>
        <w:rPr>
          <w:rFonts w:ascii="Times New Roman" w:hAnsi="Times New Roman"/>
          <w:i/>
          <w:kern w:val="0"/>
          <w:szCs w:val="20"/>
          <w:vertAlign w:val="subscript"/>
        </w:rPr>
        <w:t>L</w:t>
      </w:r>
      <w:r>
        <w:rPr>
          <w:rFonts w:ascii="Times New Roman" w:hAnsi="Times New Roman"/>
          <w:kern w:val="0"/>
          <w:szCs w:val="20"/>
        </w:rPr>
        <w:t>—弥散系数（</w:t>
      </w:r>
      <w:r>
        <w:rPr>
          <w:rFonts w:ascii="Times New Roman" w:hAnsi="Times New Roman"/>
          <w:kern w:val="0"/>
          <w:szCs w:val="21"/>
        </w:rPr>
        <w:t>m</w:t>
      </w:r>
      <w:r>
        <w:rPr>
          <w:rFonts w:ascii="Times New Roman" w:hAnsi="Times New Roman"/>
          <w:kern w:val="0"/>
          <w:szCs w:val="21"/>
          <w:vertAlign w:val="superscript"/>
        </w:rPr>
        <w:t>2</w:t>
      </w:r>
      <w:r>
        <w:rPr>
          <w:rFonts w:ascii="Times New Roman" w:hAnsi="Times New Roman"/>
          <w:kern w:val="0"/>
          <w:szCs w:val="21"/>
        </w:rPr>
        <w:t>/d</w:t>
      </w:r>
      <w:r>
        <w:rPr>
          <w:rFonts w:ascii="Times New Roman" w:hAnsi="Times New Roman"/>
          <w:kern w:val="0"/>
          <w:szCs w:val="20"/>
        </w:rPr>
        <w:t>）；</w:t>
      </w:r>
    </w:p>
    <w:p>
      <w:pPr>
        <w:tabs>
          <w:tab w:val="left" w:pos="0"/>
          <w:tab w:val="left" w:pos="870"/>
          <w:tab w:val="left" w:pos="990"/>
          <w:tab w:val="left" w:pos="1620"/>
        </w:tabs>
        <w:autoSpaceDE w:val="0"/>
        <w:autoSpaceDN w:val="0"/>
        <w:adjustRightInd w:val="0"/>
        <w:snapToGrid w:val="0"/>
        <w:spacing w:line="360" w:lineRule="auto"/>
        <w:ind w:firstLine="1190" w:firstLineChars="496"/>
        <w:rPr>
          <w:rFonts w:ascii="Times New Roman" w:hAnsi="Times New Roman"/>
          <w:kern w:val="0"/>
          <w:szCs w:val="20"/>
        </w:rPr>
      </w:pPr>
      <w:r>
        <w:rPr>
          <w:rFonts w:ascii="Times New Roman" w:hAnsi="Times New Roman"/>
          <w:i/>
          <w:kern w:val="0"/>
          <w:szCs w:val="20"/>
        </w:rPr>
        <w:t>а</w:t>
      </w:r>
      <w:r>
        <w:rPr>
          <w:rFonts w:ascii="Times New Roman" w:hAnsi="Times New Roman"/>
          <w:kern w:val="0"/>
          <w:szCs w:val="20"/>
          <w:vertAlign w:val="subscript"/>
        </w:rPr>
        <w:t>L</w:t>
      </w:r>
      <w:r>
        <w:rPr>
          <w:rFonts w:ascii="Times New Roman" w:hAnsi="Times New Roman"/>
          <w:kern w:val="0"/>
          <w:szCs w:val="20"/>
        </w:rPr>
        <w:t>—弥散度（m）；</w:t>
      </w:r>
    </w:p>
    <w:p>
      <w:pPr>
        <w:tabs>
          <w:tab w:val="left" w:pos="0"/>
          <w:tab w:val="left" w:pos="870"/>
          <w:tab w:val="left" w:pos="990"/>
          <w:tab w:val="left" w:pos="1620"/>
        </w:tabs>
        <w:autoSpaceDE w:val="0"/>
        <w:autoSpaceDN w:val="0"/>
        <w:adjustRightInd w:val="0"/>
        <w:snapToGrid w:val="0"/>
        <w:spacing w:line="360" w:lineRule="auto"/>
        <w:ind w:firstLine="1190" w:firstLineChars="496"/>
        <w:rPr>
          <w:rFonts w:ascii="Times New Roman" w:hAnsi="Times New Roman"/>
          <w:kern w:val="0"/>
          <w:szCs w:val="20"/>
        </w:rPr>
      </w:pPr>
      <w:r>
        <w:rPr>
          <w:rFonts w:ascii="Times New Roman" w:hAnsi="Times New Roman"/>
          <w:i/>
          <w:kern w:val="0"/>
          <w:szCs w:val="20"/>
        </w:rPr>
        <w:t>m</w:t>
      </w:r>
      <w:r>
        <w:rPr>
          <w:rFonts w:ascii="Times New Roman" w:hAnsi="Times New Roman"/>
          <w:kern w:val="0"/>
          <w:szCs w:val="20"/>
        </w:rPr>
        <w:t>—指数；</w:t>
      </w:r>
    </w:p>
    <w:p>
      <w:pPr>
        <w:tabs>
          <w:tab w:val="left" w:pos="0"/>
          <w:tab w:val="left" w:pos="870"/>
          <w:tab w:val="left" w:pos="990"/>
          <w:tab w:val="left" w:pos="1620"/>
        </w:tabs>
        <w:autoSpaceDE w:val="0"/>
        <w:autoSpaceDN w:val="0"/>
        <w:adjustRightInd w:val="0"/>
        <w:snapToGrid w:val="0"/>
        <w:spacing w:line="360" w:lineRule="auto"/>
        <w:ind w:firstLine="470" w:firstLineChars="196"/>
        <w:rPr>
          <w:rFonts w:ascii="Times New Roman" w:hAnsi="Times New Roman"/>
          <w:kern w:val="0"/>
          <w:szCs w:val="20"/>
        </w:rPr>
      </w:pPr>
      <w:r>
        <w:rPr>
          <w:rFonts w:hint="eastAsia" w:ascii="Times New Roman" w:hAnsi="Times New Roman"/>
          <w:kern w:val="0"/>
          <w:szCs w:val="20"/>
        </w:rPr>
        <w:t>综合现状调查及《环境影响评价技术导则 地下水环境》（HJ610-2016）附录B</w:t>
      </w:r>
      <w:r>
        <w:rPr>
          <w:rFonts w:ascii="Times New Roman" w:hAnsi="Times New Roman"/>
          <w:kern w:val="0"/>
          <w:szCs w:val="20"/>
        </w:rPr>
        <w:t>，</w:t>
      </w:r>
      <w:r>
        <w:rPr>
          <w:rFonts w:hint="eastAsia" w:ascii="Times New Roman" w:hAnsi="Times New Roman"/>
        </w:rPr>
        <w:t>本项目上部为细沙土，厚度一般</w:t>
      </w:r>
      <w:r>
        <w:rPr>
          <w:rFonts w:ascii="Times New Roman" w:hAnsi="Times New Roman"/>
        </w:rPr>
        <w:t>0.5~3.4m</w:t>
      </w:r>
      <w:r>
        <w:rPr>
          <w:rFonts w:hint="eastAsia" w:ascii="Times New Roman" w:hAnsi="Times New Roman"/>
        </w:rPr>
        <w:t>，下部为砂卵砾石，含少量泥质，中密</w:t>
      </w:r>
      <w:r>
        <w:rPr>
          <w:rFonts w:ascii="Times New Roman" w:hAnsi="Times New Roman"/>
        </w:rPr>
        <w:t>~</w:t>
      </w:r>
      <w:r>
        <w:rPr>
          <w:rFonts w:hint="eastAsia" w:ascii="Times New Roman" w:hAnsi="Times New Roman"/>
        </w:rPr>
        <w:t>密实状态，次圆状，分选性差，厚度一般</w:t>
      </w:r>
      <w:r>
        <w:rPr>
          <w:rFonts w:ascii="Times New Roman" w:hAnsi="Times New Roman"/>
        </w:rPr>
        <w:t>3.5~8.4m</w:t>
      </w:r>
      <w:r>
        <w:rPr>
          <w:rFonts w:hint="eastAsia" w:ascii="Times New Roman" w:hAnsi="Times New Roman"/>
        </w:rPr>
        <w:t>，下伏白垩系（</w:t>
      </w:r>
      <w:r>
        <w:rPr>
          <w:rFonts w:ascii="Times New Roman" w:hAnsi="Times New Roman"/>
        </w:rPr>
        <w:t>K1</w:t>
      </w:r>
      <w:r>
        <w:rPr>
          <w:rFonts w:hint="eastAsia" w:ascii="Times New Roman" w:hAnsi="Times New Roman"/>
        </w:rPr>
        <w:t>）紫红色砂质泥岩，为相对隔水层。</w:t>
      </w:r>
      <w:r>
        <w:rPr>
          <w:rFonts w:ascii="Times New Roman" w:hAnsi="Times New Roman"/>
          <w:kern w:val="0"/>
          <w:szCs w:val="20"/>
        </w:rPr>
        <w:t>项目</w:t>
      </w:r>
      <w:r>
        <w:rPr>
          <w:rFonts w:hint="eastAsia" w:ascii="Times New Roman" w:hAnsi="Times New Roman"/>
          <w:kern w:val="0"/>
          <w:szCs w:val="20"/>
        </w:rPr>
        <w:t>区域</w:t>
      </w:r>
      <w:r>
        <w:rPr>
          <w:rFonts w:ascii="Times New Roman" w:hAnsi="Times New Roman"/>
          <w:kern w:val="0"/>
          <w:szCs w:val="20"/>
        </w:rPr>
        <w:t>含水岩组主要为</w:t>
      </w:r>
      <w:r>
        <w:rPr>
          <w:rFonts w:hint="eastAsia" w:ascii="Times New Roman" w:hAnsi="Times New Roman"/>
          <w:kern w:val="0"/>
          <w:szCs w:val="20"/>
        </w:rPr>
        <w:t>碎屑岩类空隙裂隙含水岩组中富水强度较强的</w:t>
      </w:r>
      <w:r>
        <w:rPr>
          <w:rFonts w:ascii="Times New Roman" w:hAnsi="Times New Roman"/>
          <w:kern w:val="0"/>
          <w:szCs w:val="20"/>
        </w:rPr>
        <w:t>，</w:t>
      </w:r>
      <w:r>
        <w:rPr>
          <w:rFonts w:hint="eastAsia" w:ascii="Times New Roman" w:hAnsi="Times New Roman"/>
          <w:kern w:val="0"/>
          <w:szCs w:val="20"/>
        </w:rPr>
        <w:t>根据区域含水层岩性，并查阅《地下水动力学》(中国地质大学出版社，1999 年)和《水文地质学基础》(地质出版社)。项目所在区域水文地质条件参数</w:t>
      </w:r>
      <w:r>
        <w:rPr>
          <w:rFonts w:hint="eastAsia" w:ascii="Times New Roman" w:hAnsi="Times New Roman"/>
          <w:kern w:val="0"/>
          <w:szCs w:val="20"/>
          <w:lang w:eastAsia="zh-CN"/>
        </w:rPr>
        <w:t>渗透系数</w:t>
      </w:r>
      <w:r>
        <w:rPr>
          <w:rFonts w:hint="eastAsia" w:ascii="Times New Roman" w:hAnsi="Times New Roman" w:eastAsia="宋体" w:cs="Times New Roman"/>
          <w:kern w:val="0"/>
          <w:szCs w:val="20"/>
          <w:lang w:eastAsia="zh-CN"/>
        </w:rPr>
        <w:t>为</w:t>
      </w:r>
      <w:r>
        <w:rPr>
          <w:rFonts w:hint="eastAsia" w:ascii="Times New Roman" w:hAnsi="Times New Roman" w:eastAsia="宋体" w:cs="Times New Roman"/>
          <w:kern w:val="0"/>
          <w:szCs w:val="20"/>
          <w:lang w:val="en-US" w:eastAsia="zh-CN"/>
        </w:rPr>
        <w:t>0.16</w:t>
      </w:r>
      <w:r>
        <w:rPr>
          <w:rFonts w:hint="eastAsia" w:ascii="Times New Roman" w:hAnsi="Times New Roman" w:eastAsia="宋体" w:cs="Times New Roman"/>
          <w:kern w:val="0"/>
          <w:szCs w:val="20"/>
          <w:lang w:eastAsia="zh-CN"/>
        </w:rPr>
        <w:t>，</w:t>
      </w:r>
      <w:r>
        <w:rPr>
          <w:rFonts w:hint="eastAsia" w:ascii="Times New Roman" w:hAnsi="Times New Roman" w:eastAsia="宋体" w:cs="Times New Roman"/>
          <w:kern w:val="0"/>
          <w:szCs w:val="20"/>
        </w:rPr>
        <w:t>水</w:t>
      </w:r>
      <w:r>
        <w:rPr>
          <w:rFonts w:ascii="Times New Roman" w:hAnsi="Times New Roman"/>
          <w:kern w:val="0"/>
          <w:szCs w:val="20"/>
        </w:rPr>
        <w:t>力坡度取厂区</w:t>
      </w:r>
      <w:r>
        <w:rPr>
          <w:rFonts w:hint="eastAsia" w:ascii="Times New Roman" w:hAnsi="Times New Roman"/>
          <w:kern w:val="0"/>
          <w:szCs w:val="20"/>
        </w:rPr>
        <w:t>地形坡度，约为</w:t>
      </w:r>
      <w:r>
        <w:rPr>
          <w:rFonts w:ascii="Times New Roman" w:hAnsi="Times New Roman"/>
          <w:kern w:val="0"/>
          <w:szCs w:val="20"/>
        </w:rPr>
        <w:t>坡度</w:t>
      </w:r>
      <w:r>
        <w:rPr>
          <w:rFonts w:hint="eastAsia" w:ascii="Times New Roman" w:hAnsi="Times New Roman"/>
          <w:kern w:val="0"/>
          <w:szCs w:val="20"/>
          <w:lang w:val="en-US" w:eastAsia="zh-CN"/>
        </w:rPr>
        <w:t>0.057</w:t>
      </w:r>
      <w:r>
        <w:rPr>
          <w:rFonts w:ascii="Times New Roman" w:hAnsi="Times New Roman"/>
          <w:kern w:val="0"/>
          <w:szCs w:val="20"/>
        </w:rPr>
        <w:t>。</w:t>
      </w:r>
    </w:p>
    <w:p>
      <w:pPr>
        <w:tabs>
          <w:tab w:val="left" w:pos="0"/>
          <w:tab w:val="left" w:pos="870"/>
          <w:tab w:val="left" w:pos="990"/>
          <w:tab w:val="left" w:pos="1620"/>
        </w:tabs>
        <w:autoSpaceDE w:val="0"/>
        <w:autoSpaceDN w:val="0"/>
        <w:adjustRightInd w:val="0"/>
        <w:snapToGrid w:val="0"/>
        <w:spacing w:line="360" w:lineRule="auto"/>
        <w:ind w:firstLine="470" w:firstLineChars="196"/>
        <w:rPr>
          <w:rFonts w:ascii="Times New Roman" w:hAnsi="Times New Roman"/>
          <w:kern w:val="0"/>
          <w:szCs w:val="20"/>
        </w:rPr>
      </w:pPr>
      <w:r>
        <w:rPr>
          <w:rFonts w:ascii="Times New Roman" w:hAnsi="Times New Roman"/>
          <w:kern w:val="0"/>
          <w:szCs w:val="20"/>
        </w:rPr>
        <w:t>预测计算中孔隙度取值为给水度，即有效孔隙度，</w:t>
      </w:r>
      <w:r>
        <w:rPr>
          <w:rFonts w:hint="eastAsia" w:ascii="Times New Roman" w:hAnsi="Times New Roman"/>
          <w:kern w:val="0"/>
          <w:szCs w:val="20"/>
        </w:rPr>
        <w:t>本项目表层为粉砂，给水度变化区间在0</w:t>
      </w:r>
      <w:r>
        <w:rPr>
          <w:rFonts w:ascii="Times New Roman" w:hAnsi="Times New Roman"/>
          <w:kern w:val="0"/>
          <w:szCs w:val="20"/>
        </w:rPr>
        <w:t>.05</w:t>
      </w:r>
      <w:r>
        <w:rPr>
          <w:rFonts w:hint="eastAsia" w:ascii="Times New Roman" w:hAnsi="Times New Roman"/>
          <w:kern w:val="0"/>
          <w:szCs w:val="20"/>
        </w:rPr>
        <w:t>~</w:t>
      </w:r>
      <w:r>
        <w:rPr>
          <w:rFonts w:ascii="Times New Roman" w:hAnsi="Times New Roman"/>
          <w:kern w:val="0"/>
          <w:szCs w:val="20"/>
        </w:rPr>
        <w:t>0.19</w:t>
      </w:r>
      <w:r>
        <w:rPr>
          <w:rFonts w:hint="eastAsia" w:ascii="Times New Roman" w:hAnsi="Times New Roman"/>
          <w:kern w:val="0"/>
          <w:szCs w:val="20"/>
        </w:rPr>
        <w:t>，平均</w:t>
      </w:r>
      <w:r>
        <w:rPr>
          <w:rFonts w:hint="eastAsia" w:ascii="Times New Roman" w:hAnsi="Times New Roman"/>
          <w:b w:val="0"/>
          <w:bCs w:val="0"/>
          <w:kern w:val="0"/>
          <w:szCs w:val="20"/>
        </w:rPr>
        <w:t>给</w:t>
      </w:r>
      <w:r>
        <w:rPr>
          <w:rFonts w:hint="eastAsia" w:ascii="Times New Roman" w:hAnsi="Times New Roman"/>
          <w:kern w:val="0"/>
          <w:szCs w:val="20"/>
        </w:rPr>
        <w:t>水度为0</w:t>
      </w:r>
      <w:r>
        <w:rPr>
          <w:rFonts w:ascii="Times New Roman" w:hAnsi="Times New Roman"/>
          <w:kern w:val="0"/>
          <w:szCs w:val="20"/>
        </w:rPr>
        <w:t>.18，本次有效孔隙度取经验值0.18。计算参数见表</w:t>
      </w:r>
      <w:r>
        <w:rPr>
          <w:rFonts w:hint="eastAsia" w:ascii="Times New Roman" w:hAnsi="Times New Roman"/>
          <w:kern w:val="0"/>
          <w:szCs w:val="20"/>
          <w:lang w:val="en-US" w:eastAsia="zh-CN"/>
        </w:rPr>
        <w:t>4.2-</w:t>
      </w:r>
      <w:r>
        <w:rPr>
          <w:rFonts w:hint="eastAsia"/>
          <w:kern w:val="0"/>
          <w:szCs w:val="20"/>
          <w:lang w:val="en-US" w:eastAsia="zh-CN"/>
        </w:rPr>
        <w:t>11</w:t>
      </w:r>
      <w:r>
        <w:rPr>
          <w:rFonts w:ascii="Times New Roman" w:hAnsi="Times New Roman"/>
          <w:kern w:val="0"/>
          <w:szCs w:val="20"/>
        </w:rPr>
        <w:t>。</w:t>
      </w:r>
    </w:p>
    <w:p>
      <w:pPr>
        <w:adjustRightInd w:val="0"/>
        <w:snapToGrid w:val="0"/>
        <w:spacing w:line="360" w:lineRule="auto"/>
        <w:ind w:firstLine="482"/>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4.</w:t>
      </w:r>
      <w:r>
        <w:rPr>
          <w:rFonts w:hint="eastAsia" w:eastAsia="宋体" w:cs="Times New Roman"/>
          <w:b/>
          <w:bCs/>
          <w:sz w:val="21"/>
          <w:szCs w:val="21"/>
          <w:lang w:val="en-US" w:eastAsia="zh-CN"/>
        </w:rPr>
        <w:t>2</w:t>
      </w:r>
      <w:r>
        <w:rPr>
          <w:rFonts w:hint="eastAsia" w:ascii="Times New Roman" w:hAnsi="Times New Roman" w:eastAsia="宋体" w:cs="Times New Roman"/>
          <w:b/>
          <w:bCs/>
          <w:sz w:val="21"/>
          <w:szCs w:val="21"/>
          <w:lang w:val="en-US" w:eastAsia="zh-CN"/>
        </w:rPr>
        <w:t>-</w:t>
      </w:r>
      <w:r>
        <w:rPr>
          <w:rFonts w:hint="eastAsia" w:eastAsia="宋体" w:cs="Times New Roman"/>
          <w:b/>
          <w:bCs/>
          <w:sz w:val="21"/>
          <w:szCs w:val="21"/>
          <w:lang w:val="en-US" w:eastAsia="zh-CN"/>
        </w:rPr>
        <w:t>11</w:t>
      </w:r>
      <w:r>
        <w:rPr>
          <w:rFonts w:hint="default" w:ascii="Times New Roman" w:hAnsi="Times New Roman" w:eastAsia="宋体" w:cs="Times New Roman"/>
          <w:b/>
          <w:bCs/>
          <w:sz w:val="21"/>
          <w:szCs w:val="21"/>
        </w:rPr>
        <w:t xml:space="preserve">  地下水含水层参数</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74"/>
        <w:gridCol w:w="2005"/>
        <w:gridCol w:w="1836"/>
        <w:gridCol w:w="14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921" w:type="pct"/>
            <w:tcBorders>
              <w:tl2br w:val="nil"/>
              <w:tr2bl w:val="nil"/>
            </w:tcBorders>
            <w:noWrap w:val="0"/>
            <w:vAlign w:val="center"/>
          </w:tcPr>
          <w:p>
            <w:pPr>
              <w:pStyle w:val="62"/>
              <w:spacing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含水层</w:t>
            </w:r>
          </w:p>
        </w:tc>
        <w:tc>
          <w:tcPr>
            <w:tcW w:w="1176" w:type="pct"/>
            <w:tcBorders>
              <w:tl2br w:val="nil"/>
              <w:tr2bl w:val="nil"/>
            </w:tcBorders>
            <w:noWrap w:val="0"/>
            <w:vAlign w:val="center"/>
          </w:tcPr>
          <w:p>
            <w:pPr>
              <w:pStyle w:val="62"/>
              <w:spacing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渗透系数（m/d）</w:t>
            </w:r>
          </w:p>
        </w:tc>
        <w:tc>
          <w:tcPr>
            <w:tcW w:w="1077" w:type="pct"/>
            <w:tcBorders>
              <w:tl2br w:val="nil"/>
              <w:tr2bl w:val="nil"/>
            </w:tcBorders>
            <w:noWrap w:val="0"/>
            <w:vAlign w:val="center"/>
          </w:tcPr>
          <w:p>
            <w:pPr>
              <w:pStyle w:val="62"/>
              <w:spacing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水力坡度（%）</w:t>
            </w:r>
          </w:p>
        </w:tc>
        <w:tc>
          <w:tcPr>
            <w:tcW w:w="826" w:type="pct"/>
            <w:tcBorders>
              <w:tl2br w:val="nil"/>
              <w:tr2bl w:val="nil"/>
            </w:tcBorders>
            <w:noWrap w:val="0"/>
            <w:vAlign w:val="center"/>
          </w:tcPr>
          <w:p>
            <w:pPr>
              <w:pStyle w:val="62"/>
              <w:spacing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有效孔隙度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921" w:type="pct"/>
            <w:tcBorders>
              <w:tl2br w:val="nil"/>
              <w:tr2bl w:val="nil"/>
            </w:tcBorders>
            <w:noWrap w:val="0"/>
            <w:vAlign w:val="center"/>
          </w:tcPr>
          <w:p>
            <w:pPr>
              <w:pStyle w:val="62"/>
              <w:spacing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强～中风化泥质粉砂岩含水层</w:t>
            </w:r>
          </w:p>
        </w:tc>
        <w:tc>
          <w:tcPr>
            <w:tcW w:w="1176" w:type="pct"/>
            <w:tcBorders>
              <w:tl2br w:val="nil"/>
              <w:tr2bl w:val="nil"/>
            </w:tcBorders>
            <w:noWrap w:val="0"/>
            <w:vAlign w:val="center"/>
          </w:tcPr>
          <w:p>
            <w:pPr>
              <w:pStyle w:val="62"/>
              <w:spacing w:line="360" w:lineRule="auto"/>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0.16</w:t>
            </w:r>
          </w:p>
        </w:tc>
        <w:tc>
          <w:tcPr>
            <w:tcW w:w="1077" w:type="pct"/>
            <w:tcBorders>
              <w:tl2br w:val="nil"/>
              <w:tr2bl w:val="nil"/>
            </w:tcBorders>
            <w:noWrap w:val="0"/>
            <w:vAlign w:val="center"/>
          </w:tcPr>
          <w:p>
            <w:pPr>
              <w:pStyle w:val="62"/>
              <w:spacing w:line="360" w:lineRule="auto"/>
              <w:rPr>
                <w:rFonts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8</w:t>
            </w:r>
            <w:r>
              <w:rPr>
                <w:rFonts w:ascii="Times New Roman" w:hAnsi="Times New Roman" w:eastAsia="宋体" w:cs="Times New Roman"/>
                <w:bCs/>
                <w:sz w:val="21"/>
                <w:szCs w:val="21"/>
              </w:rPr>
              <w:t>.6</w:t>
            </w:r>
          </w:p>
        </w:tc>
        <w:tc>
          <w:tcPr>
            <w:tcW w:w="826" w:type="pct"/>
            <w:tcBorders>
              <w:tl2br w:val="nil"/>
              <w:tr2bl w:val="nil"/>
            </w:tcBorders>
            <w:noWrap w:val="0"/>
            <w:vAlign w:val="center"/>
          </w:tcPr>
          <w:p>
            <w:pPr>
              <w:pStyle w:val="62"/>
              <w:spacing w:line="360" w:lineRule="auto"/>
              <w:rPr>
                <w:rFonts w:ascii="Times New Roman" w:hAnsi="Times New Roman" w:eastAsia="宋体" w:cs="Times New Roman"/>
                <w:bCs/>
                <w:sz w:val="21"/>
                <w:szCs w:val="21"/>
              </w:rPr>
            </w:pPr>
            <w:r>
              <w:rPr>
                <w:rFonts w:ascii="Times New Roman" w:hAnsi="Times New Roman" w:eastAsia="宋体" w:cs="Times New Roman"/>
                <w:bCs/>
                <w:sz w:val="21"/>
                <w:szCs w:val="21"/>
              </w:rPr>
              <w:t>0.18</w:t>
            </w:r>
          </w:p>
        </w:tc>
      </w:tr>
    </w:tbl>
    <w:p>
      <w:pPr>
        <w:tabs>
          <w:tab w:val="left" w:pos="0"/>
          <w:tab w:val="left" w:pos="870"/>
          <w:tab w:val="left" w:pos="990"/>
          <w:tab w:val="left" w:pos="1620"/>
        </w:tabs>
        <w:autoSpaceDE w:val="0"/>
        <w:autoSpaceDN w:val="0"/>
        <w:adjustRightInd w:val="0"/>
        <w:snapToGrid w:val="0"/>
        <w:spacing w:line="360" w:lineRule="auto"/>
        <w:ind w:firstLine="470" w:firstLineChars="196"/>
        <w:rPr>
          <w:rFonts w:ascii="Times New Roman" w:hAnsi="Times New Roman"/>
          <w:kern w:val="0"/>
          <w:szCs w:val="20"/>
        </w:rPr>
      </w:pPr>
      <w:r>
        <w:rPr>
          <w:rFonts w:hint="eastAsia" w:ascii="Times New Roman" w:hAnsi="Times New Roman"/>
          <w:kern w:val="0"/>
          <w:szCs w:val="20"/>
        </w:rPr>
        <w:t>本项目岩性参数参照相关的地质资料可知，项目区岩层的渗透系数约为 0.16m/d，水力坡度I取值</w:t>
      </w:r>
      <w:r>
        <w:rPr>
          <w:rFonts w:hint="eastAsia" w:ascii="Times New Roman" w:hAnsi="Times New Roman"/>
          <w:kern w:val="0"/>
          <w:szCs w:val="20"/>
          <w:lang w:val="en-US" w:eastAsia="zh-CN"/>
        </w:rPr>
        <w:t>0.057</w:t>
      </w:r>
      <w:r>
        <w:rPr>
          <w:rFonts w:hint="eastAsia" w:ascii="Times New Roman" w:hAnsi="Times New Roman"/>
          <w:kern w:val="0"/>
          <w:szCs w:val="20"/>
        </w:rPr>
        <w:t>，因此地下水的渗透流速</w:t>
      </w:r>
      <w:r>
        <w:rPr>
          <w:rFonts w:hint="eastAsia" w:ascii="Times New Roman" w:hAnsi="Times New Roman"/>
          <w:kern w:val="0"/>
          <w:szCs w:val="20"/>
          <w:lang w:val="en-US" w:eastAsia="zh-CN"/>
        </w:rPr>
        <w:t>0.05</w:t>
      </w:r>
      <w:r>
        <w:rPr>
          <w:rFonts w:ascii="Times New Roman" w:hAnsi="Times New Roman"/>
          <w:kern w:val="0"/>
          <w:szCs w:val="20"/>
        </w:rPr>
        <w:t>m/d</w:t>
      </w:r>
      <w:r>
        <w:rPr>
          <w:rFonts w:hint="eastAsia" w:ascii="Times New Roman" w:hAnsi="Times New Roman"/>
          <w:kern w:val="0"/>
          <w:szCs w:val="20"/>
        </w:rPr>
        <w:t xml:space="preserve">。 </w:t>
      </w:r>
    </w:p>
    <w:p>
      <w:pPr>
        <w:tabs>
          <w:tab w:val="left" w:pos="0"/>
          <w:tab w:val="left" w:pos="870"/>
          <w:tab w:val="left" w:pos="990"/>
          <w:tab w:val="left" w:pos="1620"/>
        </w:tabs>
        <w:autoSpaceDE w:val="0"/>
        <w:autoSpaceDN w:val="0"/>
        <w:adjustRightInd w:val="0"/>
        <w:snapToGrid w:val="0"/>
        <w:spacing w:line="360" w:lineRule="auto"/>
        <w:ind w:firstLine="470" w:firstLineChars="196"/>
        <w:rPr>
          <w:rFonts w:ascii="Times New Roman" w:hAnsi="Times New Roman"/>
          <w:kern w:val="0"/>
          <w:szCs w:val="20"/>
        </w:rPr>
      </w:pPr>
      <w:r>
        <w:rPr>
          <w:rFonts w:ascii="Times New Roman" w:hAnsi="Times New Roman"/>
          <w:kern w:val="0"/>
          <w:szCs w:val="20"/>
        </w:rPr>
        <w:t>根据含水层中砂石砾颗粒大小、颗粒均匀度和排列情况，类比取得的水文地质参数见表</w:t>
      </w:r>
      <w:r>
        <w:rPr>
          <w:rFonts w:hint="eastAsia" w:ascii="Times New Roman" w:hAnsi="Times New Roman"/>
          <w:kern w:val="0"/>
          <w:szCs w:val="20"/>
          <w:lang w:val="en-US" w:eastAsia="zh-CN"/>
        </w:rPr>
        <w:t>4..2-</w:t>
      </w:r>
      <w:r>
        <w:rPr>
          <w:rFonts w:hint="eastAsia"/>
          <w:kern w:val="0"/>
          <w:szCs w:val="20"/>
          <w:lang w:val="en-US" w:eastAsia="zh-CN"/>
        </w:rPr>
        <w:t>12</w:t>
      </w:r>
      <w:r>
        <w:rPr>
          <w:rFonts w:ascii="Times New Roman" w:hAnsi="Times New Roman"/>
          <w:kern w:val="0"/>
          <w:szCs w:val="20"/>
        </w:rPr>
        <w:t>。</w:t>
      </w:r>
    </w:p>
    <w:p>
      <w:pPr>
        <w:adjustRightInd w:val="0"/>
        <w:snapToGrid w:val="0"/>
        <w:spacing w:line="360" w:lineRule="auto"/>
        <w:ind w:firstLine="482"/>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val="en-US" w:eastAsia="zh-CN"/>
        </w:rPr>
        <w:t>4.2-</w:t>
      </w:r>
      <w:r>
        <w:rPr>
          <w:rFonts w:hint="eastAsia" w:eastAsia="宋体" w:cs="Times New Roman"/>
          <w:b/>
          <w:bCs/>
          <w:sz w:val="21"/>
          <w:szCs w:val="21"/>
          <w:lang w:val="en-US" w:eastAsia="zh-CN"/>
        </w:rPr>
        <w:t>12</w:t>
      </w:r>
      <w:r>
        <w:rPr>
          <w:rFonts w:hint="default" w:ascii="Times New Roman" w:hAnsi="Times New Roman" w:eastAsia="宋体" w:cs="Times New Roman"/>
          <w:b/>
          <w:bCs/>
          <w:sz w:val="21"/>
          <w:szCs w:val="21"/>
        </w:rPr>
        <w:t xml:space="preserve">  </w:t>
      </w:r>
      <w:r>
        <w:rPr>
          <w:rFonts w:hint="eastAsia" w:ascii="Times New Roman" w:hAnsi="Times New Roman" w:eastAsia="宋体" w:cs="Times New Roman"/>
          <w:b/>
          <w:bCs/>
          <w:sz w:val="21"/>
          <w:szCs w:val="21"/>
          <w:lang w:eastAsia="zh-CN"/>
        </w:rPr>
        <w:t>纵向弥散系数参照</w:t>
      </w:r>
      <w:r>
        <w:rPr>
          <w:rFonts w:hint="default" w:ascii="Times New Roman" w:hAnsi="Times New Roman" w:eastAsia="宋体" w:cs="Times New Roman"/>
          <w:b/>
          <w:bCs/>
          <w:sz w:val="21"/>
          <w:szCs w:val="21"/>
        </w:rPr>
        <w:t>表</w:t>
      </w:r>
    </w:p>
    <w:tbl>
      <w:tblPr>
        <w:tblStyle w:val="37"/>
        <w:tblW w:w="516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063"/>
        <w:gridCol w:w="37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lang w:eastAsia="zh-CN"/>
              </w:rPr>
              <w:t>参数</w:t>
            </w:r>
          </w:p>
        </w:tc>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lang w:eastAsia="zh-CN"/>
              </w:rPr>
              <w:t>砂砾石黏土互层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lang w:eastAsia="zh-CN"/>
              </w:rPr>
              <w:t>纵向弥散度（</w:t>
            </w:r>
            <w:r>
              <w:rPr>
                <w:rFonts w:hint="eastAsia" w:ascii="Times New Roman" w:hAnsi="Times New Roman" w:eastAsia="宋体" w:cs="Times New Roman"/>
                <w:color w:val="000000"/>
                <w:kern w:val="0"/>
                <w:sz w:val="21"/>
                <w:szCs w:val="21"/>
                <w:lang w:val="en-US" w:eastAsia="zh-CN"/>
              </w:rPr>
              <w:t>m</w:t>
            </w:r>
            <w:r>
              <w:rPr>
                <w:rFonts w:hint="eastAsia" w:ascii="Times New Roman" w:hAnsi="Times New Roman" w:eastAsia="宋体" w:cs="Times New Roman"/>
                <w:color w:val="000000"/>
                <w:kern w:val="0"/>
                <w:sz w:val="21"/>
                <w:szCs w:val="21"/>
                <w:lang w:eastAsia="zh-CN"/>
              </w:rPr>
              <w:t>）</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0" w:type="auto"/>
            <w:tcBorders>
              <w:tl2br w:val="nil"/>
              <w:tr2bl w:val="nil"/>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lang w:eastAsia="zh-CN"/>
              </w:rPr>
              <w:t>纵向弥散系数（</w:t>
            </w:r>
            <w:r>
              <w:rPr>
                <w:rFonts w:hint="eastAsia" w:ascii="Times New Roman" w:hAnsi="Times New Roman" w:eastAsia="宋体" w:cs="Times New Roman"/>
                <w:color w:val="000000"/>
                <w:kern w:val="0"/>
                <w:sz w:val="21"/>
                <w:szCs w:val="21"/>
              </w:rPr>
              <w:t>m</w:t>
            </w:r>
            <w:r>
              <w:rPr>
                <w:rFonts w:hint="eastAsia" w:ascii="Times New Roman" w:hAnsi="Times New Roman" w:eastAsia="宋体" w:cs="Times New Roman"/>
                <w:color w:val="000000"/>
                <w:kern w:val="0"/>
                <w:sz w:val="21"/>
                <w:szCs w:val="21"/>
                <w:vertAlign w:val="superscript"/>
              </w:rPr>
              <w:t>2</w:t>
            </w:r>
            <w:r>
              <w:rPr>
                <w:rFonts w:hint="eastAsia" w:ascii="Times New Roman" w:hAnsi="Times New Roman" w:eastAsia="宋体" w:cs="Times New Roman"/>
                <w:color w:val="000000"/>
                <w:kern w:val="0"/>
                <w:sz w:val="21"/>
                <w:szCs w:val="21"/>
              </w:rPr>
              <w:t>/d</w:t>
            </w:r>
            <w:r>
              <w:rPr>
                <w:rFonts w:hint="eastAsia" w:ascii="Times New Roman" w:hAnsi="Times New Roman" w:eastAsia="宋体" w:cs="Times New Roman"/>
                <w:color w:val="000000"/>
                <w:kern w:val="0"/>
                <w:sz w:val="21"/>
                <w:szCs w:val="21"/>
                <w:lang w:eastAsia="zh-CN"/>
              </w:rPr>
              <w:t>）</w:t>
            </w:r>
          </w:p>
        </w:tc>
        <w:tc>
          <w:tcPr>
            <w:tcW w:w="0" w:type="auto"/>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0" w:type="auto"/>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注：弥散度参照《地下水污染模拟预测评估工作指南（试行）》表C.7弥散系数经验取值</w:t>
            </w:r>
          </w:p>
        </w:tc>
      </w:tr>
    </w:tbl>
    <w:p>
      <w:pPr>
        <w:ind w:firstLine="0" w:firstLineChars="0"/>
        <w:rPr>
          <w:rFonts w:hint="eastAsia"/>
          <w:color w:val="000000"/>
        </w:rPr>
      </w:pPr>
      <w:r>
        <w:rPr>
          <w:rFonts w:hint="eastAsia"/>
          <w:color w:val="000000"/>
        </w:rPr>
        <w:t>（6）预测结果及评价</w:t>
      </w:r>
    </w:p>
    <w:p>
      <w:pPr>
        <w:ind w:firstLine="480"/>
        <w:rPr>
          <w:rFonts w:hint="eastAsia"/>
          <w:color w:val="000000"/>
          <w:u w:val="none"/>
        </w:rPr>
      </w:pPr>
      <w:r>
        <w:rPr>
          <w:rFonts w:hint="eastAsia"/>
          <w:color w:val="000000"/>
          <w:u w:val="none"/>
          <w:lang w:eastAsia="zh-CN"/>
        </w:rPr>
        <w:t>在防渗措施破损情况下，根据模拟情景进行预测。预测结果如下</w:t>
      </w:r>
      <w:r>
        <w:rPr>
          <w:color w:val="000000"/>
          <w:u w:val="none"/>
        </w:rPr>
        <w:t>。</w:t>
      </w:r>
    </w:p>
    <w:p>
      <w:pPr>
        <w:tabs>
          <w:tab w:val="left" w:pos="3133"/>
        </w:tabs>
        <w:spacing w:before="4" w:after="3"/>
        <w:jc w:val="center"/>
        <w:rPr>
          <w:rFonts w:hint="default" w:ascii="Times New Roman" w:hAnsi="Times New Roman" w:eastAsia="黑体" w:cs="Times New Roman"/>
          <w:b/>
          <w:bCs/>
          <w:sz w:val="21"/>
          <w:szCs w:val="21"/>
          <w:u w:val="none"/>
        </w:rPr>
      </w:pPr>
      <w:r>
        <w:rPr>
          <w:rFonts w:hint="eastAsia" w:eastAsia="黑体" w:cs="Times New Roman"/>
          <w:b/>
          <w:bCs/>
          <w:sz w:val="21"/>
          <w:szCs w:val="21"/>
          <w:u w:val="none"/>
          <w:lang w:val="en-US" w:eastAsia="zh-CN"/>
        </w:rPr>
        <w:t>表 4.2-13</w:t>
      </w:r>
      <w:r>
        <w:rPr>
          <w:rFonts w:hint="eastAsia" w:ascii="Times New Roman" w:hAnsi="Times New Roman" w:eastAsia="黑体" w:cs="Times New Roman"/>
          <w:b/>
          <w:bCs/>
          <w:sz w:val="21"/>
          <w:szCs w:val="21"/>
          <w:u w:val="none"/>
          <w:lang w:val="en-US" w:eastAsia="zh-CN"/>
        </w:rPr>
        <w:t>非</w:t>
      </w:r>
      <w:r>
        <w:rPr>
          <w:rFonts w:hint="default" w:ascii="Times New Roman" w:hAnsi="Times New Roman" w:eastAsia="黑体" w:cs="Times New Roman"/>
          <w:b/>
          <w:bCs/>
          <w:sz w:val="21"/>
          <w:szCs w:val="21"/>
          <w:u w:val="none"/>
        </w:rPr>
        <w:t>正常工况下</w:t>
      </w:r>
      <w:r>
        <w:rPr>
          <w:rFonts w:hint="eastAsia" w:ascii="Times New Roman" w:hAnsi="Times New Roman" w:eastAsia="黑体" w:cs="Times New Roman"/>
          <w:b/>
          <w:bCs/>
          <w:sz w:val="21"/>
          <w:szCs w:val="21"/>
          <w:u w:val="none"/>
          <w:lang w:val="en-US" w:eastAsia="zh-CN"/>
        </w:rPr>
        <w:t>锰</w:t>
      </w:r>
      <w:r>
        <w:rPr>
          <w:rFonts w:hint="default" w:ascii="Times New Roman" w:hAnsi="Times New Roman" w:eastAsia="黑体" w:cs="Times New Roman"/>
          <w:b/>
          <w:bCs/>
          <w:sz w:val="21"/>
          <w:szCs w:val="21"/>
          <w:u w:val="none"/>
        </w:rPr>
        <w:t>预测浓度值（单位：mg/L）</w:t>
      </w:r>
    </w:p>
    <w:tbl>
      <w:tblPr>
        <w:tblStyle w:val="37"/>
        <w:tblW w:w="8835"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190"/>
        <w:gridCol w:w="975"/>
        <w:gridCol w:w="1204"/>
        <w:gridCol w:w="953"/>
        <w:gridCol w:w="1652"/>
        <w:gridCol w:w="953"/>
        <w:gridCol w:w="954"/>
        <w:gridCol w:w="954"/>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96" w:hRule="atLeast"/>
          <w:jc w:val="center"/>
        </w:trPr>
        <w:tc>
          <w:tcPr>
            <w:tcW w:w="1190"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时间（d</w:t>
            </w:r>
            <w:r>
              <w:rPr>
                <w:rFonts w:hint="eastAsia" w:ascii="Times New Roman" w:hAnsi="Times New Roman" w:eastAsia="宋体" w:cs="Times New Roman"/>
                <w:bCs/>
                <w:u w:val="none"/>
                <w:lang w:val="en-US" w:eastAsia="zh-CN"/>
              </w:rPr>
              <w:t>）</w:t>
            </w:r>
          </w:p>
        </w:tc>
        <w:tc>
          <w:tcPr>
            <w:tcW w:w="975" w:type="dxa"/>
            <w:vMerge w:val="restart"/>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5</w:t>
            </w:r>
          </w:p>
        </w:tc>
        <w:tc>
          <w:tcPr>
            <w:tcW w:w="1204" w:type="dxa"/>
            <w:vMerge w:val="restart"/>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10</w:t>
            </w:r>
          </w:p>
        </w:tc>
        <w:tc>
          <w:tcPr>
            <w:tcW w:w="953" w:type="dxa"/>
            <w:vMerge w:val="restart"/>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50</w:t>
            </w:r>
          </w:p>
        </w:tc>
        <w:tc>
          <w:tcPr>
            <w:tcW w:w="1652" w:type="dxa"/>
            <w:vMerge w:val="restart"/>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100</w:t>
            </w:r>
          </w:p>
        </w:tc>
        <w:tc>
          <w:tcPr>
            <w:tcW w:w="953" w:type="dxa"/>
            <w:vMerge w:val="restart"/>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300</w:t>
            </w:r>
          </w:p>
        </w:tc>
        <w:tc>
          <w:tcPr>
            <w:tcW w:w="954" w:type="dxa"/>
            <w:vMerge w:val="restart"/>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500</w:t>
            </w:r>
          </w:p>
        </w:tc>
        <w:tc>
          <w:tcPr>
            <w:tcW w:w="954" w:type="dxa"/>
            <w:vMerge w:val="restart"/>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1000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71" w:hRule="atLeast"/>
          <w:jc w:val="center"/>
        </w:trPr>
        <w:tc>
          <w:tcPr>
            <w:tcW w:w="1190"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距离（m</w:t>
            </w:r>
            <w:r>
              <w:rPr>
                <w:rFonts w:hint="eastAsia" w:ascii="Times New Roman" w:hAnsi="Times New Roman" w:eastAsia="宋体" w:cs="Times New Roman"/>
                <w:bCs/>
                <w:u w:val="none"/>
                <w:lang w:val="en-US" w:eastAsia="zh-CN"/>
              </w:rPr>
              <w:t>）</w:t>
            </w:r>
          </w:p>
        </w:tc>
        <w:tc>
          <w:tcPr>
            <w:tcW w:w="975" w:type="dxa"/>
            <w:vMerge w:val="continue"/>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p>
        </w:tc>
        <w:tc>
          <w:tcPr>
            <w:tcW w:w="1204" w:type="dxa"/>
            <w:vMerge w:val="continue"/>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p>
        </w:tc>
        <w:tc>
          <w:tcPr>
            <w:tcW w:w="953" w:type="dxa"/>
            <w:vMerge w:val="continue"/>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p>
        </w:tc>
        <w:tc>
          <w:tcPr>
            <w:tcW w:w="1652" w:type="dxa"/>
            <w:vMerge w:val="continue"/>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p>
        </w:tc>
        <w:tc>
          <w:tcPr>
            <w:tcW w:w="953" w:type="dxa"/>
            <w:vMerge w:val="continue"/>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p>
        </w:tc>
        <w:tc>
          <w:tcPr>
            <w:tcW w:w="954" w:type="dxa"/>
            <w:vMerge w:val="continue"/>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p>
        </w:tc>
        <w:tc>
          <w:tcPr>
            <w:tcW w:w="954" w:type="dxa"/>
            <w:vMerge w:val="continue"/>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6" w:hRule="atLeast"/>
          <w:jc w:val="center"/>
        </w:trPr>
        <w:tc>
          <w:tcPr>
            <w:tcW w:w="1190"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0</w:t>
            </w:r>
          </w:p>
        </w:tc>
        <w:tc>
          <w:tcPr>
            <w:tcW w:w="975"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25.00 </w:t>
            </w:r>
          </w:p>
        </w:tc>
        <w:tc>
          <w:tcPr>
            <w:tcW w:w="120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25.00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25.00 </w:t>
            </w:r>
          </w:p>
        </w:tc>
        <w:tc>
          <w:tcPr>
            <w:tcW w:w="1652"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25.00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25.00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25.00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25.00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6" w:hRule="atLeast"/>
          <w:jc w:val="center"/>
        </w:trPr>
        <w:tc>
          <w:tcPr>
            <w:tcW w:w="1190"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10</w:t>
            </w:r>
          </w:p>
        </w:tc>
        <w:tc>
          <w:tcPr>
            <w:tcW w:w="975"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120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3.13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21.82 </w:t>
            </w:r>
          </w:p>
        </w:tc>
        <w:tc>
          <w:tcPr>
            <w:tcW w:w="1652"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22.05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23.99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24.00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25.00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6" w:hRule="atLeast"/>
          <w:jc w:val="center"/>
        </w:trPr>
        <w:tc>
          <w:tcPr>
            <w:tcW w:w="1190"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20</w:t>
            </w:r>
          </w:p>
        </w:tc>
        <w:tc>
          <w:tcPr>
            <w:tcW w:w="975"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120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0.02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5.65 </w:t>
            </w:r>
          </w:p>
        </w:tc>
        <w:tc>
          <w:tcPr>
            <w:tcW w:w="1652"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8.90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20.09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23.00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23.00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6" w:hRule="atLeast"/>
          <w:jc w:val="center"/>
        </w:trPr>
        <w:tc>
          <w:tcPr>
            <w:tcW w:w="1190"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30</w:t>
            </w:r>
          </w:p>
        </w:tc>
        <w:tc>
          <w:tcPr>
            <w:tcW w:w="975"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120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1.36 </w:t>
            </w:r>
          </w:p>
        </w:tc>
        <w:tc>
          <w:tcPr>
            <w:tcW w:w="1652"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3.22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11.01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20.10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22.15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6" w:hRule="atLeast"/>
          <w:jc w:val="center"/>
        </w:trPr>
        <w:tc>
          <w:tcPr>
            <w:tcW w:w="1190"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40</w:t>
            </w:r>
          </w:p>
        </w:tc>
        <w:tc>
          <w:tcPr>
            <w:tcW w:w="975"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120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0.02 </w:t>
            </w:r>
          </w:p>
        </w:tc>
        <w:tc>
          <w:tcPr>
            <w:tcW w:w="1652"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1.48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5.01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17.01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17.26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6" w:hRule="atLeast"/>
          <w:jc w:val="center"/>
        </w:trPr>
        <w:tc>
          <w:tcPr>
            <w:tcW w:w="1190"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50</w:t>
            </w:r>
          </w:p>
        </w:tc>
        <w:tc>
          <w:tcPr>
            <w:tcW w:w="975"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120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1652"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0.04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1.01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10.01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13.21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6" w:hRule="atLeast"/>
          <w:jc w:val="center"/>
        </w:trPr>
        <w:tc>
          <w:tcPr>
            <w:tcW w:w="1190"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100</w:t>
            </w:r>
          </w:p>
        </w:tc>
        <w:tc>
          <w:tcPr>
            <w:tcW w:w="975"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120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1652"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0.01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5.01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6.25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3" w:hRule="atLeast"/>
          <w:jc w:val="center"/>
        </w:trPr>
        <w:tc>
          <w:tcPr>
            <w:tcW w:w="1190"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200</w:t>
            </w:r>
          </w:p>
        </w:tc>
        <w:tc>
          <w:tcPr>
            <w:tcW w:w="975"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120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1652"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1.00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2.69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86" w:hRule="atLeast"/>
          <w:jc w:val="center"/>
        </w:trPr>
        <w:tc>
          <w:tcPr>
            <w:tcW w:w="1190"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300</w:t>
            </w:r>
          </w:p>
        </w:tc>
        <w:tc>
          <w:tcPr>
            <w:tcW w:w="975"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120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1652"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
                <w:bCs w:val="0"/>
                <w:u w:val="none"/>
                <w:lang w:val="en-US" w:eastAsia="zh-CN"/>
              </w:rPr>
              <w:t xml:space="preserve">1.02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20" w:hRule="atLeast"/>
          <w:jc w:val="center"/>
        </w:trPr>
        <w:tc>
          <w:tcPr>
            <w:tcW w:w="1190"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400</w:t>
            </w:r>
          </w:p>
        </w:tc>
        <w:tc>
          <w:tcPr>
            <w:tcW w:w="975"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120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1652"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95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c>
          <w:tcPr>
            <w:tcW w:w="954"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 </w:t>
            </w:r>
          </w:p>
        </w:tc>
      </w:tr>
    </w:tbl>
    <w:p>
      <w:pPr>
        <w:tabs>
          <w:tab w:val="left" w:pos="3133"/>
        </w:tabs>
        <w:spacing w:before="4" w:after="3"/>
        <w:jc w:val="center"/>
        <w:rPr>
          <w:rFonts w:hint="default" w:ascii="Times New Roman" w:hAnsi="Times New Roman" w:eastAsia="黑体" w:cs="Times New Roman"/>
          <w:b/>
          <w:bCs/>
          <w:sz w:val="21"/>
          <w:szCs w:val="21"/>
          <w:u w:val="none"/>
        </w:rPr>
      </w:pPr>
      <w:r>
        <w:rPr>
          <w:rFonts w:hint="eastAsia" w:eastAsia="黑体" w:cs="Times New Roman"/>
          <w:b/>
          <w:bCs/>
          <w:sz w:val="21"/>
          <w:szCs w:val="21"/>
          <w:u w:val="none"/>
          <w:lang w:val="en-US" w:eastAsia="zh-CN"/>
        </w:rPr>
        <w:t>表 4.2-14</w:t>
      </w:r>
      <w:r>
        <w:rPr>
          <w:rFonts w:hint="eastAsia" w:ascii="Times New Roman" w:hAnsi="Times New Roman" w:eastAsia="黑体" w:cs="Times New Roman"/>
          <w:b/>
          <w:bCs/>
          <w:sz w:val="21"/>
          <w:szCs w:val="21"/>
          <w:u w:val="none"/>
          <w:lang w:val="en-US" w:eastAsia="zh-CN"/>
        </w:rPr>
        <w:t>非</w:t>
      </w:r>
      <w:r>
        <w:rPr>
          <w:rFonts w:hint="default" w:ascii="Times New Roman" w:hAnsi="Times New Roman" w:eastAsia="黑体" w:cs="Times New Roman"/>
          <w:b/>
          <w:bCs/>
          <w:sz w:val="21"/>
          <w:szCs w:val="21"/>
          <w:u w:val="none"/>
        </w:rPr>
        <w:t>正常工况下</w:t>
      </w:r>
      <w:r>
        <w:rPr>
          <w:rFonts w:hint="eastAsia" w:ascii="Times New Roman" w:hAnsi="Times New Roman" w:eastAsia="黑体" w:cs="Times New Roman"/>
          <w:b/>
          <w:bCs/>
          <w:sz w:val="21"/>
          <w:szCs w:val="21"/>
          <w:u w:val="none"/>
          <w:lang w:val="en-US" w:eastAsia="zh-CN"/>
        </w:rPr>
        <w:t>六价铬</w:t>
      </w:r>
      <w:r>
        <w:rPr>
          <w:rFonts w:hint="default" w:ascii="Times New Roman" w:hAnsi="Times New Roman" w:eastAsia="黑体" w:cs="Times New Roman"/>
          <w:b/>
          <w:bCs/>
          <w:sz w:val="21"/>
          <w:szCs w:val="21"/>
          <w:u w:val="none"/>
        </w:rPr>
        <w:t>预测浓度值（单位：mg/L）</w:t>
      </w:r>
    </w:p>
    <w:tbl>
      <w:tblPr>
        <w:tblStyle w:val="37"/>
        <w:tblW w:w="8615"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880"/>
        <w:gridCol w:w="937"/>
        <w:gridCol w:w="1651"/>
        <w:gridCol w:w="905"/>
        <w:gridCol w:w="1527"/>
        <w:gridCol w:w="905"/>
        <w:gridCol w:w="905"/>
        <w:gridCol w:w="905"/>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16" w:hRule="atLeast"/>
          <w:jc w:val="center"/>
        </w:trPr>
        <w:tc>
          <w:tcPr>
            <w:tcW w:w="771"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时间（d</w:t>
            </w:r>
            <w:r>
              <w:rPr>
                <w:rFonts w:hint="eastAsia" w:ascii="Times New Roman" w:hAnsi="Times New Roman" w:eastAsia="宋体" w:cs="Times New Roman"/>
                <w:bCs/>
                <w:u w:val="none"/>
                <w:lang w:val="en-US" w:eastAsia="zh-CN"/>
              </w:rPr>
              <w:t>）</w:t>
            </w:r>
          </w:p>
        </w:tc>
        <w:tc>
          <w:tcPr>
            <w:tcW w:w="947" w:type="dxa"/>
            <w:vMerge w:val="restart"/>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5</w:t>
            </w:r>
          </w:p>
        </w:tc>
        <w:tc>
          <w:tcPr>
            <w:tcW w:w="1687" w:type="dxa"/>
            <w:vMerge w:val="restart"/>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10</w:t>
            </w:r>
          </w:p>
        </w:tc>
        <w:tc>
          <w:tcPr>
            <w:tcW w:w="913" w:type="dxa"/>
            <w:vMerge w:val="restart"/>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50</w:t>
            </w:r>
          </w:p>
        </w:tc>
        <w:tc>
          <w:tcPr>
            <w:tcW w:w="1558" w:type="dxa"/>
            <w:vMerge w:val="restart"/>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100</w:t>
            </w:r>
          </w:p>
        </w:tc>
        <w:tc>
          <w:tcPr>
            <w:tcW w:w="913" w:type="dxa"/>
            <w:vMerge w:val="restart"/>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300</w:t>
            </w:r>
          </w:p>
        </w:tc>
        <w:tc>
          <w:tcPr>
            <w:tcW w:w="913" w:type="dxa"/>
            <w:vMerge w:val="restart"/>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500</w:t>
            </w:r>
          </w:p>
        </w:tc>
        <w:tc>
          <w:tcPr>
            <w:tcW w:w="913" w:type="dxa"/>
            <w:vMerge w:val="restart"/>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1000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03" w:hRule="atLeast"/>
          <w:jc w:val="center"/>
        </w:trPr>
        <w:tc>
          <w:tcPr>
            <w:tcW w:w="771"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距离（m</w:t>
            </w:r>
            <w:r>
              <w:rPr>
                <w:rFonts w:hint="eastAsia" w:ascii="Times New Roman" w:hAnsi="Times New Roman" w:eastAsia="宋体" w:cs="Times New Roman"/>
                <w:bCs/>
                <w:u w:val="none"/>
                <w:lang w:val="en-US" w:eastAsia="zh-CN"/>
              </w:rPr>
              <w:t>）</w:t>
            </w:r>
          </w:p>
        </w:tc>
        <w:tc>
          <w:tcPr>
            <w:tcW w:w="947" w:type="dxa"/>
            <w:vMerge w:val="continue"/>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p>
        </w:tc>
        <w:tc>
          <w:tcPr>
            <w:tcW w:w="1687" w:type="dxa"/>
            <w:vMerge w:val="continue"/>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p>
        </w:tc>
        <w:tc>
          <w:tcPr>
            <w:tcW w:w="913" w:type="dxa"/>
            <w:vMerge w:val="continue"/>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p>
        </w:tc>
        <w:tc>
          <w:tcPr>
            <w:tcW w:w="1558" w:type="dxa"/>
            <w:vMerge w:val="continue"/>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p>
        </w:tc>
        <w:tc>
          <w:tcPr>
            <w:tcW w:w="913" w:type="dxa"/>
            <w:vMerge w:val="continue"/>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p>
        </w:tc>
        <w:tc>
          <w:tcPr>
            <w:tcW w:w="913" w:type="dxa"/>
            <w:vMerge w:val="continue"/>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p>
        </w:tc>
        <w:tc>
          <w:tcPr>
            <w:tcW w:w="913" w:type="dxa"/>
            <w:vMerge w:val="continue"/>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03" w:hRule="atLeast"/>
          <w:jc w:val="center"/>
        </w:trPr>
        <w:tc>
          <w:tcPr>
            <w:tcW w:w="771"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0.00000 </w:t>
            </w:r>
          </w:p>
        </w:tc>
        <w:tc>
          <w:tcPr>
            <w:tcW w:w="94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0.50000 </w:t>
            </w:r>
          </w:p>
        </w:tc>
        <w:tc>
          <w:tcPr>
            <w:tcW w:w="168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0.50000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0.50000 </w:t>
            </w:r>
          </w:p>
        </w:tc>
        <w:tc>
          <w:tcPr>
            <w:tcW w:w="1558"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0.50000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0.50000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0.50000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0.50000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03" w:hRule="atLeast"/>
          <w:jc w:val="center"/>
        </w:trPr>
        <w:tc>
          <w:tcPr>
            <w:tcW w:w="771"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10.00000 </w:t>
            </w:r>
          </w:p>
        </w:tc>
        <w:tc>
          <w:tcPr>
            <w:tcW w:w="94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0.00230 </w:t>
            </w:r>
          </w:p>
        </w:tc>
        <w:tc>
          <w:tcPr>
            <w:tcW w:w="168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0.34560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0.36190 </w:t>
            </w:r>
          </w:p>
        </w:tc>
        <w:tc>
          <w:tcPr>
            <w:tcW w:w="1558"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0.36980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0.47800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0.49874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0.50000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03" w:hRule="atLeast"/>
          <w:jc w:val="center"/>
        </w:trPr>
        <w:tc>
          <w:tcPr>
            <w:tcW w:w="771"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20.00000 </w:t>
            </w:r>
          </w:p>
        </w:tc>
        <w:tc>
          <w:tcPr>
            <w:tcW w:w="94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68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0.01590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0.12450 </w:t>
            </w:r>
          </w:p>
        </w:tc>
        <w:tc>
          <w:tcPr>
            <w:tcW w:w="1558"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0.15460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0.23150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0.41250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0.50000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03" w:hRule="atLeast"/>
          <w:jc w:val="center"/>
        </w:trPr>
        <w:tc>
          <w:tcPr>
            <w:tcW w:w="771"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30.00000 </w:t>
            </w:r>
          </w:p>
        </w:tc>
        <w:tc>
          <w:tcPr>
            <w:tcW w:w="94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68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0.02450 </w:t>
            </w:r>
          </w:p>
        </w:tc>
        <w:tc>
          <w:tcPr>
            <w:tcW w:w="1558"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0.07450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0.09745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0.31456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0.47120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03" w:hRule="atLeast"/>
          <w:jc w:val="center"/>
        </w:trPr>
        <w:tc>
          <w:tcPr>
            <w:tcW w:w="771"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40.00000 </w:t>
            </w:r>
          </w:p>
        </w:tc>
        <w:tc>
          <w:tcPr>
            <w:tcW w:w="94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68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0.00145 </w:t>
            </w:r>
          </w:p>
        </w:tc>
        <w:tc>
          <w:tcPr>
            <w:tcW w:w="1558"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0.02140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0.04512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0.10245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0.39450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03" w:hRule="atLeast"/>
          <w:jc w:val="center"/>
        </w:trPr>
        <w:tc>
          <w:tcPr>
            <w:tcW w:w="771"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50.00000 </w:t>
            </w:r>
          </w:p>
        </w:tc>
        <w:tc>
          <w:tcPr>
            <w:tcW w:w="94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68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558"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0.01450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0.01980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0.03412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0.25310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03" w:hRule="atLeast"/>
          <w:jc w:val="center"/>
        </w:trPr>
        <w:tc>
          <w:tcPr>
            <w:tcW w:w="771"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100.00000 </w:t>
            </w:r>
          </w:p>
        </w:tc>
        <w:tc>
          <w:tcPr>
            <w:tcW w:w="94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68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558"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0.01245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0.02145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0.10230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03" w:hRule="atLeast"/>
          <w:jc w:val="center"/>
        </w:trPr>
        <w:tc>
          <w:tcPr>
            <w:tcW w:w="771"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200.00000 </w:t>
            </w:r>
          </w:p>
        </w:tc>
        <w:tc>
          <w:tcPr>
            <w:tcW w:w="94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68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558"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0.01456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0.04250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03" w:hRule="atLeast"/>
          <w:jc w:val="center"/>
        </w:trPr>
        <w:tc>
          <w:tcPr>
            <w:tcW w:w="771"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300.00000 </w:t>
            </w:r>
          </w:p>
        </w:tc>
        <w:tc>
          <w:tcPr>
            <w:tcW w:w="94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68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558"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0.01236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39" w:hRule="atLeast"/>
          <w:jc w:val="center"/>
        </w:trPr>
        <w:tc>
          <w:tcPr>
            <w:tcW w:w="771" w:type="dxa"/>
            <w:tcBorders>
              <w:tl2br w:val="nil"/>
              <w:tr2bl w:val="nil"/>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400.00000 </w:t>
            </w:r>
          </w:p>
        </w:tc>
        <w:tc>
          <w:tcPr>
            <w:tcW w:w="94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687"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558"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913" w:type="dxa"/>
            <w:tcBorders>
              <w:tl2br w:val="nil"/>
              <w:tr2bl w:val="nil"/>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0.00129 </w:t>
            </w:r>
          </w:p>
        </w:tc>
      </w:tr>
    </w:tbl>
    <w:p>
      <w:pPr>
        <w:pStyle w:val="2"/>
        <w:jc w:val="center"/>
        <w:rPr>
          <w:rFonts w:hint="default" w:ascii="Times New Roman" w:hAnsi="Times New Roman" w:eastAsia="黑体" w:cs="Times New Roman"/>
          <w:b/>
          <w:bCs/>
          <w:sz w:val="21"/>
          <w:szCs w:val="21"/>
          <w:u w:val="none"/>
        </w:rPr>
      </w:pPr>
      <w:r>
        <w:rPr>
          <w:rFonts w:hint="eastAsia" w:ascii="Times New Roman" w:hAnsi="Times New Roman" w:eastAsia="黑体" w:cs="Times New Roman"/>
          <w:b/>
          <w:bCs/>
          <w:sz w:val="21"/>
          <w:szCs w:val="21"/>
          <w:u w:val="none"/>
          <w:lang w:val="en-US" w:eastAsia="zh-CN"/>
        </w:rPr>
        <w:t>表 4.2-15非</w:t>
      </w:r>
      <w:r>
        <w:rPr>
          <w:rFonts w:hint="default" w:ascii="Times New Roman" w:hAnsi="Times New Roman" w:eastAsia="黑体" w:cs="Times New Roman"/>
          <w:b/>
          <w:bCs/>
          <w:sz w:val="21"/>
          <w:szCs w:val="21"/>
          <w:u w:val="none"/>
        </w:rPr>
        <w:t>正常工况下</w:t>
      </w:r>
      <w:r>
        <w:rPr>
          <w:rFonts w:hint="eastAsia" w:ascii="Times New Roman" w:hAnsi="Times New Roman" w:eastAsia="黑体" w:cs="Times New Roman"/>
          <w:b/>
          <w:bCs/>
          <w:sz w:val="21"/>
          <w:szCs w:val="21"/>
          <w:u w:val="none"/>
          <w:lang w:val="en-US" w:eastAsia="zh-CN"/>
        </w:rPr>
        <w:t>总铅</w:t>
      </w:r>
      <w:r>
        <w:rPr>
          <w:rFonts w:hint="default" w:ascii="Times New Roman" w:hAnsi="Times New Roman" w:eastAsia="黑体" w:cs="Times New Roman"/>
          <w:b/>
          <w:bCs/>
          <w:sz w:val="21"/>
          <w:szCs w:val="21"/>
          <w:u w:val="none"/>
        </w:rPr>
        <w:t>预测浓度值（单位：mg/L）</w:t>
      </w:r>
    </w:p>
    <w:tbl>
      <w:tblPr>
        <w:tblStyle w:val="37"/>
        <w:tblW w:w="8396" w:type="dxa"/>
        <w:jc w:val="center"/>
        <w:tblLayout w:type="autofit"/>
        <w:tblCellMar>
          <w:top w:w="0" w:type="dxa"/>
          <w:left w:w="0" w:type="dxa"/>
          <w:bottom w:w="0" w:type="dxa"/>
          <w:right w:w="0" w:type="dxa"/>
        </w:tblCellMar>
      </w:tblPr>
      <w:tblGrid>
        <w:gridCol w:w="880"/>
        <w:gridCol w:w="910"/>
        <w:gridCol w:w="1603"/>
        <w:gridCol w:w="880"/>
        <w:gridCol w:w="1482"/>
        <w:gridCol w:w="880"/>
        <w:gridCol w:w="880"/>
        <w:gridCol w:w="881"/>
      </w:tblGrid>
      <w:tr>
        <w:tblPrEx>
          <w:tblCellMar>
            <w:top w:w="0" w:type="dxa"/>
            <w:left w:w="0" w:type="dxa"/>
            <w:bottom w:w="0" w:type="dxa"/>
            <w:right w:w="0" w:type="dxa"/>
          </w:tblCellMar>
        </w:tblPrEx>
        <w:trPr>
          <w:trHeight w:val="281" w:hRule="atLeast"/>
          <w:jc w:val="center"/>
        </w:trPr>
        <w:tc>
          <w:tcPr>
            <w:tcW w:w="814" w:type="dxa"/>
            <w:tcBorders>
              <w:top w:val="single" w:color="000000" w:sz="8" w:space="0"/>
              <w:left w:val="single" w:color="000000" w:sz="8" w:space="0"/>
              <w:bottom w:val="nil"/>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时间（d</w:t>
            </w:r>
            <w:r>
              <w:rPr>
                <w:rFonts w:hint="eastAsia" w:ascii="Times New Roman" w:hAnsi="Times New Roman" w:eastAsia="宋体" w:cs="Times New Roman"/>
                <w:bCs/>
                <w:u w:val="none"/>
                <w:lang w:val="en-US" w:eastAsia="zh-CN"/>
              </w:rPr>
              <w:t>）</w:t>
            </w:r>
          </w:p>
        </w:tc>
        <w:tc>
          <w:tcPr>
            <w:tcW w:w="916"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5</w:t>
            </w:r>
          </w:p>
        </w:tc>
        <w:tc>
          <w:tcPr>
            <w:tcW w:w="1625"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10</w:t>
            </w:r>
          </w:p>
        </w:tc>
        <w:tc>
          <w:tcPr>
            <w:tcW w:w="885"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50</w:t>
            </w:r>
          </w:p>
        </w:tc>
        <w:tc>
          <w:tcPr>
            <w:tcW w:w="1501"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100</w:t>
            </w:r>
          </w:p>
        </w:tc>
        <w:tc>
          <w:tcPr>
            <w:tcW w:w="885"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300</w:t>
            </w:r>
          </w:p>
        </w:tc>
        <w:tc>
          <w:tcPr>
            <w:tcW w:w="885"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500</w:t>
            </w:r>
          </w:p>
        </w:tc>
        <w:tc>
          <w:tcPr>
            <w:tcW w:w="885" w:type="dxa"/>
            <w:vMerge w:val="restart"/>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1000</w:t>
            </w:r>
          </w:p>
        </w:tc>
      </w:tr>
      <w:tr>
        <w:tblPrEx>
          <w:tblCellMar>
            <w:top w:w="0" w:type="dxa"/>
            <w:left w:w="0" w:type="dxa"/>
            <w:bottom w:w="0" w:type="dxa"/>
            <w:right w:w="0" w:type="dxa"/>
          </w:tblCellMar>
        </w:tblPrEx>
        <w:trPr>
          <w:trHeight w:val="281" w:hRule="atLeast"/>
          <w:jc w:val="center"/>
        </w:trPr>
        <w:tc>
          <w:tcPr>
            <w:tcW w:w="814"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距离（m</w:t>
            </w:r>
            <w:r>
              <w:rPr>
                <w:rFonts w:hint="eastAsia" w:ascii="Times New Roman" w:hAnsi="Times New Roman" w:eastAsia="宋体" w:cs="Times New Roman"/>
                <w:bCs/>
                <w:u w:val="none"/>
                <w:lang w:val="en-US" w:eastAsia="zh-CN"/>
              </w:rPr>
              <w:t>）</w:t>
            </w:r>
          </w:p>
        </w:tc>
        <w:tc>
          <w:tcPr>
            <w:tcW w:w="916"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p>
        </w:tc>
        <w:tc>
          <w:tcPr>
            <w:tcW w:w="1625"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p>
        </w:tc>
        <w:tc>
          <w:tcPr>
            <w:tcW w:w="885"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p>
        </w:tc>
        <w:tc>
          <w:tcPr>
            <w:tcW w:w="1501"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p>
        </w:tc>
        <w:tc>
          <w:tcPr>
            <w:tcW w:w="885"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p>
        </w:tc>
        <w:tc>
          <w:tcPr>
            <w:tcW w:w="885"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p>
        </w:tc>
        <w:tc>
          <w:tcPr>
            <w:tcW w:w="885" w:type="dxa"/>
            <w:vMerge w:val="continue"/>
            <w:tcBorders>
              <w:top w:val="single" w:color="000000" w:sz="8" w:space="0"/>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p>
        </w:tc>
      </w:tr>
      <w:tr>
        <w:tblPrEx>
          <w:tblCellMar>
            <w:top w:w="0" w:type="dxa"/>
            <w:left w:w="0" w:type="dxa"/>
            <w:bottom w:w="0" w:type="dxa"/>
            <w:right w:w="0" w:type="dxa"/>
          </w:tblCellMar>
        </w:tblPrEx>
        <w:trPr>
          <w:trHeight w:val="281" w:hRule="atLeast"/>
          <w:jc w:val="center"/>
        </w:trPr>
        <w:tc>
          <w:tcPr>
            <w:tcW w:w="814"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0.00000 </w:t>
            </w:r>
          </w:p>
        </w:tc>
        <w:tc>
          <w:tcPr>
            <w:tcW w:w="916"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1.00000 </w:t>
            </w:r>
          </w:p>
        </w:tc>
        <w:tc>
          <w:tcPr>
            <w:tcW w:w="162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1.00000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1.00000 </w:t>
            </w:r>
          </w:p>
        </w:tc>
        <w:tc>
          <w:tcPr>
            <w:tcW w:w="1501"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1.00000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1.00000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1.00000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1.00000 </w:t>
            </w:r>
          </w:p>
        </w:tc>
      </w:tr>
      <w:tr>
        <w:tblPrEx>
          <w:tblCellMar>
            <w:top w:w="0" w:type="dxa"/>
            <w:left w:w="0" w:type="dxa"/>
            <w:bottom w:w="0" w:type="dxa"/>
            <w:right w:w="0" w:type="dxa"/>
          </w:tblCellMar>
        </w:tblPrEx>
        <w:trPr>
          <w:trHeight w:val="281" w:hRule="atLeast"/>
          <w:jc w:val="center"/>
        </w:trPr>
        <w:tc>
          <w:tcPr>
            <w:tcW w:w="814"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10.00000 </w:t>
            </w:r>
          </w:p>
        </w:tc>
        <w:tc>
          <w:tcPr>
            <w:tcW w:w="916"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0.00006 </w:t>
            </w:r>
          </w:p>
        </w:tc>
        <w:tc>
          <w:tcPr>
            <w:tcW w:w="162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0.00120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0.07541 </w:t>
            </w:r>
          </w:p>
        </w:tc>
        <w:tc>
          <w:tcPr>
            <w:tcW w:w="1501"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0.08457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0.08712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0.09841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0.99312 </w:t>
            </w:r>
          </w:p>
        </w:tc>
      </w:tr>
      <w:tr>
        <w:tblPrEx>
          <w:tblCellMar>
            <w:top w:w="0" w:type="dxa"/>
            <w:left w:w="0" w:type="dxa"/>
            <w:bottom w:w="0" w:type="dxa"/>
            <w:right w:w="0" w:type="dxa"/>
          </w:tblCellMar>
        </w:tblPrEx>
        <w:trPr>
          <w:trHeight w:val="271" w:hRule="atLeast"/>
          <w:jc w:val="center"/>
        </w:trPr>
        <w:tc>
          <w:tcPr>
            <w:tcW w:w="814"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20.00000 </w:t>
            </w:r>
          </w:p>
        </w:tc>
        <w:tc>
          <w:tcPr>
            <w:tcW w:w="916"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62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0.00069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0.00125 </w:t>
            </w:r>
          </w:p>
        </w:tc>
        <w:tc>
          <w:tcPr>
            <w:tcW w:w="1501"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0.04572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0.07458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0.09312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0.96510 </w:t>
            </w:r>
          </w:p>
        </w:tc>
      </w:tr>
      <w:tr>
        <w:tblPrEx>
          <w:tblCellMar>
            <w:top w:w="0" w:type="dxa"/>
            <w:left w:w="0" w:type="dxa"/>
            <w:bottom w:w="0" w:type="dxa"/>
            <w:right w:w="0" w:type="dxa"/>
          </w:tblCellMar>
        </w:tblPrEx>
        <w:trPr>
          <w:trHeight w:val="281" w:hRule="atLeast"/>
          <w:jc w:val="center"/>
        </w:trPr>
        <w:tc>
          <w:tcPr>
            <w:tcW w:w="814"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30.00000 </w:t>
            </w:r>
          </w:p>
        </w:tc>
        <w:tc>
          <w:tcPr>
            <w:tcW w:w="916"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62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0.00074 </w:t>
            </w:r>
          </w:p>
        </w:tc>
        <w:tc>
          <w:tcPr>
            <w:tcW w:w="1501"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0.02178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0.06154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0.09125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0.92330 </w:t>
            </w:r>
          </w:p>
        </w:tc>
      </w:tr>
      <w:tr>
        <w:tblPrEx>
          <w:tblCellMar>
            <w:top w:w="0" w:type="dxa"/>
            <w:left w:w="0" w:type="dxa"/>
            <w:bottom w:w="0" w:type="dxa"/>
            <w:right w:w="0" w:type="dxa"/>
          </w:tblCellMar>
        </w:tblPrEx>
        <w:trPr>
          <w:trHeight w:val="281" w:hRule="atLeast"/>
          <w:jc w:val="center"/>
        </w:trPr>
        <w:tc>
          <w:tcPr>
            <w:tcW w:w="814"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40.00000 </w:t>
            </w:r>
          </w:p>
        </w:tc>
        <w:tc>
          <w:tcPr>
            <w:tcW w:w="916"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62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501"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0.00136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0.04781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0.05364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0.87150 </w:t>
            </w:r>
          </w:p>
        </w:tc>
      </w:tr>
      <w:tr>
        <w:tblPrEx>
          <w:tblCellMar>
            <w:top w:w="0" w:type="dxa"/>
            <w:left w:w="0" w:type="dxa"/>
            <w:bottom w:w="0" w:type="dxa"/>
            <w:right w:w="0" w:type="dxa"/>
          </w:tblCellMar>
        </w:tblPrEx>
        <w:trPr>
          <w:trHeight w:val="281" w:hRule="atLeast"/>
          <w:jc w:val="center"/>
        </w:trPr>
        <w:tc>
          <w:tcPr>
            <w:tcW w:w="814"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50.00000 </w:t>
            </w:r>
          </w:p>
        </w:tc>
        <w:tc>
          <w:tcPr>
            <w:tcW w:w="916"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62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501"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0.00042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0.02478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0.02132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0.43210 </w:t>
            </w:r>
          </w:p>
        </w:tc>
      </w:tr>
      <w:tr>
        <w:tblPrEx>
          <w:tblCellMar>
            <w:top w:w="0" w:type="dxa"/>
            <w:left w:w="0" w:type="dxa"/>
            <w:bottom w:w="0" w:type="dxa"/>
            <w:right w:w="0" w:type="dxa"/>
          </w:tblCellMar>
        </w:tblPrEx>
        <w:trPr>
          <w:trHeight w:val="271" w:hRule="atLeast"/>
          <w:jc w:val="center"/>
        </w:trPr>
        <w:tc>
          <w:tcPr>
            <w:tcW w:w="814"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100.00000 </w:t>
            </w:r>
          </w:p>
        </w:tc>
        <w:tc>
          <w:tcPr>
            <w:tcW w:w="916"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62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501"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0.00246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0.00423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0.09412 </w:t>
            </w:r>
          </w:p>
        </w:tc>
      </w:tr>
      <w:tr>
        <w:tblPrEx>
          <w:tblCellMar>
            <w:top w:w="0" w:type="dxa"/>
            <w:left w:w="0" w:type="dxa"/>
            <w:bottom w:w="0" w:type="dxa"/>
            <w:right w:w="0" w:type="dxa"/>
          </w:tblCellMar>
        </w:tblPrEx>
        <w:trPr>
          <w:trHeight w:val="271" w:hRule="atLeast"/>
          <w:jc w:val="center"/>
        </w:trPr>
        <w:tc>
          <w:tcPr>
            <w:tcW w:w="814"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200.00000 </w:t>
            </w:r>
          </w:p>
        </w:tc>
        <w:tc>
          <w:tcPr>
            <w:tcW w:w="916"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62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501"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0.00047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0.00074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0.02475 </w:t>
            </w:r>
          </w:p>
        </w:tc>
      </w:tr>
      <w:tr>
        <w:tblPrEx>
          <w:tblCellMar>
            <w:top w:w="0" w:type="dxa"/>
            <w:left w:w="0" w:type="dxa"/>
            <w:bottom w:w="0" w:type="dxa"/>
            <w:right w:w="0" w:type="dxa"/>
          </w:tblCellMar>
        </w:tblPrEx>
        <w:trPr>
          <w:trHeight w:val="271" w:hRule="atLeast"/>
          <w:jc w:val="center"/>
        </w:trPr>
        <w:tc>
          <w:tcPr>
            <w:tcW w:w="814"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300.00000 </w:t>
            </w:r>
          </w:p>
        </w:tc>
        <w:tc>
          <w:tcPr>
            <w:tcW w:w="916"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62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501"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0.00561 </w:t>
            </w:r>
          </w:p>
        </w:tc>
      </w:tr>
      <w:tr>
        <w:tblPrEx>
          <w:tblCellMar>
            <w:top w:w="0" w:type="dxa"/>
            <w:left w:w="0" w:type="dxa"/>
            <w:bottom w:w="0" w:type="dxa"/>
            <w:right w:w="0" w:type="dxa"/>
          </w:tblCellMar>
        </w:tblPrEx>
        <w:trPr>
          <w:trHeight w:val="319" w:hRule="atLeast"/>
          <w:jc w:val="center"/>
        </w:trPr>
        <w:tc>
          <w:tcPr>
            <w:tcW w:w="814" w:type="dxa"/>
            <w:tcBorders>
              <w:top w:val="nil"/>
              <w:left w:val="single" w:color="000000" w:sz="8" w:space="0"/>
              <w:bottom w:val="single" w:color="000000" w:sz="8" w:space="0"/>
              <w:right w:val="single" w:color="000000" w:sz="8" w:space="0"/>
            </w:tcBorders>
            <w:noWrap w:val="0"/>
            <w:tcMar>
              <w:top w:w="15" w:type="dxa"/>
              <w:left w:w="15" w:type="dxa"/>
              <w:right w:w="15" w:type="dxa"/>
            </w:tcMar>
            <w:vAlign w:val="center"/>
          </w:tcPr>
          <w:p>
            <w:pPr>
              <w:pStyle w:val="62"/>
              <w:rPr>
                <w:rFonts w:hint="default" w:ascii="Times New Roman" w:hAnsi="Times New Roman" w:eastAsia="宋体" w:cs="Times New Roman"/>
                <w:bCs/>
                <w:u w:val="none"/>
                <w:lang w:val="en-US" w:eastAsia="zh-CN"/>
              </w:rPr>
            </w:pPr>
            <w:r>
              <w:rPr>
                <w:rFonts w:hint="default" w:ascii="Times New Roman" w:hAnsi="Times New Roman" w:eastAsia="宋体" w:cs="Times New Roman"/>
                <w:bCs/>
                <w:u w:val="none"/>
                <w:lang w:val="en-US" w:eastAsia="zh-CN"/>
              </w:rPr>
              <w:t xml:space="preserve">400.00000 </w:t>
            </w:r>
          </w:p>
        </w:tc>
        <w:tc>
          <w:tcPr>
            <w:tcW w:w="916"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62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1501"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Cs/>
                <w:u w:val="none"/>
                <w:lang w:val="en-US" w:eastAsia="zh-CN"/>
              </w:rPr>
            </w:pPr>
            <w:r>
              <w:rPr>
                <w:rFonts w:hint="eastAsia" w:ascii="Times New Roman" w:hAnsi="Times New Roman" w:eastAsia="宋体" w:cs="Times New Roman"/>
                <w:bCs/>
                <w:u w:val="none"/>
                <w:lang w:val="en-US" w:eastAsia="zh-CN"/>
              </w:rPr>
              <w:t xml:space="preserve">0.00000 </w:t>
            </w:r>
          </w:p>
        </w:tc>
        <w:tc>
          <w:tcPr>
            <w:tcW w:w="885" w:type="dxa"/>
            <w:tcBorders>
              <w:top w:val="nil"/>
              <w:left w:val="nil"/>
              <w:bottom w:val="single" w:color="000000" w:sz="8" w:space="0"/>
              <w:right w:val="single" w:color="000000" w:sz="8" w:space="0"/>
            </w:tcBorders>
            <w:noWrap w:val="0"/>
            <w:tcMar>
              <w:top w:w="15" w:type="dxa"/>
              <w:left w:w="15" w:type="dxa"/>
              <w:right w:w="15" w:type="dxa"/>
            </w:tcMar>
            <w:vAlign w:val="center"/>
          </w:tcPr>
          <w:p>
            <w:pPr>
              <w:pStyle w:val="62"/>
              <w:rPr>
                <w:rFonts w:hint="eastAsia" w:ascii="Times New Roman" w:hAnsi="Times New Roman" w:eastAsia="宋体" w:cs="Times New Roman"/>
                <w:b/>
                <w:bCs w:val="0"/>
                <w:u w:val="none"/>
                <w:lang w:val="en-US" w:eastAsia="zh-CN"/>
              </w:rPr>
            </w:pPr>
            <w:r>
              <w:rPr>
                <w:rFonts w:hint="eastAsia" w:ascii="Times New Roman" w:hAnsi="Times New Roman" w:eastAsia="宋体" w:cs="Times New Roman"/>
                <w:b/>
                <w:bCs w:val="0"/>
                <w:u w:val="none"/>
                <w:lang w:val="en-US" w:eastAsia="zh-CN"/>
              </w:rPr>
              <w:t xml:space="preserve">0.00014 </w:t>
            </w:r>
          </w:p>
        </w:tc>
      </w:tr>
    </w:tbl>
    <w:p>
      <w:pPr>
        <w:ind w:firstLine="480"/>
        <w:rPr>
          <w:rFonts w:hint="eastAsia" w:ascii="Times New Roman" w:hAnsi="Times New Roman"/>
          <w:color w:val="000000"/>
          <w:kern w:val="0"/>
        </w:rPr>
      </w:pPr>
      <w:r>
        <w:rPr>
          <w:rFonts w:hint="eastAsia" w:ascii="Times New Roman" w:hAnsi="Times New Roman"/>
          <w:color w:val="000000"/>
          <w:kern w:val="0"/>
        </w:rPr>
        <w:t>在非正常工况无防渗条件下</w:t>
      </w:r>
      <w:r>
        <w:rPr>
          <w:rFonts w:hint="eastAsia" w:ascii="Times New Roman" w:hAnsi="Times New Roman"/>
          <w:color w:val="000000"/>
          <w:kern w:val="0"/>
          <w:lang w:val="en-US" w:eastAsia="zh-CN"/>
        </w:rPr>
        <w:t>项目污染物</w:t>
      </w:r>
      <w:r>
        <w:rPr>
          <w:rFonts w:hint="eastAsia" w:ascii="Times New Roman" w:hAnsi="Times New Roman"/>
          <w:color w:val="000000"/>
          <w:kern w:val="0"/>
        </w:rPr>
        <w:t>通过包气带进入含水层后，在迁移过程中，如果未及时发现，将对厂址地下水流向下游的地下水造成污染影响，故建设单位应采取风险防范措施，及时发现环境污染事故。</w:t>
      </w:r>
    </w:p>
    <w:p>
      <w:pPr>
        <w:keepNext/>
        <w:keepLines/>
        <w:widowControl w:val="0"/>
        <w:adjustRightInd w:val="0"/>
        <w:snapToGrid w:val="0"/>
        <w:spacing w:before="120" w:beforeLines="50"/>
        <w:ind w:firstLine="0" w:firstLineChars="0"/>
        <w:outlineLvl w:val="1"/>
        <w:rPr>
          <w:rFonts w:hint="eastAsia"/>
          <w:b/>
          <w:color w:val="000000"/>
          <w:sz w:val="28"/>
          <w:szCs w:val="32"/>
        </w:rPr>
      </w:pPr>
      <w:r>
        <w:rPr>
          <w:b/>
          <w:color w:val="000000"/>
          <w:sz w:val="28"/>
          <w:szCs w:val="32"/>
        </w:rPr>
        <w:t>4</w:t>
      </w:r>
      <w:r>
        <w:rPr>
          <w:rFonts w:hint="eastAsia"/>
          <w:b/>
          <w:color w:val="000000"/>
          <w:sz w:val="28"/>
          <w:szCs w:val="32"/>
        </w:rPr>
        <w:t>.</w:t>
      </w:r>
      <w:r>
        <w:rPr>
          <w:b/>
          <w:color w:val="000000"/>
          <w:sz w:val="28"/>
          <w:szCs w:val="32"/>
        </w:rPr>
        <w:t>2</w:t>
      </w:r>
      <w:r>
        <w:rPr>
          <w:rFonts w:hint="eastAsia"/>
          <w:b/>
          <w:color w:val="000000"/>
          <w:sz w:val="28"/>
          <w:szCs w:val="32"/>
        </w:rPr>
        <w:t>.4 工程声环境影响预测及评价</w:t>
      </w:r>
    </w:p>
    <w:p>
      <w:pPr>
        <w:ind w:firstLine="480"/>
        <w:rPr>
          <w:color w:val="000000"/>
          <w:kern w:val="0"/>
        </w:rPr>
      </w:pPr>
      <w:r>
        <w:rPr>
          <w:rFonts w:hint="eastAsia"/>
          <w:color w:val="000000"/>
          <w:kern w:val="0"/>
        </w:rPr>
        <w:t>（1）预测范围</w:t>
      </w:r>
    </w:p>
    <w:p>
      <w:pPr>
        <w:ind w:firstLine="480"/>
        <w:rPr>
          <w:color w:val="000000"/>
          <w:kern w:val="0"/>
        </w:rPr>
      </w:pPr>
      <w:r>
        <w:rPr>
          <w:rFonts w:hint="eastAsia"/>
          <w:color w:val="000000"/>
          <w:kern w:val="0"/>
        </w:rPr>
        <w:t>根据项目特点及项目周围环境状况，噪声预测范围至各厂界外敏感点。</w:t>
      </w:r>
    </w:p>
    <w:p>
      <w:pPr>
        <w:ind w:firstLine="480"/>
        <w:rPr>
          <w:color w:val="000000"/>
          <w:kern w:val="0"/>
        </w:rPr>
      </w:pPr>
      <w:r>
        <w:rPr>
          <w:rFonts w:hint="eastAsia"/>
          <w:color w:val="000000"/>
          <w:kern w:val="0"/>
        </w:rPr>
        <w:t>（2）预测声源确定</w:t>
      </w:r>
    </w:p>
    <w:p>
      <w:pPr>
        <w:ind w:firstLine="480"/>
        <w:rPr>
          <w:rFonts w:hint="eastAsia"/>
          <w:color w:val="000000"/>
          <w:kern w:val="0"/>
        </w:rPr>
      </w:pPr>
      <w:r>
        <w:rPr>
          <w:rFonts w:hint="eastAsia"/>
          <w:color w:val="000000"/>
          <w:kern w:val="0"/>
        </w:rPr>
        <w:t>本项目主要噪声源为污水处理设施的水泵产生的噪声，其源强见表</w:t>
      </w:r>
      <w:r>
        <w:rPr>
          <w:color w:val="000000"/>
          <w:kern w:val="0"/>
        </w:rPr>
        <w:t>4.2-</w:t>
      </w:r>
      <w:r>
        <w:rPr>
          <w:rFonts w:hint="eastAsia"/>
          <w:color w:val="000000"/>
          <w:kern w:val="0"/>
          <w:lang w:val="en-US" w:eastAsia="zh-CN"/>
        </w:rPr>
        <w:t>16</w:t>
      </w:r>
      <w:r>
        <w:rPr>
          <w:rFonts w:hint="eastAsia"/>
          <w:color w:val="000000"/>
          <w:kern w:val="0"/>
        </w:rPr>
        <w:t>。</w:t>
      </w:r>
    </w:p>
    <w:p>
      <w:pPr>
        <w:ind w:firstLine="422"/>
        <w:jc w:val="center"/>
        <w:rPr>
          <w:rFonts w:hint="eastAsia"/>
          <w:b/>
          <w:color w:val="000000"/>
          <w:kern w:val="0"/>
          <w:sz w:val="21"/>
          <w:szCs w:val="21"/>
        </w:rPr>
      </w:pPr>
      <w:r>
        <w:rPr>
          <w:rFonts w:hint="eastAsia"/>
          <w:b/>
          <w:color w:val="000000"/>
          <w:sz w:val="21"/>
          <w:szCs w:val="21"/>
        </w:rPr>
        <w:t>表</w:t>
      </w:r>
      <w:r>
        <w:rPr>
          <w:b/>
          <w:color w:val="000000"/>
          <w:sz w:val="21"/>
          <w:szCs w:val="21"/>
        </w:rPr>
        <w:t>4.2-</w:t>
      </w:r>
      <w:r>
        <w:rPr>
          <w:rFonts w:hint="eastAsia"/>
          <w:b/>
          <w:color w:val="000000"/>
          <w:sz w:val="21"/>
          <w:szCs w:val="21"/>
          <w:lang w:val="en-US" w:eastAsia="zh-CN"/>
        </w:rPr>
        <w:t>16</w:t>
      </w:r>
      <w:r>
        <w:rPr>
          <w:rFonts w:hint="eastAsia"/>
          <w:b/>
          <w:color w:val="000000"/>
          <w:kern w:val="0"/>
          <w:sz w:val="21"/>
          <w:szCs w:val="21"/>
        </w:rPr>
        <w:t xml:space="preserve">  主要噪声源及噪声强度一览表</w:t>
      </w:r>
    </w:p>
    <w:tbl>
      <w:tblPr>
        <w:tblStyle w:val="37"/>
        <w:tblW w:w="8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1399"/>
        <w:gridCol w:w="1904"/>
        <w:gridCol w:w="1980"/>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56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b/>
                <w:bCs/>
                <w:color w:val="000000"/>
                <w:kern w:val="0"/>
                <w:sz w:val="21"/>
                <w:szCs w:val="21"/>
              </w:rPr>
            </w:pPr>
            <w:r>
              <w:rPr>
                <w:rFonts w:hint="eastAsia" w:ascii="Times New Roman" w:hAnsi="Times New Roman" w:eastAsia="宋体" w:cs="Times New Roman"/>
                <w:b/>
                <w:bCs/>
                <w:color w:val="000000"/>
                <w:kern w:val="0"/>
                <w:sz w:val="21"/>
                <w:szCs w:val="21"/>
              </w:rPr>
              <w:t>工段</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b/>
                <w:bCs/>
                <w:color w:val="000000"/>
                <w:kern w:val="0"/>
                <w:sz w:val="21"/>
                <w:szCs w:val="21"/>
              </w:rPr>
            </w:pPr>
            <w:r>
              <w:rPr>
                <w:rFonts w:hint="eastAsia" w:ascii="Times New Roman" w:hAnsi="Times New Roman" w:eastAsia="宋体" w:cs="Times New Roman"/>
                <w:b/>
                <w:bCs/>
                <w:color w:val="000000"/>
                <w:kern w:val="0"/>
                <w:sz w:val="21"/>
                <w:szCs w:val="21"/>
              </w:rPr>
              <w:t>高噪声设备</w:t>
            </w:r>
          </w:p>
        </w:tc>
        <w:tc>
          <w:tcPr>
            <w:tcW w:w="19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b/>
                <w:bCs/>
                <w:color w:val="000000"/>
                <w:kern w:val="0"/>
                <w:sz w:val="21"/>
                <w:szCs w:val="21"/>
              </w:rPr>
            </w:pPr>
            <w:r>
              <w:rPr>
                <w:rFonts w:hint="eastAsia" w:ascii="Times New Roman" w:hAnsi="Times New Roman" w:eastAsia="宋体" w:cs="Times New Roman"/>
                <w:b/>
                <w:bCs/>
                <w:color w:val="000000"/>
                <w:kern w:val="0"/>
                <w:sz w:val="21"/>
                <w:szCs w:val="21"/>
              </w:rPr>
              <w:t>数量</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b/>
                <w:bCs/>
                <w:color w:val="000000"/>
                <w:kern w:val="0"/>
                <w:sz w:val="21"/>
                <w:szCs w:val="21"/>
              </w:rPr>
            </w:pPr>
            <w:r>
              <w:rPr>
                <w:rFonts w:hint="eastAsia" w:ascii="Times New Roman" w:hAnsi="Times New Roman" w:eastAsia="宋体" w:cs="Times New Roman"/>
                <w:b/>
                <w:bCs/>
                <w:color w:val="000000"/>
                <w:kern w:val="0"/>
                <w:sz w:val="21"/>
                <w:szCs w:val="21"/>
              </w:rPr>
              <w:t>预测源强dB（A）</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b/>
                <w:bCs/>
                <w:color w:val="000000"/>
                <w:kern w:val="0"/>
                <w:sz w:val="21"/>
                <w:szCs w:val="21"/>
              </w:rPr>
            </w:pPr>
            <w:r>
              <w:rPr>
                <w:rFonts w:hint="eastAsia" w:ascii="Times New Roman" w:hAnsi="Times New Roman" w:eastAsia="宋体" w:cs="Times New Roman"/>
                <w:b/>
                <w:bCs/>
                <w:color w:val="000000"/>
                <w:kern w:val="0"/>
                <w:sz w:val="21"/>
                <w:szCs w:val="21"/>
              </w:rPr>
              <w:t>安装位置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jc w:val="center"/>
        </w:trPr>
        <w:tc>
          <w:tcPr>
            <w:tcW w:w="156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调节池</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潜水提升泵</w:t>
            </w:r>
          </w:p>
        </w:tc>
        <w:tc>
          <w:tcPr>
            <w:tcW w:w="19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2台（一备一用）</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85</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lang w:eastAsia="zh-CN"/>
              </w:rPr>
              <w:t>地下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56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eastAsia="zh-CN"/>
              </w:rPr>
              <w:t>反应</w:t>
            </w:r>
            <w:r>
              <w:rPr>
                <w:rFonts w:hint="eastAsia" w:ascii="Times New Roman" w:hAnsi="Times New Roman" w:eastAsia="宋体" w:cs="Times New Roman"/>
                <w:color w:val="000000"/>
                <w:kern w:val="0"/>
                <w:sz w:val="21"/>
                <w:szCs w:val="21"/>
              </w:rPr>
              <w:t>池</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刮泥机</w:t>
            </w:r>
          </w:p>
        </w:tc>
        <w:tc>
          <w:tcPr>
            <w:tcW w:w="19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2台</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80</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rPr>
              <w:t>水下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6" w:hRule="atLeast"/>
          <w:jc w:val="center"/>
        </w:trPr>
        <w:tc>
          <w:tcPr>
            <w:tcW w:w="1568" w:type="dxa"/>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lang w:eastAsia="zh-CN"/>
              </w:rPr>
              <w:t>污泥脱水房</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污泥泵</w:t>
            </w:r>
          </w:p>
        </w:tc>
        <w:tc>
          <w:tcPr>
            <w:tcW w:w="19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2台</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85</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568"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lang w:eastAsia="zh-CN"/>
              </w:rPr>
              <w:t>板框压滤机</w:t>
            </w:r>
          </w:p>
        </w:tc>
        <w:tc>
          <w:tcPr>
            <w:tcW w:w="19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1台</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80</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6" w:hRule="atLeast"/>
          <w:jc w:val="center"/>
        </w:trPr>
        <w:tc>
          <w:tcPr>
            <w:tcW w:w="1568" w:type="dxa"/>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混凝沉淀池</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搅拌机</w:t>
            </w:r>
          </w:p>
        </w:tc>
        <w:tc>
          <w:tcPr>
            <w:tcW w:w="19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4台</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80</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水下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568" w:type="dxa"/>
            <w:vMerge w:val="continue"/>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污泥离心泵</w:t>
            </w:r>
          </w:p>
        </w:tc>
        <w:tc>
          <w:tcPr>
            <w:tcW w:w="19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4台</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85</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地</w:t>
            </w:r>
            <w:r>
              <w:rPr>
                <w:rFonts w:hint="eastAsia" w:ascii="Times New Roman" w:hAnsi="Times New Roman" w:eastAsia="宋体" w:cs="Times New Roman"/>
                <w:color w:val="000000"/>
                <w:kern w:val="0"/>
                <w:sz w:val="21"/>
                <w:szCs w:val="21"/>
                <w:lang w:eastAsia="zh-CN"/>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6" w:hRule="atLeast"/>
          <w:jc w:val="center"/>
        </w:trPr>
        <w:tc>
          <w:tcPr>
            <w:tcW w:w="1568"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潜水排污泵</w:t>
            </w:r>
          </w:p>
        </w:tc>
        <w:tc>
          <w:tcPr>
            <w:tcW w:w="19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1台</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85</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地</w:t>
            </w:r>
            <w:r>
              <w:rPr>
                <w:rFonts w:hint="eastAsia" w:ascii="Times New Roman" w:hAnsi="Times New Roman" w:eastAsia="宋体" w:cs="Times New Roman"/>
                <w:color w:val="000000"/>
                <w:kern w:val="0"/>
                <w:sz w:val="21"/>
                <w:szCs w:val="21"/>
                <w:lang w:eastAsia="zh-CN"/>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568" w:type="dxa"/>
            <w:vMerge w:val="restart"/>
            <w:tcBorders>
              <w:left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lang w:eastAsia="zh-CN"/>
              </w:rPr>
              <w:t>絮凝沉淀池</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搅拌机</w:t>
            </w:r>
          </w:p>
        </w:tc>
        <w:tc>
          <w:tcPr>
            <w:tcW w:w="19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4台</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80</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水下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6" w:hRule="atLeast"/>
          <w:jc w:val="center"/>
        </w:trPr>
        <w:tc>
          <w:tcPr>
            <w:tcW w:w="1568" w:type="dxa"/>
            <w:vMerge w:val="continue"/>
            <w:tcBorders>
              <w:left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污泥离心泵</w:t>
            </w:r>
          </w:p>
        </w:tc>
        <w:tc>
          <w:tcPr>
            <w:tcW w:w="19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4台</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85</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地</w:t>
            </w:r>
            <w:r>
              <w:rPr>
                <w:rFonts w:hint="eastAsia" w:ascii="Times New Roman" w:hAnsi="Times New Roman" w:eastAsia="宋体" w:cs="Times New Roman"/>
                <w:color w:val="000000"/>
                <w:kern w:val="0"/>
                <w:sz w:val="21"/>
                <w:szCs w:val="21"/>
                <w:lang w:eastAsia="zh-CN"/>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1568" w:type="dxa"/>
            <w:vMerge w:val="continue"/>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潜水排污泵</w:t>
            </w:r>
          </w:p>
        </w:tc>
        <w:tc>
          <w:tcPr>
            <w:tcW w:w="19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1台</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85</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地</w:t>
            </w:r>
            <w:r>
              <w:rPr>
                <w:rFonts w:hint="eastAsia" w:ascii="Times New Roman" w:hAnsi="Times New Roman" w:eastAsia="宋体" w:cs="Times New Roman"/>
                <w:color w:val="000000"/>
                <w:kern w:val="0"/>
                <w:sz w:val="21"/>
                <w:szCs w:val="21"/>
                <w:lang w:eastAsia="zh-CN"/>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6" w:hRule="atLeast"/>
          <w:jc w:val="center"/>
        </w:trPr>
        <w:tc>
          <w:tcPr>
            <w:tcW w:w="1568" w:type="dxa"/>
            <w:vMerge w:val="restart"/>
            <w:tcBorders>
              <w:top w:val="single" w:color="auto" w:sz="4" w:space="0"/>
              <w:left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污泥浓缩池</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污泥浓缩机</w:t>
            </w:r>
          </w:p>
        </w:tc>
        <w:tc>
          <w:tcPr>
            <w:tcW w:w="19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1台</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85</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568" w:type="dxa"/>
            <w:vMerge w:val="continue"/>
            <w:tcBorders>
              <w:left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污泥泵</w:t>
            </w:r>
          </w:p>
        </w:tc>
        <w:tc>
          <w:tcPr>
            <w:tcW w:w="19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2台</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85</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000000"/>
                <w:kern w:val="0"/>
                <w:sz w:val="21"/>
                <w:szCs w:val="21"/>
              </w:rPr>
            </w:pPr>
            <w:r>
              <w:rPr>
                <w:rFonts w:hint="eastAsia" w:ascii="Times New Roman" w:hAnsi="Times New Roman" w:eastAsia="宋体" w:cs="Times New Roman"/>
                <w:color w:val="000000"/>
                <w:kern w:val="0"/>
                <w:sz w:val="21"/>
                <w:szCs w:val="21"/>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9" w:hRule="atLeast"/>
          <w:jc w:val="center"/>
        </w:trPr>
        <w:tc>
          <w:tcPr>
            <w:tcW w:w="1568" w:type="dxa"/>
            <w:tcBorders>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提升泵站</w:t>
            </w:r>
          </w:p>
        </w:tc>
        <w:tc>
          <w:tcPr>
            <w:tcW w:w="1399"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污水提升泵</w:t>
            </w:r>
          </w:p>
        </w:tc>
        <w:tc>
          <w:tcPr>
            <w:tcW w:w="190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rPr>
              <w:t>2台（一备一用）</w:t>
            </w:r>
          </w:p>
        </w:tc>
        <w:tc>
          <w:tcPr>
            <w:tcW w:w="198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85</w:t>
            </w:r>
          </w:p>
        </w:tc>
        <w:tc>
          <w:tcPr>
            <w:tcW w:w="1287"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eastAsia="zh-CN"/>
              </w:rPr>
              <w:t>地下</w:t>
            </w:r>
          </w:p>
        </w:tc>
      </w:tr>
    </w:tbl>
    <w:p>
      <w:pPr>
        <w:ind w:firstLine="480"/>
        <w:rPr>
          <w:color w:val="000000"/>
          <w:kern w:val="0"/>
          <w:u w:val="single"/>
        </w:rPr>
      </w:pPr>
      <w:r>
        <w:rPr>
          <w:rFonts w:hint="eastAsia"/>
          <w:color w:val="000000"/>
          <w:kern w:val="0"/>
          <w:u w:val="single"/>
        </w:rPr>
        <w:t>（3）预测模式</w:t>
      </w:r>
    </w:p>
    <w:p>
      <w:pPr>
        <w:keepNext w:val="0"/>
        <w:keepLines w:val="0"/>
        <w:pageBreakBefore w:val="0"/>
        <w:widowControl/>
        <w:kinsoku/>
        <w:wordWrap w:val="0"/>
        <w:overflowPunct/>
        <w:topLinePunct w:val="0"/>
        <w:autoSpaceDE/>
        <w:autoSpaceDN/>
        <w:bidi w:val="0"/>
        <w:adjustRightInd/>
        <w:snapToGrid/>
        <w:ind w:firstLine="480"/>
        <w:textAlignment w:val="auto"/>
        <w:rPr>
          <w:rFonts w:hint="eastAsia"/>
          <w:u w:val="single"/>
        </w:rPr>
      </w:pPr>
      <w:r>
        <w:rPr>
          <w:rFonts w:hint="eastAsia"/>
          <w:u w:val="single"/>
        </w:rPr>
        <w:t>运营期的噪声预测模式，采用《环境影响评价技术导则 声环境》（HJ2.4-</w:t>
      </w:r>
      <w:r>
        <w:rPr>
          <w:rFonts w:hint="eastAsia"/>
          <w:u w:val="single"/>
          <w:lang w:val="en-US" w:eastAsia="zh-CN"/>
        </w:rPr>
        <w:t>2021</w:t>
      </w:r>
      <w:r>
        <w:rPr>
          <w:rFonts w:hint="eastAsia"/>
          <w:u w:val="single"/>
        </w:rPr>
        <w:t>）推荐的工业噪声预测计算模式，按室内声源和室外声源两种声源分别进行计算。</w:t>
      </w:r>
    </w:p>
    <w:p>
      <w:pPr>
        <w:ind w:firstLine="480"/>
        <w:rPr>
          <w:rFonts w:hint="eastAsia"/>
          <w:u w:val="single"/>
        </w:rPr>
      </w:pPr>
      <w:r>
        <w:rPr>
          <w:rFonts w:hint="eastAsia"/>
          <w:u w:val="single"/>
        </w:rPr>
        <w:t>（1）对于室外声源</w:t>
      </w:r>
    </w:p>
    <w:p>
      <w:pPr>
        <w:ind w:firstLine="480"/>
        <w:rPr>
          <w:rFonts w:hint="eastAsia"/>
          <w:u w:val="single"/>
        </w:rPr>
      </w:pPr>
      <w:r>
        <w:rPr>
          <w:rFonts w:hint="eastAsia"/>
          <w:u w:val="single"/>
        </w:rPr>
        <w:t>L</w:t>
      </w:r>
      <w:r>
        <w:rPr>
          <w:rFonts w:hint="eastAsia"/>
          <w:u w:val="single"/>
          <w:vertAlign w:val="subscript"/>
        </w:rPr>
        <w:t>A</w:t>
      </w:r>
      <w:r>
        <w:rPr>
          <w:rFonts w:hint="eastAsia"/>
          <w:u w:val="single"/>
        </w:rPr>
        <w:t>(r</w:t>
      </w:r>
      <w:r>
        <w:rPr>
          <w:rFonts w:hint="eastAsia"/>
          <w:u w:val="single"/>
          <w:lang w:val="en-US" w:eastAsia="zh-CN"/>
        </w:rPr>
        <w:t>)</w:t>
      </w:r>
      <w:r>
        <w:rPr>
          <w:rFonts w:hint="eastAsia"/>
          <w:u w:val="single"/>
        </w:rPr>
        <w:t>=LA (r</w:t>
      </w:r>
      <w:r>
        <w:rPr>
          <w:rFonts w:hint="eastAsia"/>
          <w:u w:val="single"/>
          <w:vertAlign w:val="subscript"/>
        </w:rPr>
        <w:t>0</w:t>
      </w:r>
      <w:r>
        <w:rPr>
          <w:rFonts w:hint="eastAsia"/>
          <w:u w:val="single"/>
          <w:lang w:val="en-US" w:eastAsia="zh-CN"/>
        </w:rPr>
        <w:t>)</w:t>
      </w:r>
      <w:r>
        <w:rPr>
          <w:rFonts w:hint="eastAsia"/>
          <w:u w:val="single"/>
        </w:rPr>
        <w:t>-A</w:t>
      </w:r>
    </w:p>
    <w:p>
      <w:pPr>
        <w:ind w:firstLine="480"/>
        <w:rPr>
          <w:rFonts w:hint="eastAsia"/>
          <w:u w:val="single"/>
        </w:rPr>
      </w:pPr>
      <w:r>
        <w:rPr>
          <w:rFonts w:hint="eastAsia"/>
          <w:u w:val="single"/>
        </w:rPr>
        <w:t>A=A</w:t>
      </w:r>
      <w:r>
        <w:rPr>
          <w:rFonts w:hint="eastAsia"/>
          <w:u w:val="single"/>
          <w:vertAlign w:val="subscript"/>
        </w:rPr>
        <w:t>div</w:t>
      </w:r>
      <w:r>
        <w:rPr>
          <w:rFonts w:hint="eastAsia"/>
          <w:u w:val="single"/>
        </w:rPr>
        <w:t xml:space="preserve"> +A</w:t>
      </w:r>
      <w:r>
        <w:rPr>
          <w:rFonts w:hint="eastAsia"/>
          <w:u w:val="single"/>
          <w:vertAlign w:val="subscript"/>
        </w:rPr>
        <w:t>atm</w:t>
      </w:r>
      <w:r>
        <w:rPr>
          <w:rFonts w:hint="eastAsia"/>
          <w:u w:val="single"/>
        </w:rPr>
        <w:t xml:space="preserve"> +A</w:t>
      </w:r>
      <w:r>
        <w:rPr>
          <w:rFonts w:hint="eastAsia"/>
          <w:u w:val="single"/>
          <w:vertAlign w:val="subscript"/>
        </w:rPr>
        <w:t>gr</w:t>
      </w:r>
      <w:r>
        <w:rPr>
          <w:rFonts w:hint="eastAsia"/>
          <w:u w:val="single"/>
        </w:rPr>
        <w:t xml:space="preserve"> +A</w:t>
      </w:r>
      <w:r>
        <w:rPr>
          <w:rFonts w:hint="eastAsia"/>
          <w:u w:val="single"/>
          <w:vertAlign w:val="subscript"/>
        </w:rPr>
        <w:t>bar</w:t>
      </w:r>
      <w:r>
        <w:rPr>
          <w:rFonts w:hint="eastAsia"/>
          <w:u w:val="single"/>
        </w:rPr>
        <w:t xml:space="preserve"> +A</w:t>
      </w:r>
      <w:r>
        <w:rPr>
          <w:rFonts w:hint="eastAsia"/>
          <w:u w:val="single"/>
          <w:vertAlign w:val="subscript"/>
        </w:rPr>
        <w:t>misc</w:t>
      </w:r>
    </w:p>
    <w:p>
      <w:pPr>
        <w:ind w:firstLine="480"/>
        <w:rPr>
          <w:rFonts w:hint="eastAsia"/>
          <w:u w:val="single"/>
        </w:rPr>
      </w:pPr>
      <w:r>
        <w:rPr>
          <w:rFonts w:hint="eastAsia"/>
          <w:u w:val="single"/>
        </w:rPr>
        <w:t>式中：L</w:t>
      </w:r>
      <w:r>
        <w:rPr>
          <w:rFonts w:hint="eastAsia"/>
          <w:u w:val="single"/>
          <w:vertAlign w:val="subscript"/>
        </w:rPr>
        <w:t>A</w:t>
      </w:r>
      <w:r>
        <w:rPr>
          <w:rFonts w:hint="eastAsia"/>
          <w:u w:val="single"/>
        </w:rPr>
        <w:t>(r</w:t>
      </w:r>
      <w:r>
        <w:rPr>
          <w:rFonts w:hint="eastAsia"/>
          <w:u w:val="single"/>
          <w:lang w:val="en-US" w:eastAsia="zh-CN"/>
        </w:rPr>
        <w:t>)</w:t>
      </w:r>
      <w:r>
        <w:rPr>
          <w:rFonts w:hint="eastAsia"/>
          <w:u w:val="single"/>
        </w:rPr>
        <w:t>——点声源在预测点产生的声压级；</w:t>
      </w:r>
    </w:p>
    <w:p>
      <w:pPr>
        <w:ind w:firstLine="480"/>
        <w:rPr>
          <w:rFonts w:hint="eastAsia"/>
          <w:u w:val="single"/>
        </w:rPr>
      </w:pPr>
      <w:r>
        <w:rPr>
          <w:rFonts w:hint="eastAsia"/>
          <w:u w:val="single"/>
        </w:rPr>
        <w:t>L</w:t>
      </w:r>
      <w:r>
        <w:rPr>
          <w:rFonts w:hint="eastAsia"/>
          <w:u w:val="single"/>
          <w:vertAlign w:val="subscript"/>
        </w:rPr>
        <w:t>A</w:t>
      </w:r>
      <w:r>
        <w:rPr>
          <w:rFonts w:hint="eastAsia"/>
          <w:u w:val="single"/>
        </w:rPr>
        <w:t>(r</w:t>
      </w:r>
      <w:r>
        <w:rPr>
          <w:rFonts w:hint="eastAsia"/>
          <w:u w:val="single"/>
          <w:vertAlign w:val="subscript"/>
        </w:rPr>
        <w:t>0</w:t>
      </w:r>
      <w:r>
        <w:rPr>
          <w:rFonts w:hint="eastAsia"/>
          <w:u w:val="single"/>
          <w:lang w:val="en-US" w:eastAsia="zh-CN"/>
        </w:rPr>
        <w:t>)</w:t>
      </w:r>
      <w:r>
        <w:rPr>
          <w:rFonts w:hint="eastAsia"/>
          <w:u w:val="single"/>
        </w:rPr>
        <w:t>——参考位置r</w:t>
      </w:r>
      <w:r>
        <w:rPr>
          <w:rFonts w:hint="eastAsia"/>
          <w:u w:val="single"/>
          <w:vertAlign w:val="subscript"/>
        </w:rPr>
        <w:t>0</w:t>
      </w:r>
      <w:r>
        <w:rPr>
          <w:rFonts w:hint="eastAsia"/>
          <w:u w:val="single"/>
        </w:rPr>
        <w:t>处的A声级；</w:t>
      </w:r>
    </w:p>
    <w:p>
      <w:pPr>
        <w:ind w:firstLine="480"/>
        <w:rPr>
          <w:rFonts w:hint="eastAsia"/>
          <w:u w:val="single"/>
        </w:rPr>
      </w:pPr>
      <w:r>
        <w:rPr>
          <w:rFonts w:hint="eastAsia"/>
          <w:u w:val="single"/>
        </w:rPr>
        <w:t>A——倍频带衰减，dB；</w:t>
      </w:r>
    </w:p>
    <w:p>
      <w:pPr>
        <w:ind w:firstLine="480"/>
        <w:rPr>
          <w:rFonts w:hint="eastAsia"/>
          <w:u w:val="single"/>
        </w:rPr>
      </w:pPr>
      <w:r>
        <w:rPr>
          <w:rFonts w:hint="eastAsia"/>
          <w:u w:val="single"/>
        </w:rPr>
        <w:t>A</w:t>
      </w:r>
      <w:r>
        <w:rPr>
          <w:rFonts w:hint="eastAsia"/>
          <w:u w:val="single"/>
          <w:vertAlign w:val="subscript"/>
        </w:rPr>
        <w:t>div</w:t>
      </w:r>
      <w:r>
        <w:rPr>
          <w:rFonts w:hint="eastAsia"/>
          <w:u w:val="single"/>
        </w:rPr>
        <w:t xml:space="preserve"> ——几何发散引起的倍频带衰减，dB；</w:t>
      </w:r>
    </w:p>
    <w:p>
      <w:pPr>
        <w:ind w:firstLine="480"/>
        <w:rPr>
          <w:rFonts w:hint="eastAsia"/>
          <w:u w:val="single"/>
        </w:rPr>
      </w:pPr>
      <w:r>
        <w:rPr>
          <w:rFonts w:hint="eastAsia"/>
          <w:u w:val="single"/>
        </w:rPr>
        <w:t>A</w:t>
      </w:r>
      <w:r>
        <w:rPr>
          <w:rFonts w:hint="eastAsia"/>
          <w:u w:val="single"/>
          <w:vertAlign w:val="subscript"/>
        </w:rPr>
        <w:t>atm</w:t>
      </w:r>
      <w:r>
        <w:rPr>
          <w:rFonts w:hint="eastAsia"/>
          <w:u w:val="single"/>
        </w:rPr>
        <w:t xml:space="preserve"> ——大气吸收引起的倍频带衰减，dB；</w:t>
      </w:r>
    </w:p>
    <w:p>
      <w:pPr>
        <w:ind w:firstLine="480"/>
        <w:rPr>
          <w:rFonts w:hint="eastAsia"/>
          <w:u w:val="single"/>
        </w:rPr>
      </w:pPr>
      <w:r>
        <w:rPr>
          <w:rFonts w:hint="eastAsia"/>
          <w:u w:val="single"/>
        </w:rPr>
        <w:t>A</w:t>
      </w:r>
      <w:r>
        <w:rPr>
          <w:rFonts w:hint="eastAsia"/>
          <w:u w:val="single"/>
          <w:vertAlign w:val="subscript"/>
        </w:rPr>
        <w:t>gr</w:t>
      </w:r>
      <w:r>
        <w:rPr>
          <w:rFonts w:hint="eastAsia"/>
          <w:u w:val="single"/>
        </w:rPr>
        <w:t xml:space="preserve"> ——地面效应引起的倍频带衰减，dB；</w:t>
      </w:r>
    </w:p>
    <w:p>
      <w:pPr>
        <w:ind w:firstLine="480"/>
        <w:rPr>
          <w:rFonts w:hint="eastAsia"/>
          <w:u w:val="single"/>
        </w:rPr>
      </w:pPr>
      <w:r>
        <w:rPr>
          <w:rFonts w:hint="eastAsia"/>
          <w:u w:val="single"/>
        </w:rPr>
        <w:t>A</w:t>
      </w:r>
      <w:r>
        <w:rPr>
          <w:rFonts w:hint="eastAsia"/>
          <w:u w:val="single"/>
          <w:vertAlign w:val="subscript"/>
        </w:rPr>
        <w:t>bar</w:t>
      </w:r>
      <w:r>
        <w:rPr>
          <w:rFonts w:hint="eastAsia"/>
          <w:u w:val="single"/>
        </w:rPr>
        <w:t xml:space="preserve"> ——声屏障引起的倍频带衰减，dB；</w:t>
      </w:r>
    </w:p>
    <w:p>
      <w:pPr>
        <w:ind w:firstLine="480"/>
        <w:rPr>
          <w:rFonts w:hint="eastAsia"/>
          <w:u w:val="single"/>
        </w:rPr>
      </w:pPr>
      <w:r>
        <w:rPr>
          <w:rFonts w:hint="eastAsia"/>
          <w:u w:val="single"/>
        </w:rPr>
        <w:t>A</w:t>
      </w:r>
      <w:r>
        <w:rPr>
          <w:rFonts w:hint="eastAsia"/>
          <w:u w:val="single"/>
          <w:vertAlign w:val="subscript"/>
        </w:rPr>
        <w:t>misc</w:t>
      </w:r>
      <w:r>
        <w:rPr>
          <w:rFonts w:hint="eastAsia"/>
          <w:u w:val="single"/>
        </w:rPr>
        <w:t xml:space="preserve"> ——其它多方面效应引起的倍频带衰减，dB。</w:t>
      </w:r>
    </w:p>
    <w:p>
      <w:pPr>
        <w:ind w:firstLine="480"/>
        <w:rPr>
          <w:rFonts w:hint="eastAsia"/>
          <w:u w:val="single"/>
        </w:rPr>
      </w:pPr>
      <w:r>
        <w:rPr>
          <w:rFonts w:hint="eastAsia"/>
          <w:position w:val="-10"/>
          <w:u w:val="single"/>
        </w:rPr>
        <w:object>
          <v:shape id="_x0000_i1026" o:spt="75" type="#_x0000_t75" style="height:23.45pt;width:113.05pt;" o:ole="t" filled="f" o:preferrelative="t" stroked="f" coordsize="21600,21600">
            <v:path/>
            <v:fill on="f" focussize="0,0"/>
            <v:stroke on="f"/>
            <v:imagedata r:id="rId41" o:title=""/>
            <o:lock v:ext="edit" aspectratio="t"/>
            <w10:wrap type="none"/>
            <w10:anchorlock/>
          </v:shape>
          <o:OLEObject Type="Embed" ProgID="Equation.KSEE3" ShapeID="_x0000_i1026" DrawAspect="Content" ObjectID="_1468075726" r:id="rId40">
            <o:LockedField>false</o:LockedField>
          </o:OLEObject>
        </w:object>
      </w:r>
    </w:p>
    <w:p>
      <w:pPr>
        <w:ind w:firstLine="480"/>
        <w:rPr>
          <w:rFonts w:hint="eastAsia"/>
          <w:u w:val="single"/>
        </w:rPr>
      </w:pPr>
      <w:r>
        <w:rPr>
          <w:rFonts w:hint="eastAsia"/>
          <w:position w:val="-20"/>
          <w:u w:val="single"/>
        </w:rPr>
        <w:object>
          <v:shape id="_x0000_i1027" o:spt="75" type="#_x0000_t75" style="height:32.9pt;width:85.95pt;" o:ole="t" filled="f" o:preferrelative="t" stroked="f" coordsize="21600,21600">
            <v:path/>
            <v:fill on="f" focussize="0,0"/>
            <v:stroke on="f"/>
            <v:imagedata r:id="rId43" o:title=""/>
            <o:lock v:ext="edit" aspectratio="t"/>
            <w10:wrap type="none"/>
            <w10:anchorlock/>
          </v:shape>
          <o:OLEObject Type="Embed" ProgID="Equation.KSEE3" ShapeID="_x0000_i1027" DrawAspect="Content" ObjectID="_1468075727" r:id="rId42">
            <o:LockedField>false</o:LockedField>
          </o:OLEObject>
        </w:object>
      </w:r>
    </w:p>
    <w:p>
      <w:pPr>
        <w:ind w:firstLine="480"/>
        <w:rPr>
          <w:rFonts w:hint="eastAsia"/>
          <w:u w:val="single"/>
        </w:rPr>
      </w:pPr>
      <w:r>
        <w:rPr>
          <w:rFonts w:hint="eastAsia"/>
          <w:u w:val="single"/>
        </w:rPr>
        <w:t>a 为温度、湿度和声波频率的函数</w:t>
      </w:r>
      <w:r>
        <w:rPr>
          <w:rFonts w:hint="eastAsia"/>
          <w:i w:val="0"/>
          <w:iCs w:val="0"/>
          <w:u w:val="single"/>
        </w:rPr>
        <w:t>，预测计算中一般根据建设项目所处区域常年平均气温和温度选择相应的空气吸</w:t>
      </w:r>
      <w:r>
        <w:rPr>
          <w:rFonts w:hint="eastAsia"/>
          <w:u w:val="single"/>
        </w:rPr>
        <w:t>收系数，见表</w:t>
      </w:r>
      <w:r>
        <w:rPr>
          <w:rFonts w:hint="eastAsia"/>
          <w:u w:val="single"/>
          <w:lang w:val="en-US" w:eastAsia="zh-CN"/>
        </w:rPr>
        <w:t>4</w:t>
      </w:r>
      <w:r>
        <w:rPr>
          <w:rFonts w:hint="eastAsia"/>
          <w:u w:val="single"/>
        </w:rPr>
        <w:t>.2-</w:t>
      </w:r>
      <w:r>
        <w:rPr>
          <w:rFonts w:hint="eastAsia"/>
          <w:u w:val="single"/>
          <w:lang w:val="en-US" w:eastAsia="zh-CN"/>
        </w:rPr>
        <w:t>1</w:t>
      </w:r>
      <w:r>
        <w:rPr>
          <w:rFonts w:hint="eastAsia"/>
          <w:u w:val="single"/>
        </w:rPr>
        <w:t>。</w:t>
      </w:r>
    </w:p>
    <w:p>
      <w:pPr>
        <w:ind w:firstLine="0" w:firstLineChars="0"/>
        <w:jc w:val="center"/>
        <w:rPr>
          <w:rFonts w:hint="eastAsia"/>
          <w:b/>
          <w:bCs/>
          <w:sz w:val="21"/>
          <w:szCs w:val="21"/>
          <w:u w:val="single"/>
        </w:rPr>
      </w:pPr>
      <w:r>
        <w:rPr>
          <w:rFonts w:hint="eastAsia"/>
          <w:b/>
          <w:bCs/>
          <w:sz w:val="21"/>
          <w:szCs w:val="21"/>
          <w:u w:val="single"/>
        </w:rPr>
        <w:t>表</w:t>
      </w:r>
      <w:r>
        <w:rPr>
          <w:rFonts w:hint="eastAsia"/>
          <w:b/>
          <w:bCs/>
          <w:sz w:val="21"/>
          <w:szCs w:val="21"/>
          <w:u w:val="single"/>
          <w:lang w:val="en-US" w:eastAsia="zh-CN"/>
        </w:rPr>
        <w:t>4</w:t>
      </w:r>
      <w:r>
        <w:rPr>
          <w:rFonts w:hint="eastAsia"/>
          <w:b/>
          <w:bCs/>
          <w:sz w:val="21"/>
          <w:szCs w:val="21"/>
          <w:u w:val="single"/>
        </w:rPr>
        <w:t>.2-</w:t>
      </w:r>
      <w:r>
        <w:rPr>
          <w:rFonts w:hint="eastAsia"/>
          <w:b/>
          <w:bCs/>
          <w:sz w:val="21"/>
          <w:szCs w:val="21"/>
          <w:u w:val="single"/>
          <w:lang w:val="en-US" w:eastAsia="zh-CN"/>
        </w:rPr>
        <w:t>1</w:t>
      </w:r>
      <w:r>
        <w:rPr>
          <w:rFonts w:hint="eastAsia"/>
          <w:b/>
          <w:bCs/>
          <w:sz w:val="21"/>
          <w:szCs w:val="21"/>
          <w:u w:val="single"/>
        </w:rPr>
        <w:t xml:space="preserve">  倍频带噪声的大气吸收衰减系数a一览表</w:t>
      </w:r>
    </w:p>
    <w:tbl>
      <w:tblPr>
        <w:tblStyle w:val="37"/>
        <w:tblW w:w="5000"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96"/>
        <w:gridCol w:w="938"/>
        <w:gridCol w:w="855"/>
        <w:gridCol w:w="855"/>
        <w:gridCol w:w="851"/>
        <w:gridCol w:w="845"/>
        <w:gridCol w:w="840"/>
        <w:gridCol w:w="824"/>
        <w:gridCol w:w="818"/>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vMerge w:val="restart"/>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温度</w:t>
            </w:r>
          </w:p>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w:t>
            </w:r>
          </w:p>
        </w:tc>
        <w:tc>
          <w:tcPr>
            <w:tcW w:w="918" w:type="dxa"/>
            <w:vMerge w:val="restart"/>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相对湿度%</w:t>
            </w:r>
          </w:p>
        </w:tc>
        <w:tc>
          <w:tcPr>
            <w:tcW w:w="6994" w:type="dxa"/>
            <w:gridSpan w:val="8"/>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大气吸收衰减系数a，dB/km</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vMerge w:val="continue"/>
            <w:noWrap w:val="0"/>
            <w:vAlign w:val="center"/>
          </w:tcPr>
          <w:p>
            <w:pPr>
              <w:spacing w:line="240" w:lineRule="auto"/>
              <w:ind w:firstLine="0" w:firstLineChars="0"/>
              <w:jc w:val="center"/>
              <w:rPr>
                <w:rFonts w:hint="eastAsia" w:ascii="Times New Roman" w:hAnsi="Times New Roman"/>
                <w:sz w:val="21"/>
                <w:szCs w:val="21"/>
                <w:u w:val="single"/>
              </w:rPr>
            </w:pPr>
          </w:p>
        </w:tc>
        <w:tc>
          <w:tcPr>
            <w:tcW w:w="918" w:type="dxa"/>
            <w:vMerge w:val="continue"/>
            <w:noWrap w:val="0"/>
            <w:vAlign w:val="center"/>
          </w:tcPr>
          <w:p>
            <w:pPr>
              <w:spacing w:line="240" w:lineRule="auto"/>
              <w:ind w:firstLine="0" w:firstLineChars="0"/>
              <w:jc w:val="center"/>
              <w:rPr>
                <w:rFonts w:hint="eastAsia" w:ascii="Times New Roman" w:hAnsi="Times New Roman"/>
                <w:sz w:val="21"/>
                <w:szCs w:val="21"/>
                <w:u w:val="single"/>
              </w:rPr>
            </w:pPr>
          </w:p>
        </w:tc>
        <w:tc>
          <w:tcPr>
            <w:tcW w:w="6994" w:type="dxa"/>
            <w:gridSpan w:val="8"/>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倍频带中心频率Hz</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vMerge w:val="continue"/>
            <w:noWrap w:val="0"/>
            <w:vAlign w:val="center"/>
          </w:tcPr>
          <w:p>
            <w:pPr>
              <w:spacing w:line="240" w:lineRule="auto"/>
              <w:ind w:firstLine="0" w:firstLineChars="0"/>
              <w:jc w:val="center"/>
              <w:rPr>
                <w:rFonts w:hint="eastAsia" w:ascii="Times New Roman" w:hAnsi="Times New Roman"/>
                <w:sz w:val="21"/>
                <w:szCs w:val="21"/>
                <w:u w:val="single"/>
              </w:rPr>
            </w:pPr>
          </w:p>
        </w:tc>
        <w:tc>
          <w:tcPr>
            <w:tcW w:w="918" w:type="dxa"/>
            <w:vMerge w:val="continue"/>
            <w:noWrap w:val="0"/>
            <w:vAlign w:val="center"/>
          </w:tcPr>
          <w:p>
            <w:pPr>
              <w:spacing w:line="240" w:lineRule="auto"/>
              <w:ind w:firstLine="0" w:firstLineChars="0"/>
              <w:jc w:val="center"/>
              <w:rPr>
                <w:rFonts w:hint="eastAsia" w:ascii="Times New Roman" w:hAnsi="Times New Roman"/>
                <w:sz w:val="21"/>
                <w:szCs w:val="21"/>
                <w:u w:val="single"/>
              </w:rPr>
            </w:pPr>
          </w:p>
        </w:tc>
        <w:tc>
          <w:tcPr>
            <w:tcW w:w="96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63</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125</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250</w:t>
            </w:r>
          </w:p>
        </w:tc>
        <w:tc>
          <w:tcPr>
            <w:tcW w:w="87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500</w:t>
            </w:r>
          </w:p>
        </w:tc>
        <w:tc>
          <w:tcPr>
            <w:tcW w:w="86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1000</w:t>
            </w:r>
          </w:p>
        </w:tc>
        <w:tc>
          <w:tcPr>
            <w:tcW w:w="86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2000</w:t>
            </w:r>
          </w:p>
        </w:tc>
        <w:tc>
          <w:tcPr>
            <w:tcW w:w="84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4000</w:t>
            </w:r>
          </w:p>
        </w:tc>
        <w:tc>
          <w:tcPr>
            <w:tcW w:w="83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8000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10</w:t>
            </w:r>
          </w:p>
        </w:tc>
        <w:tc>
          <w:tcPr>
            <w:tcW w:w="91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70</w:t>
            </w:r>
          </w:p>
        </w:tc>
        <w:tc>
          <w:tcPr>
            <w:tcW w:w="96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0.1</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0.4</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1.0</w:t>
            </w:r>
          </w:p>
        </w:tc>
        <w:tc>
          <w:tcPr>
            <w:tcW w:w="87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1.9</w:t>
            </w:r>
          </w:p>
        </w:tc>
        <w:tc>
          <w:tcPr>
            <w:tcW w:w="86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3.7</w:t>
            </w:r>
          </w:p>
        </w:tc>
        <w:tc>
          <w:tcPr>
            <w:tcW w:w="86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9.7</w:t>
            </w:r>
          </w:p>
        </w:tc>
        <w:tc>
          <w:tcPr>
            <w:tcW w:w="84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32.8</w:t>
            </w:r>
          </w:p>
        </w:tc>
        <w:tc>
          <w:tcPr>
            <w:tcW w:w="83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117.0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20</w:t>
            </w:r>
          </w:p>
        </w:tc>
        <w:tc>
          <w:tcPr>
            <w:tcW w:w="91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70</w:t>
            </w:r>
          </w:p>
        </w:tc>
        <w:tc>
          <w:tcPr>
            <w:tcW w:w="96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0.1</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0.3</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1.1</w:t>
            </w:r>
          </w:p>
        </w:tc>
        <w:tc>
          <w:tcPr>
            <w:tcW w:w="87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2.8</w:t>
            </w:r>
          </w:p>
        </w:tc>
        <w:tc>
          <w:tcPr>
            <w:tcW w:w="86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5.0</w:t>
            </w:r>
          </w:p>
        </w:tc>
        <w:tc>
          <w:tcPr>
            <w:tcW w:w="86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9.0</w:t>
            </w:r>
          </w:p>
        </w:tc>
        <w:tc>
          <w:tcPr>
            <w:tcW w:w="84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22.9</w:t>
            </w:r>
          </w:p>
        </w:tc>
        <w:tc>
          <w:tcPr>
            <w:tcW w:w="83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76.6</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30</w:t>
            </w:r>
          </w:p>
        </w:tc>
        <w:tc>
          <w:tcPr>
            <w:tcW w:w="91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70</w:t>
            </w:r>
          </w:p>
        </w:tc>
        <w:tc>
          <w:tcPr>
            <w:tcW w:w="96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0.1</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0.3</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1.0</w:t>
            </w:r>
          </w:p>
        </w:tc>
        <w:tc>
          <w:tcPr>
            <w:tcW w:w="87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3.1</w:t>
            </w:r>
          </w:p>
        </w:tc>
        <w:tc>
          <w:tcPr>
            <w:tcW w:w="86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7.4</w:t>
            </w:r>
          </w:p>
        </w:tc>
        <w:tc>
          <w:tcPr>
            <w:tcW w:w="86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12.7</w:t>
            </w:r>
          </w:p>
        </w:tc>
        <w:tc>
          <w:tcPr>
            <w:tcW w:w="84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23.1</w:t>
            </w:r>
          </w:p>
        </w:tc>
        <w:tc>
          <w:tcPr>
            <w:tcW w:w="83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59.3</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15</w:t>
            </w:r>
          </w:p>
        </w:tc>
        <w:tc>
          <w:tcPr>
            <w:tcW w:w="91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20</w:t>
            </w:r>
          </w:p>
        </w:tc>
        <w:tc>
          <w:tcPr>
            <w:tcW w:w="96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0.3</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0.6</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1.2</w:t>
            </w:r>
          </w:p>
        </w:tc>
        <w:tc>
          <w:tcPr>
            <w:tcW w:w="87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2.7</w:t>
            </w:r>
          </w:p>
        </w:tc>
        <w:tc>
          <w:tcPr>
            <w:tcW w:w="86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8.2</w:t>
            </w:r>
          </w:p>
        </w:tc>
        <w:tc>
          <w:tcPr>
            <w:tcW w:w="86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28.2</w:t>
            </w:r>
          </w:p>
        </w:tc>
        <w:tc>
          <w:tcPr>
            <w:tcW w:w="84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28.8</w:t>
            </w:r>
          </w:p>
        </w:tc>
        <w:tc>
          <w:tcPr>
            <w:tcW w:w="83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202.0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15</w:t>
            </w:r>
          </w:p>
        </w:tc>
        <w:tc>
          <w:tcPr>
            <w:tcW w:w="91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50</w:t>
            </w:r>
          </w:p>
        </w:tc>
        <w:tc>
          <w:tcPr>
            <w:tcW w:w="96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0.1</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0.5</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1.2</w:t>
            </w:r>
          </w:p>
        </w:tc>
        <w:tc>
          <w:tcPr>
            <w:tcW w:w="87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2.2</w:t>
            </w:r>
          </w:p>
        </w:tc>
        <w:tc>
          <w:tcPr>
            <w:tcW w:w="86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4.2</w:t>
            </w:r>
          </w:p>
        </w:tc>
        <w:tc>
          <w:tcPr>
            <w:tcW w:w="86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10.8</w:t>
            </w:r>
          </w:p>
        </w:tc>
        <w:tc>
          <w:tcPr>
            <w:tcW w:w="84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36.2</w:t>
            </w:r>
          </w:p>
        </w:tc>
        <w:tc>
          <w:tcPr>
            <w:tcW w:w="83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129.0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15</w:t>
            </w:r>
          </w:p>
        </w:tc>
        <w:tc>
          <w:tcPr>
            <w:tcW w:w="91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80</w:t>
            </w:r>
          </w:p>
        </w:tc>
        <w:tc>
          <w:tcPr>
            <w:tcW w:w="96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0.1</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0.3</w:t>
            </w:r>
          </w:p>
        </w:tc>
        <w:tc>
          <w:tcPr>
            <w:tcW w:w="87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1.1</w:t>
            </w:r>
          </w:p>
        </w:tc>
        <w:tc>
          <w:tcPr>
            <w:tcW w:w="872"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2.4</w:t>
            </w:r>
          </w:p>
        </w:tc>
        <w:tc>
          <w:tcPr>
            <w:tcW w:w="866"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4.1</w:t>
            </w:r>
          </w:p>
        </w:tc>
        <w:tc>
          <w:tcPr>
            <w:tcW w:w="86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8.2</w:t>
            </w:r>
          </w:p>
        </w:tc>
        <w:tc>
          <w:tcPr>
            <w:tcW w:w="84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23.7</w:t>
            </w:r>
          </w:p>
        </w:tc>
        <w:tc>
          <w:tcPr>
            <w:tcW w:w="838"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82.8</w:t>
            </w:r>
          </w:p>
        </w:tc>
      </w:tr>
    </w:tbl>
    <w:p>
      <w:pPr>
        <w:ind w:firstLine="0" w:firstLineChars="0"/>
        <w:jc w:val="center"/>
        <w:rPr>
          <w:rFonts w:hint="eastAsia"/>
          <w:u w:val="single"/>
        </w:rPr>
      </w:pPr>
      <w:r>
        <w:rPr>
          <w:rFonts w:hint="eastAsia"/>
          <w:position w:val="-26"/>
          <w:u w:val="single"/>
        </w:rPr>
        <w:object>
          <v:shape id="_x0000_i1028" o:spt="75" type="#_x0000_t75" style="height:39.6pt;width:159.65pt;" o:ole="t" filled="f" o:preferrelative="t" stroked="f" coordsize="21600,21600">
            <v:path/>
            <v:fill on="f" focussize="0,0"/>
            <v:stroke on="f"/>
            <v:imagedata r:id="rId45" o:title=""/>
            <o:lock v:ext="edit" aspectratio="t"/>
            <w10:wrap type="none"/>
            <w10:anchorlock/>
          </v:shape>
          <o:OLEObject Type="Embed" ProgID="Equation.KSEE3" ShapeID="_x0000_i1028" DrawAspect="Content" ObjectID="_1468075728" r:id="rId44">
            <o:LockedField>false</o:LockedField>
          </o:OLEObject>
        </w:object>
      </w:r>
    </w:p>
    <w:p>
      <w:pPr>
        <w:ind w:firstLine="0" w:firstLineChars="0"/>
        <w:jc w:val="center"/>
        <w:rPr>
          <w:rFonts w:hint="eastAsia"/>
          <w:u w:val="single"/>
        </w:rPr>
      </w:pPr>
      <w:r>
        <w:rPr>
          <w:rFonts w:hint="eastAsia"/>
          <w:position w:val="-24"/>
          <w:u w:val="single"/>
        </w:rPr>
        <w:object>
          <v:shape id="_x0000_i1029" o:spt="75" type="#_x0000_t75" style="height:41.75pt;width:284.75pt;" o:ole="t" filled="f" o:preferrelative="t" stroked="f" coordsize="21600,21600">
            <v:path/>
            <v:fill on="f" focussize="0,0"/>
            <v:stroke on="f"/>
            <v:imagedata r:id="rId47" o:title=""/>
            <o:lock v:ext="edit" aspectratio="t"/>
            <w10:wrap type="none"/>
            <w10:anchorlock/>
          </v:shape>
          <o:OLEObject Type="Embed" ProgID="Equation.KSEE3" ShapeID="_x0000_i1029" DrawAspect="Content" ObjectID="_1468075729" r:id="rId46">
            <o:LockedField>false</o:LockedField>
          </o:OLEObject>
        </w:object>
      </w:r>
    </w:p>
    <w:p>
      <w:pPr>
        <w:ind w:firstLine="480"/>
        <w:rPr>
          <w:rFonts w:hint="eastAsia"/>
          <w:u w:val="single"/>
        </w:rPr>
      </w:pPr>
      <w:r>
        <w:rPr>
          <w:rFonts w:hint="eastAsia"/>
          <w:u w:val="single"/>
        </w:rPr>
        <w:t>Amisc的确定参照GB/T17247.2 进行计算。</w:t>
      </w:r>
    </w:p>
    <w:p>
      <w:pPr>
        <w:ind w:firstLine="480"/>
        <w:rPr>
          <w:rFonts w:hint="eastAsia"/>
          <w:u w:val="single"/>
        </w:rPr>
      </w:pPr>
      <w:r>
        <w:rPr>
          <w:rFonts w:hint="eastAsia"/>
          <w:u w:val="single"/>
        </w:rPr>
        <w:t>注：在计算了屏障衰减后，不再考虑地面效应衰减。</w:t>
      </w:r>
    </w:p>
    <w:p>
      <w:pPr>
        <w:ind w:firstLine="480"/>
        <w:rPr>
          <w:rFonts w:hint="eastAsia"/>
          <w:u w:val="single"/>
        </w:rPr>
      </w:pPr>
      <w:r>
        <w:rPr>
          <w:rFonts w:hint="eastAsia"/>
          <w:u w:val="single"/>
        </w:rPr>
        <w:t>（2）对于室内声源</w:t>
      </w:r>
    </w:p>
    <w:p>
      <w:pPr>
        <w:ind w:firstLine="480"/>
        <w:rPr>
          <w:rFonts w:hint="eastAsia"/>
          <w:u w:val="single"/>
        </w:rPr>
      </w:pPr>
      <w:r>
        <w:rPr>
          <w:rFonts w:hint="eastAsia"/>
          <w:u w:val="single"/>
        </w:rPr>
        <w:t>①计算某一室内声源靠近围护结构处产生的倍频带声压级：</w:t>
      </w:r>
    </w:p>
    <w:p>
      <w:pPr>
        <w:ind w:firstLine="0" w:firstLineChars="0"/>
        <w:jc w:val="center"/>
        <w:rPr>
          <w:rFonts w:hint="eastAsia"/>
          <w:u w:val="single"/>
        </w:rPr>
      </w:pPr>
      <w:r>
        <w:rPr>
          <w:rFonts w:hint="eastAsia"/>
          <w:position w:val="-24"/>
          <w:u w:val="single"/>
        </w:rPr>
        <w:object>
          <v:shape id="_x0000_i1030" o:spt="75" type="#_x0000_t75" style="height:34.3pt;width:133.7pt;" o:ole="t" filled="f" o:preferrelative="t" stroked="f" coordsize="21600,21600">
            <v:path/>
            <v:fill on="f" focussize="0,0"/>
            <v:stroke on="f"/>
            <v:imagedata r:id="rId49" o:title=""/>
            <o:lock v:ext="edit" aspectratio="t"/>
            <w10:wrap type="none"/>
            <w10:anchorlock/>
          </v:shape>
          <o:OLEObject Type="Embed" ProgID="Equation.KSEE3" ShapeID="_x0000_i1030" DrawAspect="Content" ObjectID="_1468075730" r:id="rId48">
            <o:LockedField>false</o:LockedField>
          </o:OLEObject>
        </w:object>
      </w:r>
    </w:p>
    <w:p>
      <w:pPr>
        <w:ind w:firstLine="480"/>
        <w:rPr>
          <w:rFonts w:hint="eastAsia"/>
          <w:u w:val="single"/>
        </w:rPr>
      </w:pPr>
      <w:r>
        <w:rPr>
          <w:rFonts w:hint="eastAsia"/>
          <w:u w:val="single"/>
        </w:rPr>
        <w:t>式中：Q——指向性因数，通常指无指向性声源，当声源放在放在房间中心时，Q=1；当放在一面墙的中心时，Q=2；当放在两面墙夹角处时，Q=4；当放在三面墙夹角处时，Q=8。</w:t>
      </w:r>
    </w:p>
    <w:p>
      <w:pPr>
        <w:ind w:firstLine="480"/>
        <w:rPr>
          <w:rFonts w:hint="eastAsia"/>
          <w:u w:val="single"/>
        </w:rPr>
      </w:pPr>
      <w:r>
        <w:rPr>
          <w:rFonts w:hint="eastAsia"/>
          <w:u w:val="single"/>
        </w:rPr>
        <w:t>R——房间常数，R=S</w:t>
      </w:r>
      <w:r>
        <w:rPr>
          <w:u w:val="single"/>
        </w:rPr>
        <w:t>α</w:t>
      </w:r>
      <w:r>
        <w:rPr>
          <w:rFonts w:hint="eastAsia"/>
          <w:u w:val="single"/>
        </w:rPr>
        <w:t>/（1-</w:t>
      </w:r>
      <w:r>
        <w:rPr>
          <w:u w:val="single"/>
        </w:rPr>
        <w:t>α</w:t>
      </w:r>
      <w:r>
        <w:rPr>
          <w:rFonts w:hint="eastAsia"/>
          <w:u w:val="single"/>
        </w:rPr>
        <w:t>），S为房间内表面面积，m</w:t>
      </w:r>
      <w:r>
        <w:rPr>
          <w:rFonts w:hint="eastAsia"/>
          <w:u w:val="single"/>
          <w:vertAlign w:val="superscript"/>
        </w:rPr>
        <w:t>2</w:t>
      </w:r>
      <w:r>
        <w:rPr>
          <w:rFonts w:hint="eastAsia"/>
          <w:u w:val="single"/>
        </w:rPr>
        <w:t>；</w:t>
      </w:r>
      <w:r>
        <w:rPr>
          <w:u w:val="single"/>
        </w:rPr>
        <w:t>α</w:t>
      </w:r>
      <w:r>
        <w:rPr>
          <w:rFonts w:hint="eastAsia"/>
          <w:u w:val="single"/>
        </w:rPr>
        <w:t>为平均吸声系数；</w:t>
      </w:r>
    </w:p>
    <w:p>
      <w:pPr>
        <w:ind w:firstLine="480"/>
        <w:rPr>
          <w:rFonts w:hint="eastAsia"/>
          <w:u w:val="single"/>
        </w:rPr>
      </w:pPr>
      <w:r>
        <w:rPr>
          <w:rFonts w:hint="eastAsia"/>
          <w:u w:val="single"/>
        </w:rPr>
        <w:t>R——声源到靠近围护结构某点处的距离，m。</w:t>
      </w:r>
    </w:p>
    <w:p>
      <w:pPr>
        <w:ind w:firstLine="480"/>
        <w:rPr>
          <w:rFonts w:hint="eastAsia"/>
          <w:u w:val="single"/>
        </w:rPr>
      </w:pPr>
      <w:r>
        <w:rPr>
          <w:rFonts w:hint="eastAsia"/>
          <w:u w:val="single"/>
        </w:rPr>
        <w:t>②计算所有室内声源在围护结构处产生的 i 倍频带叠加声压级：</w:t>
      </w:r>
    </w:p>
    <w:p>
      <w:pPr>
        <w:ind w:firstLine="0" w:firstLineChars="0"/>
        <w:jc w:val="center"/>
        <w:rPr>
          <w:rFonts w:hint="eastAsia"/>
          <w:u w:val="single"/>
        </w:rPr>
      </w:pPr>
      <w:r>
        <w:rPr>
          <w:rFonts w:hint="eastAsia"/>
          <w:position w:val="-34"/>
          <w:u w:val="single"/>
        </w:rPr>
        <w:object>
          <v:shape id="_x0000_i1031" o:spt="75" type="#_x0000_t75" style="height:47.6pt;width:134.25pt;" o:ole="t" filled="f" o:preferrelative="t" stroked="f" coordsize="21600,21600">
            <v:path/>
            <v:fill on="f" focussize="0,0"/>
            <v:stroke on="f"/>
            <v:imagedata r:id="rId51" o:title=""/>
            <o:lock v:ext="edit" aspectratio="t"/>
            <w10:wrap type="none"/>
            <w10:anchorlock/>
          </v:shape>
          <o:OLEObject Type="Embed" ProgID="Equation.KSEE3" ShapeID="_x0000_i1031" DrawAspect="Content" ObjectID="_1468075731" r:id="rId50">
            <o:LockedField>false</o:LockedField>
          </o:OLEObject>
        </w:object>
      </w:r>
    </w:p>
    <w:p>
      <w:pPr>
        <w:ind w:firstLine="480"/>
        <w:rPr>
          <w:rFonts w:hint="eastAsia"/>
          <w:u w:val="single"/>
        </w:rPr>
      </w:pPr>
      <w:r>
        <w:rPr>
          <w:rFonts w:hint="eastAsia"/>
          <w:u w:val="single"/>
        </w:rPr>
        <w:t>式中：</w:t>
      </w:r>
    </w:p>
    <w:p>
      <w:pPr>
        <w:ind w:firstLine="480"/>
        <w:rPr>
          <w:rFonts w:hint="eastAsia"/>
          <w:u w:val="single"/>
        </w:rPr>
      </w:pPr>
      <w:r>
        <w:rPr>
          <w:rFonts w:hint="eastAsia"/>
          <w:i/>
          <w:iCs/>
          <w:u w:val="single"/>
        </w:rPr>
        <w:t>L</w:t>
      </w:r>
      <w:r>
        <w:rPr>
          <w:rFonts w:hint="eastAsia"/>
          <w:i/>
          <w:iCs/>
          <w:u w:val="single"/>
          <w:vertAlign w:val="subscript"/>
        </w:rPr>
        <w:t>p1i</w:t>
      </w:r>
      <w:r>
        <w:rPr>
          <w:rFonts w:hint="eastAsia"/>
          <w:i/>
          <w:iCs/>
          <w:u w:val="single"/>
        </w:rPr>
        <w:t>（T）</w:t>
      </w:r>
      <w:r>
        <w:rPr>
          <w:rFonts w:hint="eastAsia"/>
          <w:u w:val="single"/>
        </w:rPr>
        <w:t>——靠近围护结构处室内N个声源i倍频带的叠加声压级，dB；</w:t>
      </w:r>
    </w:p>
    <w:p>
      <w:pPr>
        <w:ind w:firstLine="480"/>
        <w:rPr>
          <w:rFonts w:hint="eastAsia"/>
          <w:u w:val="single"/>
        </w:rPr>
      </w:pPr>
      <w:r>
        <w:rPr>
          <w:rFonts w:hint="eastAsia"/>
          <w:i/>
          <w:iCs/>
          <w:u w:val="single"/>
        </w:rPr>
        <w:t>L</w:t>
      </w:r>
      <w:r>
        <w:rPr>
          <w:rFonts w:hint="eastAsia"/>
          <w:i/>
          <w:iCs/>
          <w:u w:val="single"/>
          <w:vertAlign w:val="subscript"/>
        </w:rPr>
        <w:t>P1ij</w:t>
      </w:r>
      <w:r>
        <w:rPr>
          <w:rFonts w:hint="eastAsia"/>
          <w:u w:val="single"/>
        </w:rPr>
        <w:t>——室内j声源i倍频带的声压级，dB；</w:t>
      </w:r>
    </w:p>
    <w:p>
      <w:pPr>
        <w:ind w:firstLine="480"/>
        <w:rPr>
          <w:rFonts w:hint="eastAsia"/>
          <w:u w:val="single"/>
        </w:rPr>
      </w:pPr>
      <w:r>
        <w:rPr>
          <w:rFonts w:hint="eastAsia"/>
          <w:u w:val="single"/>
        </w:rPr>
        <w:t>N——室内声源总数。</w:t>
      </w:r>
    </w:p>
    <w:p>
      <w:pPr>
        <w:ind w:firstLine="480"/>
        <w:rPr>
          <w:rFonts w:hint="eastAsia"/>
          <w:u w:val="single"/>
        </w:rPr>
      </w:pPr>
      <w:r>
        <w:rPr>
          <w:rFonts w:hint="eastAsia"/>
          <w:u w:val="single"/>
        </w:rPr>
        <w:t>③计算靠近室外围护结构处的声压级：</w:t>
      </w:r>
    </w:p>
    <w:p>
      <w:pPr>
        <w:ind w:firstLine="0" w:firstLineChars="0"/>
        <w:jc w:val="center"/>
        <w:rPr>
          <w:rFonts w:hint="eastAsia"/>
          <w:sz w:val="28"/>
          <w:szCs w:val="28"/>
          <w:u w:val="single"/>
        </w:rPr>
      </w:pPr>
      <w:r>
        <w:rPr>
          <w:rFonts w:hint="eastAsia"/>
          <w:position w:val="-10"/>
          <w:sz w:val="28"/>
          <w:szCs w:val="28"/>
          <w:u w:val="single"/>
        </w:rPr>
        <w:object>
          <v:shape id="_x0000_i1032" o:spt="75" type="#_x0000_t75" style="height:23.9pt;width:180.1pt;" o:ole="t" filled="f" o:preferrelative="t" stroked="f" coordsize="21600,21600">
            <v:path/>
            <v:fill on="f" focussize="0,0"/>
            <v:stroke on="f"/>
            <v:imagedata r:id="rId53" o:title=""/>
            <o:lock v:ext="edit" aspectratio="t"/>
            <w10:wrap type="none"/>
            <w10:anchorlock/>
          </v:shape>
          <o:OLEObject Type="Embed" ProgID="Equation.KSEE3" ShapeID="_x0000_i1032" DrawAspect="Content" ObjectID="_1468075732" r:id="rId52">
            <o:LockedField>false</o:LockedField>
          </o:OLEObject>
        </w:object>
      </w:r>
    </w:p>
    <w:p>
      <w:pPr>
        <w:ind w:firstLine="560"/>
        <w:rPr>
          <w:rFonts w:hint="eastAsia"/>
          <w:sz w:val="28"/>
          <w:szCs w:val="28"/>
          <w:u w:val="single"/>
        </w:rPr>
      </w:pPr>
      <w:r>
        <w:rPr>
          <w:rFonts w:hint="eastAsia"/>
          <w:sz w:val="28"/>
          <w:szCs w:val="28"/>
          <w:u w:val="single"/>
        </w:rPr>
        <w:t>式中：</w:t>
      </w:r>
    </w:p>
    <w:p>
      <w:pPr>
        <w:ind w:firstLine="560"/>
        <w:rPr>
          <w:rFonts w:hint="eastAsia"/>
          <w:u w:val="single"/>
        </w:rPr>
      </w:pPr>
      <w:r>
        <w:rPr>
          <w:rFonts w:hint="eastAsia"/>
          <w:i/>
          <w:iCs/>
          <w:sz w:val="28"/>
          <w:szCs w:val="28"/>
          <w:u w:val="single"/>
        </w:rPr>
        <w:t>L</w:t>
      </w:r>
      <w:r>
        <w:rPr>
          <w:rFonts w:hint="eastAsia"/>
          <w:i/>
          <w:iCs/>
          <w:sz w:val="28"/>
          <w:szCs w:val="28"/>
          <w:u w:val="single"/>
          <w:vertAlign w:val="subscript"/>
        </w:rPr>
        <w:t>P2i</w:t>
      </w:r>
      <w:r>
        <w:rPr>
          <w:rFonts w:hint="eastAsia"/>
          <w:i/>
          <w:iCs/>
          <w:sz w:val="28"/>
          <w:szCs w:val="28"/>
          <w:u w:val="single"/>
        </w:rPr>
        <w:t>（T）</w:t>
      </w:r>
      <w:r>
        <w:rPr>
          <w:rFonts w:hint="eastAsia"/>
          <w:sz w:val="28"/>
          <w:szCs w:val="28"/>
          <w:u w:val="single"/>
        </w:rPr>
        <w:t>——</w:t>
      </w:r>
      <w:r>
        <w:rPr>
          <w:rFonts w:hint="eastAsia"/>
          <w:u w:val="single"/>
        </w:rPr>
        <w:t>靠近围护结构处室内N个声源i倍频带的叠加声压级，dB；</w:t>
      </w:r>
    </w:p>
    <w:p>
      <w:pPr>
        <w:ind w:firstLine="480"/>
        <w:rPr>
          <w:rFonts w:hint="eastAsia"/>
          <w:u w:val="single"/>
        </w:rPr>
      </w:pPr>
      <w:r>
        <w:rPr>
          <w:rFonts w:hint="eastAsia"/>
          <w:i/>
          <w:iCs/>
          <w:u w:val="single"/>
        </w:rPr>
        <w:t>TL</w:t>
      </w:r>
      <w:r>
        <w:rPr>
          <w:rFonts w:hint="eastAsia"/>
          <w:i/>
          <w:iCs/>
          <w:u w:val="single"/>
          <w:vertAlign w:val="subscript"/>
        </w:rPr>
        <w:t>i</w:t>
      </w:r>
      <w:r>
        <w:rPr>
          <w:rFonts w:hint="eastAsia"/>
          <w:u w:val="single"/>
        </w:rPr>
        <w:t>——围护结构i倍频带的隔声量，dB。</w:t>
      </w:r>
    </w:p>
    <w:p>
      <w:pPr>
        <w:ind w:firstLine="480"/>
        <w:rPr>
          <w:rFonts w:hint="eastAsia"/>
          <w:u w:val="single"/>
        </w:rPr>
      </w:pPr>
      <w:r>
        <w:rPr>
          <w:rFonts w:hint="eastAsia"/>
          <w:u w:val="single"/>
        </w:rPr>
        <w:t>④将室外声源的声压级和透过面积换算成等效的室外声源，计算出中心位置位于透声面积（S）处的等效声源的倍频带声功率级。</w:t>
      </w:r>
    </w:p>
    <w:p>
      <w:pPr>
        <w:ind w:firstLine="0" w:firstLineChars="0"/>
        <w:jc w:val="center"/>
        <w:rPr>
          <w:rFonts w:hint="eastAsia"/>
          <w:u w:val="single"/>
        </w:rPr>
      </w:pPr>
      <w:r>
        <w:rPr>
          <w:rFonts w:hint="eastAsia"/>
          <w:position w:val="-10"/>
          <w:u w:val="single"/>
        </w:rPr>
        <w:object>
          <v:shape id="_x0000_i1033" o:spt="75" type="#_x0000_t75" style="height:23.9pt;width:149.95pt;" o:ole="t" filled="f" o:preferrelative="t" stroked="f" coordsize="21600,21600">
            <v:path/>
            <v:fill on="f" focussize="0,0"/>
            <v:stroke on="f"/>
            <v:imagedata r:id="rId55" o:title=""/>
            <o:lock v:ext="edit" aspectratio="t"/>
            <w10:wrap type="none"/>
            <w10:anchorlock/>
          </v:shape>
          <o:OLEObject Type="Embed" ProgID="Equation.KSEE3" ShapeID="_x0000_i1033" DrawAspect="Content" ObjectID="_1468075733" r:id="rId54">
            <o:LockedField>false</o:LockedField>
          </o:OLEObject>
        </w:object>
      </w:r>
    </w:p>
    <w:p>
      <w:pPr>
        <w:ind w:firstLine="480"/>
        <w:rPr>
          <w:rFonts w:hint="eastAsia"/>
          <w:u w:val="single"/>
        </w:rPr>
      </w:pPr>
      <w:r>
        <w:rPr>
          <w:rFonts w:hint="eastAsia"/>
          <w:u w:val="single"/>
        </w:rPr>
        <w:t>然后按室外声源预测方法计算预测点处的 A 声级。</w:t>
      </w:r>
    </w:p>
    <w:p>
      <w:pPr>
        <w:ind w:firstLine="480"/>
        <w:rPr>
          <w:rFonts w:hint="eastAsia"/>
          <w:u w:val="single"/>
        </w:rPr>
      </w:pPr>
      <w:r>
        <w:rPr>
          <w:rFonts w:hint="eastAsia"/>
          <w:u w:val="single"/>
        </w:rPr>
        <w:t>（3）噪声贡献值计算</w:t>
      </w:r>
    </w:p>
    <w:p>
      <w:pPr>
        <w:ind w:firstLine="480"/>
        <w:rPr>
          <w:rFonts w:hint="eastAsia"/>
          <w:u w:val="single"/>
        </w:rPr>
      </w:pPr>
      <w:r>
        <w:rPr>
          <w:rFonts w:hint="eastAsia"/>
          <w:u w:val="single"/>
        </w:rPr>
        <w:t>设第i个室外声源在预测点产生的A声级为L</w:t>
      </w:r>
      <w:r>
        <w:rPr>
          <w:rFonts w:hint="eastAsia"/>
          <w:u w:val="single"/>
          <w:vertAlign w:val="subscript"/>
        </w:rPr>
        <w:t>Ai</w:t>
      </w:r>
      <w:r>
        <w:rPr>
          <w:rFonts w:hint="eastAsia"/>
          <w:u w:val="single"/>
        </w:rPr>
        <w:t>，在T时间内该声源工作时间为t</w:t>
      </w:r>
      <w:r>
        <w:rPr>
          <w:rFonts w:hint="eastAsia"/>
          <w:u w:val="single"/>
          <w:vertAlign w:val="subscript"/>
        </w:rPr>
        <w:t>i</w:t>
      </w:r>
      <w:r>
        <w:rPr>
          <w:rFonts w:hint="eastAsia"/>
          <w:u w:val="single"/>
        </w:rPr>
        <w:t>；第j个等效室外声源在预测点产生的A声级为L</w:t>
      </w:r>
      <w:r>
        <w:rPr>
          <w:rFonts w:hint="eastAsia"/>
          <w:u w:val="single"/>
          <w:vertAlign w:val="subscript"/>
        </w:rPr>
        <w:t>Aj</w:t>
      </w:r>
      <w:r>
        <w:rPr>
          <w:rFonts w:hint="eastAsia"/>
          <w:u w:val="single"/>
        </w:rPr>
        <w:t>，在T时间内该声源工作时间为t</w:t>
      </w:r>
      <w:r>
        <w:rPr>
          <w:rFonts w:hint="eastAsia"/>
          <w:u w:val="single"/>
          <w:vertAlign w:val="subscript"/>
        </w:rPr>
        <w:t>j</w:t>
      </w:r>
      <w:r>
        <w:rPr>
          <w:rFonts w:hint="eastAsia"/>
          <w:u w:val="single"/>
        </w:rPr>
        <w:t>，则拟建工程声源对预测点产生的贡献值（L</w:t>
      </w:r>
      <w:r>
        <w:rPr>
          <w:rFonts w:hint="eastAsia"/>
          <w:u w:val="single"/>
          <w:vertAlign w:val="subscript"/>
        </w:rPr>
        <w:t>eqg</w:t>
      </w:r>
      <w:r>
        <w:rPr>
          <w:rFonts w:hint="eastAsia"/>
          <w:u w:val="single"/>
        </w:rPr>
        <w:t>）为：</w:t>
      </w:r>
    </w:p>
    <w:p>
      <w:pPr>
        <w:ind w:firstLine="0" w:firstLineChars="0"/>
        <w:jc w:val="center"/>
        <w:rPr>
          <w:rFonts w:hint="eastAsia"/>
          <w:u w:val="single"/>
        </w:rPr>
      </w:pPr>
      <w:r>
        <w:rPr>
          <w:rFonts w:hint="eastAsia"/>
          <w:position w:val="-36"/>
          <w:u w:val="single"/>
        </w:rPr>
        <w:object>
          <v:shape id="_x0000_i1034" o:spt="75" type="#_x0000_t75" style="height:41pt;width:182pt;" o:ole="t" filled="f" o:preferrelative="t" stroked="f" coordsize="21600,21600">
            <v:path/>
            <v:fill on="f" focussize="0,0"/>
            <v:stroke on="f"/>
            <v:imagedata r:id="rId57" o:title=""/>
            <o:lock v:ext="edit" aspectratio="t"/>
            <w10:wrap type="none"/>
            <w10:anchorlock/>
          </v:shape>
          <o:OLEObject Type="Embed" ProgID="Equation.KSEE3" ShapeID="_x0000_i1034" DrawAspect="Content" ObjectID="_1468075734" r:id="rId56">
            <o:LockedField>false</o:LockedField>
          </o:OLEObject>
        </w:object>
      </w:r>
    </w:p>
    <w:p>
      <w:pPr>
        <w:ind w:firstLine="480"/>
        <w:rPr>
          <w:rFonts w:hint="eastAsia"/>
          <w:u w:val="single"/>
        </w:rPr>
      </w:pPr>
      <w:r>
        <w:rPr>
          <w:rFonts w:hint="eastAsia"/>
          <w:u w:val="single"/>
        </w:rPr>
        <w:t>式中：</w:t>
      </w:r>
    </w:p>
    <w:p>
      <w:pPr>
        <w:ind w:firstLine="480"/>
        <w:rPr>
          <w:rFonts w:hint="eastAsia"/>
          <w:u w:val="single"/>
        </w:rPr>
      </w:pPr>
      <w:r>
        <w:rPr>
          <w:rFonts w:hint="eastAsia"/>
          <w:i/>
          <w:iCs/>
          <w:u w:val="single"/>
        </w:rPr>
        <w:t>t</w:t>
      </w:r>
      <w:r>
        <w:rPr>
          <w:rFonts w:hint="eastAsia"/>
          <w:i/>
          <w:iCs/>
          <w:u w:val="single"/>
          <w:vertAlign w:val="subscript"/>
        </w:rPr>
        <w:t>j</w:t>
      </w:r>
      <w:r>
        <w:rPr>
          <w:rFonts w:hint="eastAsia"/>
          <w:u w:val="single"/>
        </w:rPr>
        <w:t>——在T时间内j声源工作时间，s；</w:t>
      </w:r>
    </w:p>
    <w:p>
      <w:pPr>
        <w:ind w:firstLine="480"/>
        <w:rPr>
          <w:rFonts w:hint="eastAsia"/>
          <w:u w:val="single"/>
        </w:rPr>
      </w:pPr>
      <w:r>
        <w:rPr>
          <w:rFonts w:hint="eastAsia"/>
          <w:i/>
          <w:iCs/>
          <w:u w:val="single"/>
        </w:rPr>
        <w:t>t</w:t>
      </w:r>
      <w:r>
        <w:rPr>
          <w:rFonts w:hint="eastAsia"/>
          <w:i/>
          <w:iCs/>
          <w:u w:val="single"/>
          <w:vertAlign w:val="subscript"/>
        </w:rPr>
        <w:t>i</w:t>
      </w:r>
      <w:r>
        <w:rPr>
          <w:rFonts w:hint="eastAsia"/>
          <w:u w:val="single"/>
        </w:rPr>
        <w:t>——在T时间内i声源工作时间，s；</w:t>
      </w:r>
    </w:p>
    <w:p>
      <w:pPr>
        <w:ind w:firstLine="480"/>
        <w:rPr>
          <w:rFonts w:hint="eastAsia"/>
          <w:u w:val="single"/>
        </w:rPr>
      </w:pPr>
      <w:r>
        <w:rPr>
          <w:rFonts w:hint="eastAsia"/>
          <w:u w:val="single"/>
        </w:rPr>
        <w:t>T——用于计算等效声级的时间，s；</w:t>
      </w:r>
    </w:p>
    <w:p>
      <w:pPr>
        <w:ind w:firstLine="480"/>
        <w:rPr>
          <w:rFonts w:hint="eastAsia"/>
          <w:u w:val="single"/>
        </w:rPr>
      </w:pPr>
      <w:r>
        <w:rPr>
          <w:rFonts w:hint="eastAsia"/>
          <w:u w:val="single"/>
        </w:rPr>
        <w:t>N——室外声源个数；</w:t>
      </w:r>
    </w:p>
    <w:p>
      <w:pPr>
        <w:ind w:firstLine="480"/>
        <w:rPr>
          <w:rFonts w:hint="eastAsia"/>
          <w:u w:val="single"/>
        </w:rPr>
      </w:pPr>
      <w:r>
        <w:rPr>
          <w:rFonts w:hint="eastAsia"/>
          <w:u w:val="single"/>
        </w:rPr>
        <w:t>M——等效室外声源个数。</w:t>
      </w:r>
    </w:p>
    <w:p>
      <w:pPr>
        <w:ind w:firstLine="480"/>
        <w:rPr>
          <w:rFonts w:hint="eastAsia"/>
          <w:u w:val="single"/>
        </w:rPr>
      </w:pPr>
      <w:r>
        <w:rPr>
          <w:rFonts w:hint="eastAsia"/>
          <w:u w:val="single"/>
        </w:rPr>
        <w:t>选择《环境影响评价技术导则 声环境》（HJ2.4-</w:t>
      </w:r>
      <w:r>
        <w:rPr>
          <w:rFonts w:hint="eastAsia"/>
          <w:u w:val="single"/>
          <w:lang w:val="en-US" w:eastAsia="zh-CN"/>
        </w:rPr>
        <w:t>2021</w:t>
      </w:r>
      <w:r>
        <w:rPr>
          <w:rFonts w:hint="eastAsia"/>
          <w:u w:val="single"/>
        </w:rPr>
        <w:t>）中无指向性点源几何发散衰减模式，预测模式如下：</w:t>
      </w:r>
    </w:p>
    <w:p>
      <w:pPr>
        <w:ind w:firstLine="0" w:firstLineChars="0"/>
        <w:jc w:val="center"/>
        <w:rPr>
          <w:rFonts w:hint="eastAsia"/>
          <w:u w:val="single"/>
        </w:rPr>
      </w:pPr>
      <w:r>
        <w:rPr>
          <w:rFonts w:hint="eastAsia"/>
          <w:position w:val="-20"/>
          <w:u w:val="single"/>
        </w:rPr>
        <w:object>
          <v:shape id="_x0000_i1035" o:spt="75" type="#_x0000_t75" style="height:35.25pt;width:93.45pt;" o:ole="t" filled="f" o:preferrelative="t" stroked="f" coordsize="21600,21600">
            <v:path/>
            <v:fill on="f" focussize="0,0"/>
            <v:stroke on="f"/>
            <v:imagedata r:id="rId59" o:title=""/>
            <o:lock v:ext="edit" aspectratio="t"/>
            <w10:wrap type="none"/>
            <w10:anchorlock/>
          </v:shape>
          <o:OLEObject Type="Embed" ProgID="Equation.KSEE3" ShapeID="_x0000_i1035" DrawAspect="Content" ObjectID="_1468075735" r:id="rId58">
            <o:LockedField>false</o:LockedField>
          </o:OLEObject>
        </w:object>
      </w:r>
    </w:p>
    <w:p>
      <w:pPr>
        <w:ind w:firstLine="480"/>
        <w:rPr>
          <w:rFonts w:hint="eastAsia"/>
          <w:u w:val="single"/>
        </w:rPr>
      </w:pPr>
      <w:r>
        <w:rPr>
          <w:rFonts w:hint="eastAsia"/>
          <w:u w:val="single"/>
        </w:rPr>
        <w:t>式中：</w:t>
      </w:r>
    </w:p>
    <w:p>
      <w:pPr>
        <w:ind w:firstLine="480"/>
        <w:rPr>
          <w:rFonts w:hint="eastAsia"/>
          <w:u w:val="single"/>
        </w:rPr>
      </w:pPr>
      <w:r>
        <w:rPr>
          <w:rFonts w:hint="eastAsia"/>
          <w:u w:val="single"/>
        </w:rPr>
        <w:t>L</w:t>
      </w:r>
      <w:r>
        <w:rPr>
          <w:rFonts w:hint="eastAsia"/>
          <w:u w:val="single"/>
          <w:vertAlign w:val="subscript"/>
        </w:rPr>
        <w:t>Pi</w:t>
      </w:r>
      <w:r>
        <w:rPr>
          <w:rFonts w:hint="eastAsia"/>
          <w:u w:val="single"/>
        </w:rPr>
        <w:t>——第i个噪声源噪声的距离的衰减值，dB（A）；</w:t>
      </w:r>
    </w:p>
    <w:p>
      <w:pPr>
        <w:ind w:firstLine="480"/>
        <w:rPr>
          <w:rFonts w:hint="eastAsia"/>
          <w:u w:val="single"/>
        </w:rPr>
      </w:pPr>
      <w:r>
        <w:rPr>
          <w:rFonts w:hint="eastAsia"/>
          <w:u w:val="single"/>
        </w:rPr>
        <w:t>L</w:t>
      </w:r>
      <w:r>
        <w:rPr>
          <w:rFonts w:hint="eastAsia"/>
          <w:u w:val="single"/>
          <w:vertAlign w:val="subscript"/>
        </w:rPr>
        <w:t>0i</w:t>
      </w:r>
      <w:r>
        <w:rPr>
          <w:rFonts w:hint="eastAsia"/>
          <w:u w:val="single"/>
        </w:rPr>
        <w:t>——第i个噪声源的A声级，dB（A）；</w:t>
      </w:r>
    </w:p>
    <w:p>
      <w:pPr>
        <w:ind w:firstLine="480"/>
        <w:rPr>
          <w:rFonts w:hint="eastAsia"/>
          <w:u w:val="single"/>
        </w:rPr>
      </w:pPr>
      <w:r>
        <w:rPr>
          <w:rFonts w:hint="eastAsia"/>
          <w:u w:val="single"/>
        </w:rPr>
        <w:t>r</w:t>
      </w:r>
      <w:r>
        <w:rPr>
          <w:rFonts w:hint="eastAsia"/>
          <w:u w:val="single"/>
          <w:vertAlign w:val="subscript"/>
        </w:rPr>
        <w:t>i</w:t>
      </w:r>
      <w:r>
        <w:rPr>
          <w:rFonts w:hint="eastAsia"/>
          <w:u w:val="single"/>
        </w:rPr>
        <w:t>——第i个噪声源噪声衰减距离，m；</w:t>
      </w:r>
    </w:p>
    <w:p>
      <w:pPr>
        <w:ind w:firstLine="480"/>
        <w:rPr>
          <w:rFonts w:hint="eastAsia"/>
          <w:u w:val="single"/>
        </w:rPr>
      </w:pPr>
      <w:r>
        <w:rPr>
          <w:rFonts w:hint="eastAsia"/>
          <w:u w:val="single"/>
        </w:rPr>
        <w:t>r</w:t>
      </w:r>
      <w:r>
        <w:rPr>
          <w:rFonts w:hint="eastAsia"/>
          <w:u w:val="single"/>
          <w:vertAlign w:val="subscript"/>
        </w:rPr>
        <w:t>oi</w:t>
      </w:r>
      <w:r>
        <w:rPr>
          <w:rFonts w:hint="eastAsia"/>
          <w:u w:val="single"/>
        </w:rPr>
        <w:t>——距离声源1m处，m；</w:t>
      </w:r>
    </w:p>
    <w:p>
      <w:pPr>
        <w:ind w:firstLine="480"/>
        <w:rPr>
          <w:rFonts w:hint="eastAsia"/>
          <w:u w:val="single"/>
        </w:rPr>
      </w:pPr>
      <w:r>
        <w:rPr>
          <w:rFonts w:hint="eastAsia"/>
          <w:u w:val="single"/>
        </w:rPr>
        <w:t>多点源对计算点的影响采用高声源叠加模式：</w:t>
      </w:r>
    </w:p>
    <w:p>
      <w:pPr>
        <w:ind w:firstLine="0" w:firstLineChars="0"/>
        <w:jc w:val="center"/>
        <w:rPr>
          <w:rFonts w:hint="eastAsia"/>
          <w:u w:val="single"/>
        </w:rPr>
      </w:pPr>
      <w:r>
        <w:rPr>
          <w:rFonts w:hint="eastAsia"/>
          <w:position w:val="-32"/>
          <w:u w:val="single"/>
        </w:rPr>
        <w:object>
          <v:shape id="_x0000_i1036" o:spt="75" type="#_x0000_t75" style="height:42.85pt;width:97.25pt;" o:ole="t" filled="f" o:preferrelative="t" stroked="f" coordsize="21600,21600">
            <v:path/>
            <v:fill on="f" focussize="0,0"/>
            <v:stroke on="f"/>
            <v:imagedata r:id="rId61" o:title=""/>
            <o:lock v:ext="edit" aspectratio="t"/>
            <w10:wrap type="none"/>
            <w10:anchorlock/>
          </v:shape>
          <o:OLEObject Type="Embed" ProgID="Equation.KSEE3" ShapeID="_x0000_i1036" DrawAspect="Content" ObjectID="_1468075736" r:id="rId60">
            <o:LockedField>false</o:LockedField>
          </o:OLEObject>
        </w:object>
      </w:r>
    </w:p>
    <w:p>
      <w:pPr>
        <w:ind w:firstLine="480"/>
        <w:rPr>
          <w:rFonts w:hint="eastAsia"/>
          <w:u w:val="single"/>
        </w:rPr>
      </w:pPr>
      <w:r>
        <w:rPr>
          <w:rFonts w:hint="eastAsia"/>
          <w:u w:val="single"/>
        </w:rPr>
        <w:t>式中：</w:t>
      </w:r>
    </w:p>
    <w:p>
      <w:pPr>
        <w:ind w:firstLine="480"/>
        <w:rPr>
          <w:rFonts w:hint="eastAsia"/>
          <w:u w:val="single"/>
        </w:rPr>
      </w:pPr>
      <w:r>
        <w:rPr>
          <w:rFonts w:hint="eastAsia"/>
          <w:u w:val="single"/>
        </w:rPr>
        <w:t>L——某点噪声总叠加值，dB（A）；</w:t>
      </w:r>
    </w:p>
    <w:p>
      <w:pPr>
        <w:ind w:firstLine="480"/>
        <w:rPr>
          <w:rFonts w:hint="eastAsia"/>
          <w:u w:val="single"/>
        </w:rPr>
      </w:pPr>
      <w:r>
        <w:rPr>
          <w:rFonts w:hint="eastAsia"/>
          <w:u w:val="single"/>
        </w:rPr>
        <w:t>L</w:t>
      </w:r>
      <w:r>
        <w:rPr>
          <w:rFonts w:hint="eastAsia"/>
          <w:u w:val="single"/>
          <w:vertAlign w:val="subscript"/>
        </w:rPr>
        <w:t>i</w:t>
      </w:r>
      <w:r>
        <w:rPr>
          <w:rFonts w:hint="eastAsia"/>
          <w:u w:val="single"/>
        </w:rPr>
        <w:t>——第i个声源的噪声值，dB（A）；</w:t>
      </w:r>
    </w:p>
    <w:p>
      <w:pPr>
        <w:ind w:firstLine="480"/>
        <w:rPr>
          <w:rFonts w:hint="eastAsia"/>
          <w:u w:val="single"/>
        </w:rPr>
      </w:pPr>
      <w:r>
        <w:rPr>
          <w:rFonts w:hint="eastAsia"/>
          <w:u w:val="single"/>
        </w:rPr>
        <w:t>n——噪声源个数。</w:t>
      </w:r>
    </w:p>
    <w:p>
      <w:pPr>
        <w:ind w:firstLine="480"/>
        <w:rPr>
          <w:rFonts w:hint="eastAsia"/>
          <w:u w:val="single"/>
        </w:rPr>
      </w:pPr>
      <w:r>
        <w:rPr>
          <w:rFonts w:hint="eastAsia"/>
          <w:u w:val="single"/>
        </w:rPr>
        <w:t>本次噪声预测选用宁波环科院按照《环境影响评价技术导则 声环境》（HJ2.4-</w:t>
      </w:r>
      <w:r>
        <w:rPr>
          <w:rFonts w:hint="eastAsia"/>
          <w:u w:val="single"/>
          <w:lang w:val="en-US" w:eastAsia="zh-CN"/>
        </w:rPr>
        <w:t>2021</w:t>
      </w:r>
      <w:r>
        <w:rPr>
          <w:rFonts w:hint="eastAsia"/>
          <w:u w:val="single"/>
        </w:rPr>
        <w:t>）开发的噪声预测软件。项目大部分产噪设备位于室内，因此需要对室内源进行预处理为室外源，计算模式如下：</w:t>
      </w:r>
    </w:p>
    <w:p>
      <w:pPr>
        <w:ind w:firstLine="480"/>
        <w:rPr>
          <w:rFonts w:hint="eastAsia"/>
          <w:u w:val="single"/>
        </w:rPr>
      </w:pPr>
      <w:r>
        <w:rPr>
          <w:rFonts w:hint="eastAsia"/>
          <w:u w:val="single"/>
        </w:rPr>
        <w:t>①计算出某个室内靠近围护结构处的倍频带声压级：</w:t>
      </w:r>
    </w:p>
    <w:p>
      <w:pPr>
        <w:ind w:firstLine="0" w:firstLineChars="0"/>
        <w:jc w:val="center"/>
        <w:rPr>
          <w:rFonts w:hint="eastAsia"/>
          <w:u w:val="single"/>
        </w:rPr>
      </w:pPr>
      <w:r>
        <w:rPr>
          <w:rFonts w:hint="eastAsia"/>
          <w:position w:val="-24"/>
          <w:u w:val="single"/>
        </w:rPr>
        <w:object>
          <v:shape id="_x0000_i1037" o:spt="75" type="#_x0000_t75" style="height:37.6pt;width:162.05pt;" o:ole="t" filled="f" o:preferrelative="t" stroked="f" coordsize="21600,21600">
            <v:path/>
            <v:fill on="f" focussize="0,0"/>
            <v:stroke on="f"/>
            <v:imagedata r:id="rId63" o:title=""/>
            <o:lock v:ext="edit" aspectratio="t"/>
            <w10:wrap type="none"/>
            <w10:anchorlock/>
          </v:shape>
          <o:OLEObject Type="Embed" ProgID="Equation.KSEE3" ShapeID="_x0000_i1037" DrawAspect="Content" ObjectID="_1468075737" r:id="rId62">
            <o:LockedField>false</o:LockedField>
          </o:OLEObject>
        </w:object>
      </w:r>
    </w:p>
    <w:p>
      <w:pPr>
        <w:ind w:firstLine="480"/>
        <w:rPr>
          <w:rFonts w:hint="eastAsia"/>
          <w:u w:val="single"/>
        </w:rPr>
      </w:pPr>
      <w:r>
        <w:rPr>
          <w:rFonts w:hint="eastAsia"/>
          <w:u w:val="single"/>
        </w:rPr>
        <w:t>式中：L</w:t>
      </w:r>
      <w:r>
        <w:rPr>
          <w:rFonts w:hint="eastAsia"/>
          <w:u w:val="single"/>
          <w:vertAlign w:val="subscript"/>
        </w:rPr>
        <w:t>oct，1</w:t>
      </w:r>
      <w:r>
        <w:rPr>
          <w:rFonts w:hint="eastAsia"/>
          <w:u w:val="single"/>
        </w:rPr>
        <w:t>为某个室内声源在靠近围护结构处产生的倍频带声压级，L</w:t>
      </w:r>
      <w:r>
        <w:rPr>
          <w:rFonts w:hint="eastAsia"/>
          <w:u w:val="single"/>
          <w:vertAlign w:val="subscript"/>
        </w:rPr>
        <w:t>w oct</w:t>
      </w:r>
      <w:r>
        <w:rPr>
          <w:rFonts w:hint="eastAsia"/>
          <w:u w:val="single"/>
        </w:rPr>
        <w:t>为某个声源的倍频带声功率级，r</w:t>
      </w:r>
      <w:r>
        <w:rPr>
          <w:rFonts w:hint="eastAsia"/>
          <w:u w:val="single"/>
          <w:vertAlign w:val="subscript"/>
        </w:rPr>
        <w:t>1</w:t>
      </w:r>
      <w:r>
        <w:rPr>
          <w:rFonts w:hint="eastAsia"/>
          <w:u w:val="single"/>
        </w:rPr>
        <w:t>为室内某个声源与靠近围护结构处的距离，R为房间常数，Q为方向因子。</w:t>
      </w:r>
    </w:p>
    <w:p>
      <w:pPr>
        <w:ind w:firstLine="480"/>
        <w:rPr>
          <w:rFonts w:hint="eastAsia"/>
          <w:u w:val="single"/>
        </w:rPr>
      </w:pPr>
      <w:r>
        <w:rPr>
          <w:rFonts w:hint="eastAsia"/>
          <w:u w:val="single"/>
        </w:rPr>
        <w:t>② 计算出所有室内声源在靠近围护结构处产生的总倍频带声压级：</w:t>
      </w:r>
    </w:p>
    <w:p>
      <w:pPr>
        <w:bidi w:val="0"/>
        <w:rPr>
          <w:rFonts w:hint="eastAsia"/>
          <w:u w:val="single"/>
        </w:rPr>
      </w:pPr>
      <w:r>
        <w:rPr>
          <w:rFonts w:hint="eastAsia"/>
          <w:position w:val="-32"/>
          <w:u w:val="single"/>
        </w:rPr>
        <w:object>
          <v:shape id="_x0000_i1038" o:spt="75" type="#_x0000_t75" style="height:50.35pt;width:165.9pt;" o:ole="t" filled="f" o:preferrelative="t" stroked="f" coordsize="21600,21600">
            <v:path/>
            <v:fill on="f" focussize="0,0"/>
            <v:stroke on="f"/>
            <v:imagedata r:id="rId65" o:title=""/>
            <o:lock v:ext="edit" aspectratio="t"/>
            <w10:wrap type="none"/>
            <w10:anchorlock/>
          </v:shape>
          <o:OLEObject Type="Embed" ProgID="Equation.KSEE3" ShapeID="_x0000_i1038" DrawAspect="Content" ObjectID="_1468075738" r:id="rId64">
            <o:LockedField>false</o:LockedField>
          </o:OLEObject>
        </w:object>
      </w:r>
    </w:p>
    <w:p>
      <w:pPr>
        <w:bidi w:val="0"/>
        <w:rPr>
          <w:rFonts w:hint="eastAsia"/>
          <w:u w:val="single"/>
        </w:rPr>
      </w:pPr>
      <w:r>
        <w:rPr>
          <w:rFonts w:hint="eastAsia"/>
          <w:u w:val="single"/>
          <w:lang w:eastAsia="zh-CN"/>
        </w:rPr>
        <w:t>（</w:t>
      </w:r>
      <w:r>
        <w:rPr>
          <w:rFonts w:hint="eastAsia"/>
          <w:u w:val="single"/>
          <w:lang w:val="en-US" w:eastAsia="zh-CN"/>
        </w:rPr>
        <w:t>4</w:t>
      </w:r>
      <w:r>
        <w:rPr>
          <w:rFonts w:hint="eastAsia"/>
          <w:u w:val="single"/>
          <w:lang w:eastAsia="zh-CN"/>
        </w:rPr>
        <w:t>）</w:t>
      </w:r>
      <w:r>
        <w:rPr>
          <w:rFonts w:hint="eastAsia"/>
          <w:u w:val="single"/>
        </w:rPr>
        <w:t>评价标准</w:t>
      </w:r>
    </w:p>
    <w:p>
      <w:pPr>
        <w:bidi w:val="0"/>
        <w:rPr>
          <w:rFonts w:hint="eastAsia"/>
          <w:u w:val="single"/>
        </w:rPr>
      </w:pPr>
      <w:r>
        <w:rPr>
          <w:rFonts w:hint="eastAsia"/>
          <w:u w:val="single"/>
        </w:rPr>
        <w:t>厂界执行《工业企业厂界环境噪声排放标准》（GB12348-2008）中</w:t>
      </w:r>
      <w:r>
        <w:rPr>
          <w:rFonts w:hint="eastAsia"/>
          <w:u w:val="single"/>
          <w:lang w:val="en-US" w:eastAsia="zh-CN"/>
        </w:rPr>
        <w:t>3</w:t>
      </w:r>
      <w:r>
        <w:rPr>
          <w:rFonts w:hint="eastAsia"/>
          <w:u w:val="single"/>
        </w:rPr>
        <w:t>类标准，标准值为昼间</w:t>
      </w:r>
      <w:r>
        <w:rPr>
          <w:rFonts w:hint="eastAsia"/>
          <w:u w:val="single"/>
          <w:lang w:val="en-US" w:eastAsia="zh-CN"/>
        </w:rPr>
        <w:t>65</w:t>
      </w:r>
      <w:r>
        <w:rPr>
          <w:rFonts w:hint="eastAsia"/>
          <w:u w:val="single"/>
        </w:rPr>
        <w:t>dB(A），夜间</w:t>
      </w:r>
      <w:r>
        <w:rPr>
          <w:rFonts w:hint="eastAsia"/>
          <w:u w:val="single"/>
          <w:lang w:val="en-US" w:eastAsia="zh-CN"/>
        </w:rPr>
        <w:t>55</w:t>
      </w:r>
      <w:r>
        <w:rPr>
          <w:rFonts w:hint="eastAsia"/>
          <w:u w:val="single"/>
        </w:rPr>
        <w:t>dB(A）</w:t>
      </w:r>
      <w:r>
        <w:rPr>
          <w:rFonts w:hint="eastAsia"/>
          <w:u w:val="single"/>
          <w:lang w:eastAsia="zh-CN"/>
        </w:rPr>
        <w:t>，</w:t>
      </w:r>
      <w:r>
        <w:rPr>
          <w:rFonts w:hint="default" w:ascii="Times New Roman" w:hAnsi="Times New Roman" w:cs="Times New Roman"/>
          <w:color w:val="auto"/>
          <w:u w:val="single"/>
        </w:rPr>
        <w:t>由于项目夜间不进行生产活动，故本次评价只考虑昼间噪声影响</w:t>
      </w:r>
      <w:r>
        <w:rPr>
          <w:rFonts w:hint="eastAsia"/>
          <w:u w:val="single"/>
        </w:rPr>
        <w:t>。</w:t>
      </w:r>
    </w:p>
    <w:p>
      <w:pPr>
        <w:bidi w:val="0"/>
        <w:rPr>
          <w:rFonts w:hint="eastAsia"/>
          <w:u w:val="single"/>
        </w:rPr>
      </w:pPr>
      <w:r>
        <w:rPr>
          <w:rFonts w:hint="eastAsia"/>
          <w:u w:val="single"/>
          <w:lang w:eastAsia="zh-CN"/>
        </w:rPr>
        <w:t>（</w:t>
      </w:r>
      <w:r>
        <w:rPr>
          <w:rFonts w:hint="eastAsia"/>
          <w:u w:val="single"/>
          <w:lang w:val="en-US" w:eastAsia="zh-CN"/>
        </w:rPr>
        <w:t>5</w:t>
      </w:r>
      <w:r>
        <w:rPr>
          <w:rFonts w:hint="eastAsia"/>
          <w:u w:val="single"/>
          <w:lang w:eastAsia="zh-CN"/>
        </w:rPr>
        <w:t>）</w:t>
      </w:r>
      <w:r>
        <w:rPr>
          <w:rFonts w:hint="eastAsia"/>
          <w:u w:val="single"/>
        </w:rPr>
        <w:t>预测结果</w:t>
      </w:r>
    </w:p>
    <w:p>
      <w:pPr>
        <w:bidi w:val="0"/>
        <w:rPr>
          <w:rFonts w:hint="eastAsia"/>
          <w:u w:val="single"/>
        </w:rPr>
      </w:pPr>
      <w:r>
        <w:rPr>
          <w:rFonts w:hint="eastAsia"/>
          <w:u w:val="single"/>
        </w:rPr>
        <w:t>正常生产情况下厂界噪声预测结果见表</w:t>
      </w:r>
      <w:r>
        <w:rPr>
          <w:rFonts w:hint="eastAsia"/>
          <w:u w:val="single"/>
          <w:lang w:val="en-US" w:eastAsia="zh-CN"/>
        </w:rPr>
        <w:t>4</w:t>
      </w:r>
      <w:r>
        <w:rPr>
          <w:rFonts w:hint="eastAsia"/>
          <w:u w:val="single"/>
        </w:rPr>
        <w:t>.2-</w:t>
      </w:r>
      <w:r>
        <w:rPr>
          <w:rFonts w:hint="eastAsia"/>
          <w:u w:val="single"/>
          <w:lang w:val="en-US" w:eastAsia="zh-CN"/>
        </w:rPr>
        <w:t>3</w:t>
      </w:r>
      <w:r>
        <w:rPr>
          <w:rFonts w:hint="eastAsia"/>
          <w:u w:val="single"/>
        </w:rPr>
        <w:t>。</w:t>
      </w:r>
    </w:p>
    <w:p>
      <w:pPr>
        <w:ind w:firstLine="0" w:firstLineChars="0"/>
        <w:jc w:val="center"/>
        <w:rPr>
          <w:rFonts w:hint="eastAsia"/>
          <w:b/>
          <w:bCs/>
          <w:sz w:val="21"/>
          <w:szCs w:val="21"/>
          <w:u w:val="single"/>
        </w:rPr>
      </w:pPr>
      <w:r>
        <w:rPr>
          <w:rFonts w:hint="eastAsia"/>
          <w:b/>
          <w:bCs/>
          <w:sz w:val="21"/>
          <w:szCs w:val="21"/>
          <w:u w:val="single"/>
        </w:rPr>
        <w:t>表</w:t>
      </w:r>
      <w:r>
        <w:rPr>
          <w:rFonts w:hint="eastAsia"/>
          <w:b/>
          <w:bCs/>
          <w:sz w:val="21"/>
          <w:szCs w:val="21"/>
          <w:u w:val="single"/>
          <w:lang w:val="en-US" w:eastAsia="zh-CN"/>
        </w:rPr>
        <w:t>4</w:t>
      </w:r>
      <w:r>
        <w:rPr>
          <w:rFonts w:hint="eastAsia"/>
          <w:b/>
          <w:bCs/>
          <w:sz w:val="21"/>
          <w:szCs w:val="21"/>
          <w:u w:val="single"/>
        </w:rPr>
        <w:t>.2-</w:t>
      </w:r>
      <w:r>
        <w:rPr>
          <w:rFonts w:hint="eastAsia"/>
          <w:b/>
          <w:bCs/>
          <w:sz w:val="21"/>
          <w:szCs w:val="21"/>
          <w:u w:val="single"/>
          <w:lang w:val="en-US" w:eastAsia="zh-CN"/>
        </w:rPr>
        <w:t>3</w:t>
      </w:r>
      <w:r>
        <w:rPr>
          <w:rFonts w:hint="eastAsia"/>
          <w:b/>
          <w:bCs/>
          <w:sz w:val="21"/>
          <w:szCs w:val="21"/>
          <w:u w:val="single"/>
        </w:rPr>
        <w:t xml:space="preserve">  厂界噪声预测结果一览表  单位：dB（A）</w:t>
      </w:r>
    </w:p>
    <w:tbl>
      <w:tblPr>
        <w:tblStyle w:val="37"/>
        <w:tblW w:w="5000"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Layout w:type="fixed"/>
        <w:tblCellMar>
          <w:top w:w="0" w:type="dxa"/>
          <w:left w:w="108" w:type="dxa"/>
          <w:bottom w:w="0" w:type="dxa"/>
          <w:right w:w="108" w:type="dxa"/>
        </w:tblCellMar>
      </w:tblPr>
      <w:tblGrid>
        <w:gridCol w:w="1759"/>
        <w:gridCol w:w="1260"/>
        <w:gridCol w:w="1514"/>
        <w:gridCol w:w="1330"/>
        <w:gridCol w:w="1344"/>
        <w:gridCol w:w="1315"/>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9" w:type="dxa"/>
            <w:vMerge w:val="restart"/>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预测点名称</w:t>
            </w:r>
          </w:p>
        </w:tc>
        <w:tc>
          <w:tcPr>
            <w:tcW w:w="126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背景值</w:t>
            </w:r>
          </w:p>
        </w:tc>
        <w:tc>
          <w:tcPr>
            <w:tcW w:w="151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贡献值</w:t>
            </w:r>
          </w:p>
        </w:tc>
        <w:tc>
          <w:tcPr>
            <w:tcW w:w="133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lang w:eastAsia="zh-CN"/>
              </w:rPr>
              <w:t>叠加</w:t>
            </w:r>
            <w:r>
              <w:rPr>
                <w:rFonts w:hint="eastAsia" w:ascii="Times New Roman" w:hAnsi="Times New Roman"/>
                <w:sz w:val="21"/>
                <w:szCs w:val="21"/>
                <w:u w:val="single"/>
              </w:rPr>
              <w:t>值</w:t>
            </w:r>
          </w:p>
        </w:tc>
        <w:tc>
          <w:tcPr>
            <w:tcW w:w="134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标准值</w:t>
            </w:r>
          </w:p>
        </w:tc>
        <w:tc>
          <w:tcPr>
            <w:tcW w:w="1315"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超标量</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PrEx>
        <w:trPr>
          <w:trHeight w:val="397" w:hRule="atLeast"/>
          <w:jc w:val="center"/>
        </w:trPr>
        <w:tc>
          <w:tcPr>
            <w:tcW w:w="1759" w:type="dxa"/>
            <w:vMerge w:val="continue"/>
            <w:noWrap w:val="0"/>
            <w:vAlign w:val="center"/>
          </w:tcPr>
          <w:p>
            <w:pPr>
              <w:spacing w:line="240" w:lineRule="auto"/>
              <w:ind w:firstLine="0" w:firstLineChars="0"/>
              <w:jc w:val="center"/>
              <w:rPr>
                <w:rFonts w:hint="eastAsia" w:ascii="Times New Roman" w:hAnsi="Times New Roman"/>
                <w:sz w:val="21"/>
                <w:szCs w:val="21"/>
                <w:u w:val="single"/>
              </w:rPr>
            </w:pPr>
          </w:p>
        </w:tc>
        <w:tc>
          <w:tcPr>
            <w:tcW w:w="126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昼间</w:t>
            </w:r>
          </w:p>
        </w:tc>
        <w:tc>
          <w:tcPr>
            <w:tcW w:w="151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昼间</w:t>
            </w:r>
          </w:p>
        </w:tc>
        <w:tc>
          <w:tcPr>
            <w:tcW w:w="1330"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昼间</w:t>
            </w:r>
          </w:p>
        </w:tc>
        <w:tc>
          <w:tcPr>
            <w:tcW w:w="1344"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昼间</w:t>
            </w:r>
          </w:p>
        </w:tc>
        <w:tc>
          <w:tcPr>
            <w:tcW w:w="1315"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昼间</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东面厂界外1m</w:t>
            </w:r>
          </w:p>
        </w:tc>
        <w:tc>
          <w:tcPr>
            <w:tcW w:w="1260"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sz w:val="21"/>
                <w:szCs w:val="21"/>
                <w:u w:val="single"/>
                <w:lang w:val="en-US" w:eastAsia="zh-CN"/>
              </w:rPr>
              <w:t>51</w:t>
            </w:r>
          </w:p>
        </w:tc>
        <w:tc>
          <w:tcPr>
            <w:tcW w:w="1514"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50.7</w:t>
            </w:r>
          </w:p>
        </w:tc>
        <w:tc>
          <w:tcPr>
            <w:tcW w:w="1330"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52.57</w:t>
            </w:r>
          </w:p>
        </w:tc>
        <w:tc>
          <w:tcPr>
            <w:tcW w:w="1344"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sz w:val="21"/>
                <w:szCs w:val="21"/>
                <w:u w:val="single"/>
                <w:lang w:val="en-US" w:eastAsia="zh-CN"/>
              </w:rPr>
              <w:t>65</w:t>
            </w:r>
          </w:p>
        </w:tc>
        <w:tc>
          <w:tcPr>
            <w:tcW w:w="1315"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PrEx>
        <w:trPr>
          <w:trHeight w:val="397" w:hRule="atLeast"/>
          <w:jc w:val="center"/>
        </w:trPr>
        <w:tc>
          <w:tcPr>
            <w:tcW w:w="175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南面厂界外1m</w:t>
            </w:r>
          </w:p>
        </w:tc>
        <w:tc>
          <w:tcPr>
            <w:tcW w:w="1260"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sz w:val="21"/>
                <w:szCs w:val="21"/>
                <w:u w:val="single"/>
                <w:lang w:val="en-US" w:eastAsia="zh-CN"/>
              </w:rPr>
              <w:t>52</w:t>
            </w:r>
          </w:p>
        </w:tc>
        <w:tc>
          <w:tcPr>
            <w:tcW w:w="1514"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50.4</w:t>
            </w:r>
          </w:p>
        </w:tc>
        <w:tc>
          <w:tcPr>
            <w:tcW w:w="1330"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52.03</w:t>
            </w:r>
          </w:p>
        </w:tc>
        <w:tc>
          <w:tcPr>
            <w:tcW w:w="1344"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sz w:val="21"/>
                <w:szCs w:val="21"/>
                <w:u w:val="single"/>
                <w:lang w:val="en-US" w:eastAsia="zh-CN"/>
              </w:rPr>
              <w:t>65</w:t>
            </w:r>
          </w:p>
        </w:tc>
        <w:tc>
          <w:tcPr>
            <w:tcW w:w="1315"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西面厂界外1m</w:t>
            </w:r>
          </w:p>
        </w:tc>
        <w:tc>
          <w:tcPr>
            <w:tcW w:w="1260"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sz w:val="21"/>
                <w:szCs w:val="21"/>
                <w:u w:val="single"/>
                <w:lang w:val="en-US" w:eastAsia="zh-CN"/>
              </w:rPr>
              <w:t>50</w:t>
            </w:r>
          </w:p>
        </w:tc>
        <w:tc>
          <w:tcPr>
            <w:tcW w:w="1514"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51.2</w:t>
            </w:r>
          </w:p>
        </w:tc>
        <w:tc>
          <w:tcPr>
            <w:tcW w:w="1330"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52.9</w:t>
            </w:r>
          </w:p>
        </w:tc>
        <w:tc>
          <w:tcPr>
            <w:tcW w:w="1344"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sz w:val="21"/>
                <w:szCs w:val="21"/>
                <w:u w:val="single"/>
                <w:lang w:val="en-US" w:eastAsia="zh-CN"/>
              </w:rPr>
              <w:t>65</w:t>
            </w:r>
          </w:p>
        </w:tc>
        <w:tc>
          <w:tcPr>
            <w:tcW w:w="1315"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PrEx>
        <w:trPr>
          <w:trHeight w:val="397" w:hRule="atLeast"/>
          <w:jc w:val="center"/>
        </w:trPr>
        <w:tc>
          <w:tcPr>
            <w:tcW w:w="1759" w:type="dxa"/>
            <w:noWrap w:val="0"/>
            <w:vAlign w:val="center"/>
          </w:tcPr>
          <w:p>
            <w:pPr>
              <w:spacing w:line="240" w:lineRule="auto"/>
              <w:ind w:firstLine="0" w:firstLineChars="0"/>
              <w:jc w:val="center"/>
              <w:rPr>
                <w:rFonts w:hint="eastAsia" w:ascii="Times New Roman" w:hAnsi="Times New Roman"/>
                <w:sz w:val="21"/>
                <w:szCs w:val="21"/>
                <w:u w:val="single"/>
              </w:rPr>
            </w:pPr>
            <w:r>
              <w:rPr>
                <w:rFonts w:hint="eastAsia" w:ascii="Times New Roman" w:hAnsi="Times New Roman"/>
                <w:sz w:val="21"/>
                <w:szCs w:val="21"/>
                <w:u w:val="single"/>
              </w:rPr>
              <w:t>北面厂界外1m</w:t>
            </w:r>
          </w:p>
        </w:tc>
        <w:tc>
          <w:tcPr>
            <w:tcW w:w="1260"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sz w:val="21"/>
                <w:szCs w:val="21"/>
                <w:u w:val="single"/>
                <w:lang w:val="en-US" w:eastAsia="zh-CN"/>
              </w:rPr>
              <w:t>52</w:t>
            </w:r>
          </w:p>
        </w:tc>
        <w:tc>
          <w:tcPr>
            <w:tcW w:w="1514"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50.3</w:t>
            </w:r>
          </w:p>
        </w:tc>
        <w:tc>
          <w:tcPr>
            <w:tcW w:w="1330"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51.97</w:t>
            </w:r>
          </w:p>
        </w:tc>
        <w:tc>
          <w:tcPr>
            <w:tcW w:w="1344"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sz w:val="21"/>
                <w:szCs w:val="21"/>
                <w:u w:val="single"/>
                <w:lang w:val="en-US" w:eastAsia="zh-CN"/>
              </w:rPr>
              <w:t>65</w:t>
            </w:r>
          </w:p>
        </w:tc>
        <w:tc>
          <w:tcPr>
            <w:tcW w:w="1315" w:type="dxa"/>
            <w:noWrap w:val="0"/>
            <w:vAlign w:val="center"/>
          </w:tcPr>
          <w:p>
            <w:pPr>
              <w:spacing w:line="240" w:lineRule="auto"/>
              <w:ind w:firstLine="0" w:firstLineChars="0"/>
              <w:jc w:val="center"/>
              <w:rPr>
                <w:rFonts w:hint="default" w:ascii="Times New Roman" w:hAnsi="Times New Roman" w:eastAsia="宋体"/>
                <w:sz w:val="21"/>
                <w:szCs w:val="21"/>
                <w:u w:val="single"/>
                <w:lang w:val="en-US" w:eastAsia="zh-CN"/>
              </w:rPr>
            </w:pPr>
            <w:r>
              <w:rPr>
                <w:rFonts w:hint="eastAsia" w:ascii="Times New Roman" w:hAnsi="Times New Roman" w:eastAsia="宋体"/>
                <w:sz w:val="21"/>
                <w:szCs w:val="21"/>
                <w:u w:val="singl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9" w:type="dxa"/>
            <w:noWrap w:val="0"/>
            <w:vAlign w:val="center"/>
          </w:tcPr>
          <w:p>
            <w:pPr>
              <w:spacing w:line="240" w:lineRule="auto"/>
              <w:ind w:firstLine="0" w:firstLineChars="0"/>
              <w:jc w:val="center"/>
              <w:rPr>
                <w:rFonts w:hint="eastAsia" w:ascii="Times New Roman" w:hAnsi="Times New Roman"/>
                <w:color w:val="auto"/>
                <w:sz w:val="21"/>
                <w:szCs w:val="21"/>
                <w:u w:val="single"/>
              </w:rPr>
            </w:pPr>
            <w:r>
              <w:rPr>
                <w:rFonts w:hint="eastAsia"/>
                <w:color w:val="auto"/>
                <w:sz w:val="21"/>
                <w:szCs w:val="21"/>
                <w:u w:val="single"/>
                <w:lang w:eastAsia="zh-CN"/>
              </w:rPr>
              <w:t>提升泵站</w:t>
            </w:r>
            <w:r>
              <w:rPr>
                <w:rFonts w:hint="eastAsia" w:ascii="Times New Roman" w:hAnsi="Times New Roman"/>
                <w:color w:val="auto"/>
                <w:sz w:val="21"/>
                <w:szCs w:val="21"/>
                <w:u w:val="single"/>
              </w:rPr>
              <w:t>东面厂界外1m</w:t>
            </w:r>
          </w:p>
        </w:tc>
        <w:tc>
          <w:tcPr>
            <w:tcW w:w="1260" w:type="dxa"/>
            <w:noWrap w:val="0"/>
            <w:vAlign w:val="center"/>
          </w:tcPr>
          <w:p>
            <w:pPr>
              <w:spacing w:line="240" w:lineRule="auto"/>
              <w:ind w:firstLine="0" w:firstLineChars="0"/>
              <w:jc w:val="center"/>
              <w:rPr>
                <w:rFonts w:hint="default"/>
                <w:color w:val="auto"/>
                <w:sz w:val="21"/>
                <w:szCs w:val="21"/>
                <w:u w:val="single"/>
                <w:lang w:val="en-US" w:eastAsia="zh-CN"/>
              </w:rPr>
            </w:pPr>
            <w:r>
              <w:rPr>
                <w:rFonts w:hint="eastAsia"/>
                <w:color w:val="auto"/>
                <w:sz w:val="21"/>
                <w:szCs w:val="21"/>
                <w:u w:val="single"/>
                <w:lang w:val="en-US" w:eastAsia="zh-CN"/>
              </w:rPr>
              <w:t>50</w:t>
            </w:r>
          </w:p>
        </w:tc>
        <w:tc>
          <w:tcPr>
            <w:tcW w:w="1514" w:type="dxa"/>
            <w:noWrap w:val="0"/>
            <w:vAlign w:val="center"/>
          </w:tcPr>
          <w:p>
            <w:pPr>
              <w:spacing w:line="240" w:lineRule="auto"/>
              <w:ind w:firstLine="0" w:firstLineChars="0"/>
              <w:jc w:val="center"/>
              <w:rPr>
                <w:rFonts w:hint="default" w:ascii="Times New Roman" w:hAnsi="Times New Roman" w:eastAsia="宋体"/>
                <w:color w:val="auto"/>
                <w:sz w:val="21"/>
                <w:szCs w:val="21"/>
                <w:u w:val="single"/>
                <w:lang w:val="en-US" w:eastAsia="zh-CN"/>
              </w:rPr>
            </w:pPr>
            <w:r>
              <w:rPr>
                <w:rFonts w:hint="eastAsia"/>
                <w:color w:val="auto"/>
                <w:sz w:val="21"/>
                <w:szCs w:val="21"/>
                <w:u w:val="single"/>
                <w:lang w:val="en-US" w:eastAsia="zh-CN"/>
              </w:rPr>
              <w:t>49.7</w:t>
            </w:r>
          </w:p>
        </w:tc>
        <w:tc>
          <w:tcPr>
            <w:tcW w:w="1330" w:type="dxa"/>
            <w:noWrap w:val="0"/>
            <w:vAlign w:val="center"/>
          </w:tcPr>
          <w:p>
            <w:pPr>
              <w:spacing w:line="240" w:lineRule="auto"/>
              <w:ind w:firstLine="0" w:firstLineChars="0"/>
              <w:jc w:val="center"/>
              <w:rPr>
                <w:rFonts w:hint="default" w:ascii="Times New Roman" w:hAnsi="Times New Roman" w:eastAsia="宋体"/>
                <w:color w:val="auto"/>
                <w:sz w:val="21"/>
                <w:szCs w:val="21"/>
                <w:u w:val="single"/>
                <w:lang w:val="en-US" w:eastAsia="zh-CN"/>
              </w:rPr>
            </w:pPr>
            <w:r>
              <w:rPr>
                <w:rFonts w:hint="eastAsia"/>
                <w:color w:val="auto"/>
                <w:sz w:val="21"/>
                <w:szCs w:val="21"/>
                <w:u w:val="single"/>
                <w:lang w:val="en-US" w:eastAsia="zh-CN"/>
              </w:rPr>
              <w:t>51.58</w:t>
            </w:r>
          </w:p>
        </w:tc>
        <w:tc>
          <w:tcPr>
            <w:tcW w:w="1344" w:type="dxa"/>
            <w:noWrap w:val="0"/>
            <w:vAlign w:val="center"/>
          </w:tcPr>
          <w:p>
            <w:pPr>
              <w:spacing w:line="240" w:lineRule="auto"/>
              <w:ind w:firstLine="0" w:firstLineChars="0"/>
              <w:jc w:val="center"/>
              <w:rPr>
                <w:rFonts w:hint="eastAsia"/>
                <w:color w:val="auto"/>
                <w:sz w:val="21"/>
                <w:szCs w:val="21"/>
                <w:u w:val="single"/>
                <w:lang w:val="en-US" w:eastAsia="zh-CN"/>
              </w:rPr>
            </w:pPr>
            <w:r>
              <w:rPr>
                <w:rFonts w:hint="eastAsia"/>
                <w:color w:val="auto"/>
                <w:sz w:val="21"/>
                <w:szCs w:val="21"/>
                <w:u w:val="single"/>
                <w:lang w:val="en-US" w:eastAsia="zh-CN"/>
              </w:rPr>
              <w:t>65</w:t>
            </w:r>
          </w:p>
        </w:tc>
        <w:tc>
          <w:tcPr>
            <w:tcW w:w="1315" w:type="dxa"/>
            <w:noWrap w:val="0"/>
            <w:vAlign w:val="center"/>
          </w:tcPr>
          <w:p>
            <w:pPr>
              <w:spacing w:line="240" w:lineRule="auto"/>
              <w:ind w:firstLine="0" w:firstLineChars="0"/>
              <w:jc w:val="center"/>
              <w:rPr>
                <w:rFonts w:hint="eastAsia" w:ascii="Times New Roman" w:hAnsi="Times New Roman" w:eastAsia="宋体"/>
                <w:color w:val="auto"/>
                <w:sz w:val="21"/>
                <w:szCs w:val="21"/>
                <w:u w:val="single"/>
                <w:lang w:val="en-US" w:eastAsia="zh-CN"/>
              </w:rPr>
            </w:pPr>
            <w:r>
              <w:rPr>
                <w:rFonts w:hint="eastAsia" w:ascii="Times New Roman" w:hAnsi="Times New Roman" w:eastAsia="宋体"/>
                <w:color w:val="auto"/>
                <w:sz w:val="21"/>
                <w:szCs w:val="21"/>
                <w:u w:val="singl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PrEx>
        <w:trPr>
          <w:trHeight w:val="397" w:hRule="atLeast"/>
          <w:jc w:val="center"/>
        </w:trPr>
        <w:tc>
          <w:tcPr>
            <w:tcW w:w="1759" w:type="dxa"/>
            <w:noWrap w:val="0"/>
            <w:vAlign w:val="center"/>
          </w:tcPr>
          <w:p>
            <w:pPr>
              <w:spacing w:line="240" w:lineRule="auto"/>
              <w:ind w:firstLine="0" w:firstLineChars="0"/>
              <w:jc w:val="center"/>
              <w:rPr>
                <w:rFonts w:hint="eastAsia" w:ascii="Times New Roman" w:hAnsi="Times New Roman"/>
                <w:color w:val="auto"/>
                <w:sz w:val="21"/>
                <w:szCs w:val="21"/>
                <w:u w:val="single"/>
              </w:rPr>
            </w:pPr>
            <w:r>
              <w:rPr>
                <w:rFonts w:hint="eastAsia"/>
                <w:color w:val="auto"/>
                <w:sz w:val="21"/>
                <w:szCs w:val="21"/>
                <w:u w:val="single"/>
                <w:lang w:eastAsia="zh-CN"/>
              </w:rPr>
              <w:t>提升泵站</w:t>
            </w:r>
            <w:r>
              <w:rPr>
                <w:rFonts w:hint="eastAsia" w:ascii="Times New Roman" w:hAnsi="Times New Roman"/>
                <w:color w:val="auto"/>
                <w:sz w:val="21"/>
                <w:szCs w:val="21"/>
                <w:u w:val="single"/>
              </w:rPr>
              <w:t>南面厂界外1m</w:t>
            </w:r>
          </w:p>
        </w:tc>
        <w:tc>
          <w:tcPr>
            <w:tcW w:w="1260" w:type="dxa"/>
            <w:noWrap w:val="0"/>
            <w:vAlign w:val="center"/>
          </w:tcPr>
          <w:p>
            <w:pPr>
              <w:spacing w:line="240" w:lineRule="auto"/>
              <w:ind w:firstLine="0" w:firstLineChars="0"/>
              <w:jc w:val="center"/>
              <w:rPr>
                <w:rFonts w:hint="default"/>
                <w:color w:val="auto"/>
                <w:sz w:val="21"/>
                <w:szCs w:val="21"/>
                <w:u w:val="single"/>
                <w:lang w:val="en-US" w:eastAsia="zh-CN"/>
              </w:rPr>
            </w:pPr>
            <w:r>
              <w:rPr>
                <w:rFonts w:hint="eastAsia"/>
                <w:color w:val="auto"/>
                <w:sz w:val="21"/>
                <w:szCs w:val="21"/>
                <w:u w:val="single"/>
                <w:lang w:val="en-US" w:eastAsia="zh-CN"/>
              </w:rPr>
              <w:t>51</w:t>
            </w:r>
          </w:p>
        </w:tc>
        <w:tc>
          <w:tcPr>
            <w:tcW w:w="1514" w:type="dxa"/>
            <w:noWrap w:val="0"/>
            <w:vAlign w:val="center"/>
          </w:tcPr>
          <w:p>
            <w:pPr>
              <w:spacing w:line="240" w:lineRule="auto"/>
              <w:ind w:firstLine="0" w:firstLineChars="0"/>
              <w:jc w:val="center"/>
              <w:rPr>
                <w:rFonts w:hint="default" w:ascii="Times New Roman" w:hAnsi="Times New Roman" w:eastAsia="宋体"/>
                <w:color w:val="auto"/>
                <w:sz w:val="21"/>
                <w:szCs w:val="21"/>
                <w:u w:val="single"/>
                <w:lang w:val="en-US" w:eastAsia="zh-CN"/>
              </w:rPr>
            </w:pPr>
            <w:r>
              <w:rPr>
                <w:rFonts w:hint="eastAsia"/>
                <w:color w:val="auto"/>
                <w:sz w:val="21"/>
                <w:szCs w:val="21"/>
                <w:u w:val="single"/>
                <w:lang w:val="en-US" w:eastAsia="zh-CN"/>
              </w:rPr>
              <w:t>49.4</w:t>
            </w:r>
          </w:p>
        </w:tc>
        <w:tc>
          <w:tcPr>
            <w:tcW w:w="1330" w:type="dxa"/>
            <w:noWrap w:val="0"/>
            <w:vAlign w:val="center"/>
          </w:tcPr>
          <w:p>
            <w:pPr>
              <w:spacing w:line="240" w:lineRule="auto"/>
              <w:ind w:firstLine="0" w:firstLineChars="0"/>
              <w:jc w:val="center"/>
              <w:rPr>
                <w:rFonts w:hint="default" w:ascii="Times New Roman" w:hAnsi="Times New Roman" w:eastAsia="宋体"/>
                <w:color w:val="auto"/>
                <w:sz w:val="21"/>
                <w:szCs w:val="21"/>
                <w:u w:val="single"/>
                <w:lang w:val="en-US" w:eastAsia="zh-CN"/>
              </w:rPr>
            </w:pPr>
            <w:r>
              <w:rPr>
                <w:rFonts w:hint="eastAsia"/>
                <w:color w:val="auto"/>
                <w:sz w:val="21"/>
                <w:szCs w:val="21"/>
                <w:u w:val="single"/>
                <w:lang w:val="en-US" w:eastAsia="zh-CN"/>
              </w:rPr>
              <w:t>51.04</w:t>
            </w:r>
          </w:p>
        </w:tc>
        <w:tc>
          <w:tcPr>
            <w:tcW w:w="1344" w:type="dxa"/>
            <w:noWrap w:val="0"/>
            <w:vAlign w:val="center"/>
          </w:tcPr>
          <w:p>
            <w:pPr>
              <w:spacing w:line="240" w:lineRule="auto"/>
              <w:ind w:firstLine="0" w:firstLineChars="0"/>
              <w:jc w:val="center"/>
              <w:rPr>
                <w:rFonts w:hint="eastAsia"/>
                <w:color w:val="auto"/>
                <w:sz w:val="21"/>
                <w:szCs w:val="21"/>
                <w:u w:val="single"/>
                <w:lang w:val="en-US" w:eastAsia="zh-CN"/>
              </w:rPr>
            </w:pPr>
            <w:r>
              <w:rPr>
                <w:rFonts w:hint="eastAsia"/>
                <w:color w:val="auto"/>
                <w:sz w:val="21"/>
                <w:szCs w:val="21"/>
                <w:u w:val="single"/>
                <w:lang w:val="en-US" w:eastAsia="zh-CN"/>
              </w:rPr>
              <w:t>65</w:t>
            </w:r>
          </w:p>
        </w:tc>
        <w:tc>
          <w:tcPr>
            <w:tcW w:w="1315" w:type="dxa"/>
            <w:noWrap w:val="0"/>
            <w:vAlign w:val="center"/>
          </w:tcPr>
          <w:p>
            <w:pPr>
              <w:spacing w:line="240" w:lineRule="auto"/>
              <w:ind w:firstLine="0" w:firstLineChars="0"/>
              <w:jc w:val="center"/>
              <w:rPr>
                <w:rFonts w:hint="eastAsia" w:ascii="Times New Roman" w:hAnsi="Times New Roman" w:eastAsia="宋体"/>
                <w:color w:val="auto"/>
                <w:sz w:val="21"/>
                <w:szCs w:val="21"/>
                <w:u w:val="single"/>
                <w:lang w:val="en-US" w:eastAsia="zh-CN"/>
              </w:rPr>
            </w:pPr>
            <w:r>
              <w:rPr>
                <w:rFonts w:hint="eastAsia" w:ascii="Times New Roman" w:hAnsi="Times New Roman" w:eastAsia="宋体"/>
                <w:color w:val="auto"/>
                <w:sz w:val="21"/>
                <w:szCs w:val="21"/>
                <w:u w:val="singl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9" w:type="dxa"/>
            <w:noWrap w:val="0"/>
            <w:vAlign w:val="center"/>
          </w:tcPr>
          <w:p>
            <w:pPr>
              <w:spacing w:line="240" w:lineRule="auto"/>
              <w:ind w:firstLine="0" w:firstLineChars="0"/>
              <w:jc w:val="center"/>
              <w:rPr>
                <w:rFonts w:hint="eastAsia" w:ascii="Times New Roman" w:hAnsi="Times New Roman"/>
                <w:color w:val="auto"/>
                <w:sz w:val="21"/>
                <w:szCs w:val="21"/>
                <w:u w:val="single"/>
              </w:rPr>
            </w:pPr>
            <w:r>
              <w:rPr>
                <w:rFonts w:hint="eastAsia"/>
                <w:color w:val="auto"/>
                <w:sz w:val="21"/>
                <w:szCs w:val="21"/>
                <w:u w:val="single"/>
                <w:lang w:eastAsia="zh-CN"/>
              </w:rPr>
              <w:t>提升泵站</w:t>
            </w:r>
            <w:r>
              <w:rPr>
                <w:rFonts w:hint="eastAsia" w:ascii="Times New Roman" w:hAnsi="Times New Roman"/>
                <w:color w:val="auto"/>
                <w:sz w:val="21"/>
                <w:szCs w:val="21"/>
                <w:u w:val="single"/>
              </w:rPr>
              <w:t>西面厂界外1m</w:t>
            </w:r>
          </w:p>
        </w:tc>
        <w:tc>
          <w:tcPr>
            <w:tcW w:w="1260" w:type="dxa"/>
            <w:noWrap w:val="0"/>
            <w:vAlign w:val="center"/>
          </w:tcPr>
          <w:p>
            <w:pPr>
              <w:spacing w:line="240" w:lineRule="auto"/>
              <w:ind w:firstLine="0" w:firstLineChars="0"/>
              <w:jc w:val="center"/>
              <w:rPr>
                <w:rFonts w:hint="default"/>
                <w:color w:val="auto"/>
                <w:sz w:val="21"/>
                <w:szCs w:val="21"/>
                <w:u w:val="single"/>
                <w:lang w:val="en-US" w:eastAsia="zh-CN"/>
              </w:rPr>
            </w:pPr>
            <w:r>
              <w:rPr>
                <w:rFonts w:hint="eastAsia"/>
                <w:color w:val="auto"/>
                <w:sz w:val="21"/>
                <w:szCs w:val="21"/>
                <w:u w:val="single"/>
                <w:lang w:val="en-US" w:eastAsia="zh-CN"/>
              </w:rPr>
              <w:t>49</w:t>
            </w:r>
          </w:p>
        </w:tc>
        <w:tc>
          <w:tcPr>
            <w:tcW w:w="1514" w:type="dxa"/>
            <w:noWrap w:val="0"/>
            <w:vAlign w:val="center"/>
          </w:tcPr>
          <w:p>
            <w:pPr>
              <w:spacing w:line="240" w:lineRule="auto"/>
              <w:ind w:firstLine="0" w:firstLineChars="0"/>
              <w:jc w:val="center"/>
              <w:rPr>
                <w:rFonts w:hint="default" w:ascii="Times New Roman" w:hAnsi="Times New Roman" w:eastAsia="宋体"/>
                <w:color w:val="auto"/>
                <w:sz w:val="21"/>
                <w:szCs w:val="21"/>
                <w:u w:val="single"/>
                <w:lang w:val="en-US" w:eastAsia="zh-CN"/>
              </w:rPr>
            </w:pPr>
            <w:r>
              <w:rPr>
                <w:rFonts w:hint="eastAsia"/>
                <w:color w:val="auto"/>
                <w:sz w:val="21"/>
                <w:szCs w:val="21"/>
                <w:u w:val="single"/>
                <w:lang w:val="en-US" w:eastAsia="zh-CN"/>
              </w:rPr>
              <w:t>50.2</w:t>
            </w:r>
          </w:p>
        </w:tc>
        <w:tc>
          <w:tcPr>
            <w:tcW w:w="1330" w:type="dxa"/>
            <w:noWrap w:val="0"/>
            <w:vAlign w:val="center"/>
          </w:tcPr>
          <w:p>
            <w:pPr>
              <w:spacing w:line="240" w:lineRule="auto"/>
              <w:ind w:firstLine="0" w:firstLineChars="0"/>
              <w:jc w:val="center"/>
              <w:rPr>
                <w:rFonts w:hint="default" w:ascii="Times New Roman" w:hAnsi="Times New Roman" w:eastAsia="宋体"/>
                <w:color w:val="auto"/>
                <w:sz w:val="21"/>
                <w:szCs w:val="21"/>
                <w:u w:val="single"/>
                <w:lang w:val="en-US" w:eastAsia="zh-CN"/>
              </w:rPr>
            </w:pPr>
            <w:r>
              <w:rPr>
                <w:rFonts w:hint="eastAsia"/>
                <w:color w:val="auto"/>
                <w:sz w:val="21"/>
                <w:szCs w:val="21"/>
                <w:u w:val="single"/>
                <w:lang w:val="en-US" w:eastAsia="zh-CN"/>
              </w:rPr>
              <w:t>51.8</w:t>
            </w:r>
          </w:p>
        </w:tc>
        <w:tc>
          <w:tcPr>
            <w:tcW w:w="1344" w:type="dxa"/>
            <w:noWrap w:val="0"/>
            <w:vAlign w:val="center"/>
          </w:tcPr>
          <w:p>
            <w:pPr>
              <w:spacing w:line="240" w:lineRule="auto"/>
              <w:ind w:firstLine="0" w:firstLineChars="0"/>
              <w:jc w:val="center"/>
              <w:rPr>
                <w:rFonts w:hint="eastAsia"/>
                <w:color w:val="auto"/>
                <w:sz w:val="21"/>
                <w:szCs w:val="21"/>
                <w:u w:val="single"/>
                <w:lang w:val="en-US" w:eastAsia="zh-CN"/>
              </w:rPr>
            </w:pPr>
            <w:r>
              <w:rPr>
                <w:rFonts w:hint="eastAsia"/>
                <w:color w:val="auto"/>
                <w:sz w:val="21"/>
                <w:szCs w:val="21"/>
                <w:u w:val="single"/>
                <w:lang w:val="en-US" w:eastAsia="zh-CN"/>
              </w:rPr>
              <w:t>65</w:t>
            </w:r>
          </w:p>
        </w:tc>
        <w:tc>
          <w:tcPr>
            <w:tcW w:w="1315" w:type="dxa"/>
            <w:noWrap w:val="0"/>
            <w:vAlign w:val="center"/>
          </w:tcPr>
          <w:p>
            <w:pPr>
              <w:spacing w:line="240" w:lineRule="auto"/>
              <w:ind w:firstLine="0" w:firstLineChars="0"/>
              <w:jc w:val="center"/>
              <w:rPr>
                <w:rFonts w:hint="eastAsia" w:ascii="Times New Roman" w:hAnsi="Times New Roman" w:eastAsia="宋体"/>
                <w:color w:val="auto"/>
                <w:sz w:val="21"/>
                <w:szCs w:val="21"/>
                <w:u w:val="single"/>
                <w:lang w:val="en-US" w:eastAsia="zh-CN"/>
              </w:rPr>
            </w:pPr>
            <w:r>
              <w:rPr>
                <w:rFonts w:hint="eastAsia" w:ascii="Times New Roman" w:hAnsi="Times New Roman" w:eastAsia="宋体"/>
                <w:color w:val="auto"/>
                <w:sz w:val="21"/>
                <w:szCs w:val="21"/>
                <w:u w:val="single"/>
                <w:lang w:val="en-US" w:eastAsia="zh-CN"/>
              </w:rPr>
              <w:t>0</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PrEx>
        <w:trPr>
          <w:trHeight w:val="397" w:hRule="atLeast"/>
          <w:jc w:val="center"/>
        </w:trPr>
        <w:tc>
          <w:tcPr>
            <w:tcW w:w="1759" w:type="dxa"/>
            <w:noWrap w:val="0"/>
            <w:vAlign w:val="center"/>
          </w:tcPr>
          <w:p>
            <w:pPr>
              <w:spacing w:line="240" w:lineRule="auto"/>
              <w:ind w:firstLine="0" w:firstLineChars="0"/>
              <w:jc w:val="center"/>
              <w:rPr>
                <w:rFonts w:hint="eastAsia" w:ascii="Times New Roman" w:hAnsi="Times New Roman"/>
                <w:color w:val="auto"/>
                <w:sz w:val="21"/>
                <w:szCs w:val="21"/>
                <w:u w:val="single"/>
              </w:rPr>
            </w:pPr>
            <w:r>
              <w:rPr>
                <w:rFonts w:hint="eastAsia"/>
                <w:color w:val="auto"/>
                <w:sz w:val="21"/>
                <w:szCs w:val="21"/>
                <w:u w:val="single"/>
                <w:lang w:eastAsia="zh-CN"/>
              </w:rPr>
              <w:t>提升泵站</w:t>
            </w:r>
            <w:r>
              <w:rPr>
                <w:rFonts w:hint="eastAsia" w:ascii="Times New Roman" w:hAnsi="Times New Roman"/>
                <w:color w:val="auto"/>
                <w:sz w:val="21"/>
                <w:szCs w:val="21"/>
                <w:u w:val="single"/>
              </w:rPr>
              <w:t>北面厂界外1m</w:t>
            </w:r>
          </w:p>
        </w:tc>
        <w:tc>
          <w:tcPr>
            <w:tcW w:w="1260" w:type="dxa"/>
            <w:noWrap w:val="0"/>
            <w:vAlign w:val="center"/>
          </w:tcPr>
          <w:p>
            <w:pPr>
              <w:spacing w:line="240" w:lineRule="auto"/>
              <w:ind w:firstLine="0" w:firstLineChars="0"/>
              <w:jc w:val="center"/>
              <w:rPr>
                <w:rFonts w:hint="default"/>
                <w:color w:val="auto"/>
                <w:sz w:val="21"/>
                <w:szCs w:val="21"/>
                <w:u w:val="single"/>
                <w:lang w:val="en-US" w:eastAsia="zh-CN"/>
              </w:rPr>
            </w:pPr>
            <w:r>
              <w:rPr>
                <w:rFonts w:hint="eastAsia"/>
                <w:color w:val="auto"/>
                <w:sz w:val="21"/>
                <w:szCs w:val="21"/>
                <w:u w:val="single"/>
                <w:lang w:val="en-US" w:eastAsia="zh-CN"/>
              </w:rPr>
              <w:t>51</w:t>
            </w:r>
          </w:p>
        </w:tc>
        <w:tc>
          <w:tcPr>
            <w:tcW w:w="1514" w:type="dxa"/>
            <w:noWrap w:val="0"/>
            <w:vAlign w:val="center"/>
          </w:tcPr>
          <w:p>
            <w:pPr>
              <w:spacing w:line="240" w:lineRule="auto"/>
              <w:ind w:firstLine="0" w:firstLineChars="0"/>
              <w:jc w:val="center"/>
              <w:rPr>
                <w:rFonts w:hint="default" w:ascii="Times New Roman" w:hAnsi="Times New Roman" w:eastAsia="宋体"/>
                <w:color w:val="auto"/>
                <w:sz w:val="21"/>
                <w:szCs w:val="21"/>
                <w:u w:val="single"/>
                <w:lang w:val="en-US" w:eastAsia="zh-CN"/>
              </w:rPr>
            </w:pPr>
            <w:r>
              <w:rPr>
                <w:rFonts w:hint="eastAsia"/>
                <w:color w:val="auto"/>
                <w:sz w:val="21"/>
                <w:szCs w:val="21"/>
                <w:u w:val="single"/>
                <w:lang w:val="en-US" w:eastAsia="zh-CN"/>
              </w:rPr>
              <w:t>49.3</w:t>
            </w:r>
          </w:p>
        </w:tc>
        <w:tc>
          <w:tcPr>
            <w:tcW w:w="1330" w:type="dxa"/>
            <w:noWrap w:val="0"/>
            <w:vAlign w:val="center"/>
          </w:tcPr>
          <w:p>
            <w:pPr>
              <w:spacing w:line="240" w:lineRule="auto"/>
              <w:ind w:firstLine="0" w:firstLineChars="0"/>
              <w:jc w:val="center"/>
              <w:rPr>
                <w:rFonts w:hint="default" w:ascii="Times New Roman" w:hAnsi="Times New Roman" w:eastAsia="宋体"/>
                <w:color w:val="auto"/>
                <w:sz w:val="21"/>
                <w:szCs w:val="21"/>
                <w:u w:val="single"/>
                <w:lang w:val="en-US" w:eastAsia="zh-CN"/>
              </w:rPr>
            </w:pPr>
            <w:r>
              <w:rPr>
                <w:rFonts w:hint="eastAsia"/>
                <w:color w:val="auto"/>
                <w:sz w:val="21"/>
                <w:szCs w:val="21"/>
                <w:u w:val="single"/>
                <w:lang w:val="en-US" w:eastAsia="zh-CN"/>
              </w:rPr>
              <w:t>50.94</w:t>
            </w:r>
          </w:p>
        </w:tc>
        <w:tc>
          <w:tcPr>
            <w:tcW w:w="1344" w:type="dxa"/>
            <w:noWrap w:val="0"/>
            <w:vAlign w:val="center"/>
          </w:tcPr>
          <w:p>
            <w:pPr>
              <w:spacing w:line="240" w:lineRule="auto"/>
              <w:ind w:firstLine="0" w:firstLineChars="0"/>
              <w:jc w:val="center"/>
              <w:rPr>
                <w:rFonts w:hint="eastAsia"/>
                <w:color w:val="auto"/>
                <w:sz w:val="21"/>
                <w:szCs w:val="21"/>
                <w:u w:val="single"/>
                <w:lang w:val="en-US" w:eastAsia="zh-CN"/>
              </w:rPr>
            </w:pPr>
            <w:r>
              <w:rPr>
                <w:rFonts w:hint="eastAsia"/>
                <w:color w:val="auto"/>
                <w:sz w:val="21"/>
                <w:szCs w:val="21"/>
                <w:u w:val="single"/>
                <w:lang w:val="en-US" w:eastAsia="zh-CN"/>
              </w:rPr>
              <w:t>65</w:t>
            </w:r>
          </w:p>
        </w:tc>
        <w:tc>
          <w:tcPr>
            <w:tcW w:w="1315" w:type="dxa"/>
            <w:noWrap w:val="0"/>
            <w:vAlign w:val="center"/>
          </w:tcPr>
          <w:p>
            <w:pPr>
              <w:spacing w:line="240" w:lineRule="auto"/>
              <w:ind w:firstLine="0" w:firstLineChars="0"/>
              <w:jc w:val="center"/>
              <w:rPr>
                <w:rFonts w:hint="eastAsia" w:ascii="Times New Roman" w:hAnsi="Times New Roman" w:eastAsia="宋体"/>
                <w:color w:val="auto"/>
                <w:sz w:val="21"/>
                <w:szCs w:val="21"/>
                <w:u w:val="single"/>
                <w:lang w:val="en-US" w:eastAsia="zh-CN"/>
              </w:rPr>
            </w:pPr>
            <w:r>
              <w:rPr>
                <w:rFonts w:hint="eastAsia" w:ascii="Times New Roman" w:hAnsi="Times New Roman" w:eastAsia="宋体"/>
                <w:color w:val="auto"/>
                <w:sz w:val="21"/>
                <w:szCs w:val="21"/>
                <w:u w:val="single"/>
                <w:lang w:val="en-US" w:eastAsia="zh-CN"/>
              </w:rPr>
              <w:t>0</w:t>
            </w:r>
          </w:p>
        </w:tc>
      </w:tr>
    </w:tbl>
    <w:p>
      <w:pPr>
        <w:keepNext w:val="0"/>
        <w:keepLines w:val="0"/>
        <w:pageBreakBefore w:val="0"/>
        <w:widowControl w:val="0"/>
        <w:kinsoku/>
        <w:wordWrap w:val="0"/>
        <w:overflowPunct/>
        <w:topLinePunct w:val="0"/>
        <w:autoSpaceDE/>
        <w:autoSpaceDN/>
        <w:bidi w:val="0"/>
        <w:adjustRightInd/>
        <w:snapToGrid/>
        <w:ind w:firstLine="480"/>
        <w:textAlignment w:val="auto"/>
        <w:rPr>
          <w:rFonts w:hint="eastAsia" w:eastAsia="宋体"/>
          <w:u w:val="single"/>
          <w:lang w:val="en-US" w:eastAsia="zh-CN"/>
        </w:rPr>
      </w:pPr>
      <w:r>
        <w:rPr>
          <w:rFonts w:hint="eastAsia"/>
          <w:u w:val="single"/>
        </w:rPr>
        <w:t>由表</w:t>
      </w:r>
      <w:r>
        <w:rPr>
          <w:rFonts w:hint="eastAsia"/>
          <w:u w:val="single"/>
          <w:lang w:val="en-US" w:eastAsia="zh-CN"/>
        </w:rPr>
        <w:t>4</w:t>
      </w:r>
      <w:r>
        <w:rPr>
          <w:rFonts w:hint="eastAsia"/>
          <w:u w:val="single"/>
        </w:rPr>
        <w:t>.2-</w:t>
      </w:r>
      <w:r>
        <w:rPr>
          <w:rFonts w:hint="eastAsia"/>
          <w:u w:val="single"/>
          <w:lang w:val="en-US" w:eastAsia="zh-CN"/>
        </w:rPr>
        <w:t>3</w:t>
      </w:r>
      <w:r>
        <w:rPr>
          <w:rFonts w:hint="eastAsia"/>
          <w:u w:val="single"/>
        </w:rPr>
        <w:t>可知，营运期噪声各生产设备声源声压级在</w:t>
      </w:r>
      <w:r>
        <w:rPr>
          <w:rFonts w:hint="eastAsia"/>
          <w:u w:val="single"/>
          <w:lang w:val="en-US" w:eastAsia="zh-CN"/>
        </w:rPr>
        <w:t>60~100</w:t>
      </w:r>
      <w:r>
        <w:rPr>
          <w:rFonts w:hint="eastAsia"/>
          <w:u w:val="single"/>
        </w:rPr>
        <w:t>分贝之间，经预测，营运期各厂界噪声贡献值能满足《工业企业厂界环境噪声排放标准》</w:t>
      </w:r>
      <w:r>
        <w:rPr>
          <w:rFonts w:hint="eastAsia"/>
          <w:u w:val="single"/>
          <w:lang w:eastAsia="zh-CN"/>
        </w:rPr>
        <w:t>（</w:t>
      </w:r>
      <w:r>
        <w:rPr>
          <w:rFonts w:hint="eastAsia"/>
          <w:u w:val="single"/>
        </w:rPr>
        <w:t>GB12348-2008）</w:t>
      </w:r>
      <w:r>
        <w:rPr>
          <w:rFonts w:hint="eastAsia"/>
          <w:u w:val="single"/>
          <w:lang w:val="en-US" w:eastAsia="zh-CN"/>
        </w:rPr>
        <w:t>3</w:t>
      </w:r>
      <w:r>
        <w:rPr>
          <w:rFonts w:hint="eastAsia"/>
          <w:u w:val="single"/>
        </w:rPr>
        <w:t>类标准的要求，</w:t>
      </w:r>
      <w:r>
        <w:rPr>
          <w:rFonts w:hint="eastAsia"/>
          <w:u w:val="single"/>
          <w:lang w:eastAsia="zh-CN"/>
        </w:rPr>
        <w:t>叠加厂界背景值后</w:t>
      </w:r>
      <w:r>
        <w:rPr>
          <w:rFonts w:hint="eastAsia"/>
          <w:u w:val="single"/>
        </w:rPr>
        <w:t>《工业企业厂界环境噪声排放标准》</w:t>
      </w:r>
      <w:r>
        <w:rPr>
          <w:rFonts w:hint="eastAsia"/>
          <w:u w:val="single"/>
          <w:lang w:eastAsia="zh-CN"/>
        </w:rPr>
        <w:t>（</w:t>
      </w:r>
      <w:r>
        <w:rPr>
          <w:rFonts w:hint="eastAsia"/>
          <w:u w:val="single"/>
        </w:rPr>
        <w:t>GB12348-2008）</w:t>
      </w:r>
      <w:r>
        <w:rPr>
          <w:rFonts w:hint="eastAsia"/>
          <w:u w:val="single"/>
          <w:lang w:val="en-US" w:eastAsia="zh-CN"/>
        </w:rPr>
        <w:t>3</w:t>
      </w:r>
      <w:r>
        <w:rPr>
          <w:rFonts w:hint="eastAsia"/>
          <w:u w:val="single"/>
        </w:rPr>
        <w:t>类标准的要求。根据现场实地踏勘，项目地处山区，周边最近居民点在500m以外，且四周有山峰围绕，周边环境不敏感，运营期</w:t>
      </w:r>
      <w:r>
        <w:rPr>
          <w:u w:val="single"/>
        </w:rPr>
        <w:t>对周围环境</w:t>
      </w:r>
      <w:r>
        <w:rPr>
          <w:rFonts w:hint="eastAsia"/>
          <w:u w:val="single"/>
        </w:rPr>
        <w:t>影响小，亦不会有扰民影响</w:t>
      </w:r>
      <w:r>
        <w:rPr>
          <w:rFonts w:hint="eastAsia"/>
          <w:u w:val="single"/>
          <w:lang w:eastAsia="zh-CN"/>
        </w:rPr>
        <w:t>。</w:t>
      </w:r>
    </w:p>
    <w:p>
      <w:pPr>
        <w:keepNext w:val="0"/>
        <w:keepLines w:val="0"/>
        <w:pageBreakBefore w:val="0"/>
        <w:widowControl w:val="0"/>
        <w:kinsoku/>
        <w:wordWrap w:val="0"/>
        <w:overflowPunct/>
        <w:topLinePunct w:val="0"/>
        <w:autoSpaceDE/>
        <w:autoSpaceDN/>
        <w:bidi w:val="0"/>
        <w:adjustRightInd/>
        <w:snapToGrid/>
        <w:ind w:firstLine="480"/>
        <w:textAlignment w:val="auto"/>
        <w:rPr>
          <w:rFonts w:hint="eastAsia"/>
          <w:u w:val="single"/>
        </w:rPr>
      </w:pPr>
      <w:r>
        <w:rPr>
          <w:rFonts w:hint="eastAsia"/>
          <w:u w:val="single"/>
        </w:rPr>
        <w:t xml:space="preserve"> 可见，本项目营运后，项目所在地声环境质量变化很小，不会影响当地声环境水平</w:t>
      </w:r>
    </w:p>
    <w:p>
      <w:pPr>
        <w:adjustRightInd w:val="0"/>
        <w:snapToGrid w:val="0"/>
        <w:ind w:firstLine="422" w:firstLineChars="200"/>
        <w:jc w:val="center"/>
        <w:rPr>
          <w:b/>
          <w:bCs w:val="0"/>
          <w:color w:val="auto"/>
          <w:sz w:val="21"/>
          <w:szCs w:val="21"/>
          <w:u w:val="single"/>
        </w:rPr>
      </w:pPr>
      <w:r>
        <w:rPr>
          <w:rFonts w:hint="eastAsia"/>
          <w:b/>
          <w:bCs w:val="0"/>
          <w:color w:val="auto"/>
          <w:sz w:val="21"/>
          <w:szCs w:val="21"/>
          <w:u w:val="single"/>
          <w:lang w:eastAsia="zh-CN"/>
        </w:rPr>
        <w:t>表</w:t>
      </w:r>
      <w:r>
        <w:rPr>
          <w:rFonts w:hint="eastAsia"/>
          <w:b/>
          <w:bCs w:val="0"/>
          <w:color w:val="auto"/>
          <w:sz w:val="21"/>
          <w:szCs w:val="21"/>
          <w:u w:val="single"/>
          <w:lang w:val="en-US" w:eastAsia="zh-CN"/>
        </w:rPr>
        <w:t xml:space="preserve"> 4.2-4</w:t>
      </w:r>
      <w:r>
        <w:rPr>
          <w:rFonts w:hint="eastAsia"/>
          <w:b/>
          <w:bCs w:val="0"/>
          <w:color w:val="auto"/>
          <w:sz w:val="21"/>
          <w:szCs w:val="21"/>
          <w:u w:val="single"/>
        </w:rPr>
        <w:t>声环境影响评价自查表</w:t>
      </w:r>
    </w:p>
    <w:tbl>
      <w:tblPr>
        <w:tblStyle w:val="136"/>
        <w:tblW w:w="8966"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7"/>
        <w:gridCol w:w="1410"/>
        <w:gridCol w:w="1087"/>
        <w:gridCol w:w="546"/>
        <w:gridCol w:w="313"/>
        <w:gridCol w:w="233"/>
        <w:gridCol w:w="1036"/>
        <w:gridCol w:w="57"/>
        <w:gridCol w:w="1089"/>
        <w:gridCol w:w="546"/>
        <w:gridCol w:w="467"/>
        <w:gridCol w:w="77"/>
        <w:gridCol w:w="1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2417" w:type="dxa"/>
            <w:gridSpan w:val="2"/>
            <w:tcBorders>
              <w:lef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工作内容</w:t>
            </w:r>
          </w:p>
        </w:tc>
        <w:tc>
          <w:tcPr>
            <w:tcW w:w="6549" w:type="dxa"/>
            <w:gridSpan w:val="11"/>
            <w:tcBorders>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自查项目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9" w:hRule="atLeast"/>
        </w:trPr>
        <w:tc>
          <w:tcPr>
            <w:tcW w:w="1007" w:type="dxa"/>
            <w:vMerge w:val="restart"/>
            <w:tcBorders>
              <w:left w:val="single" w:color="000000" w:sz="10" w:space="0"/>
              <w:bottom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评价等级 与范围</w:t>
            </w:r>
          </w:p>
        </w:tc>
        <w:tc>
          <w:tcPr>
            <w:tcW w:w="1410"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评价等级</w:t>
            </w:r>
          </w:p>
        </w:tc>
        <w:tc>
          <w:tcPr>
            <w:tcW w:w="1946" w:type="dxa"/>
            <w:gridSpan w:val="3"/>
            <w:tcBorders>
              <w:right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一级□</w:t>
            </w:r>
          </w:p>
        </w:tc>
        <w:tc>
          <w:tcPr>
            <w:tcW w:w="2415" w:type="dxa"/>
            <w:gridSpan w:val="4"/>
            <w:tcBorders>
              <w:left w:val="nil"/>
              <w:right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二级</w:t>
            </w:r>
            <w:r>
              <w:rPr>
                <w:rFonts w:hint="default" w:ascii="Times New Roman" w:hAnsi="Times New Roman" w:eastAsia="宋体" w:cs="Times New Roman"/>
                <w:u w:val="single"/>
              </w:rPr>
              <w:sym w:font="Wingdings 2" w:char="00A3"/>
            </w:r>
          </w:p>
        </w:tc>
        <w:tc>
          <w:tcPr>
            <w:tcW w:w="2188" w:type="dxa"/>
            <w:gridSpan w:val="4"/>
            <w:tcBorders>
              <w:left w:val="nil"/>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三级</w:t>
            </w:r>
            <w:r>
              <w:rPr>
                <w:rFonts w:hint="default" w:ascii="Times New Roman" w:hAnsi="Times New Roman" w:eastAsia="宋体" w:cs="Times New Roman"/>
                <w:u w:val="single"/>
              </w:rPr>
              <w:sym w:font="Wingdings 2" w:char="0052"/>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1007" w:type="dxa"/>
            <w:vMerge w:val="continue"/>
            <w:tcBorders>
              <w:top w:val="nil"/>
              <w:lef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p>
        </w:tc>
        <w:tc>
          <w:tcPr>
            <w:tcW w:w="1410"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评价范围</w:t>
            </w:r>
          </w:p>
        </w:tc>
        <w:tc>
          <w:tcPr>
            <w:tcW w:w="1087" w:type="dxa"/>
            <w:tcBorders>
              <w:right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200m</w:t>
            </w:r>
            <w:r>
              <w:rPr>
                <w:rFonts w:hint="default" w:ascii="Times New Roman" w:hAnsi="Times New Roman" w:eastAsia="宋体" w:cs="Times New Roman"/>
                <w:u w:val="single"/>
              </w:rPr>
              <w:sym w:font="Wingdings 2" w:char="00A3"/>
            </w:r>
          </w:p>
        </w:tc>
        <w:tc>
          <w:tcPr>
            <w:tcW w:w="3274" w:type="dxa"/>
            <w:gridSpan w:val="6"/>
            <w:tcBorders>
              <w:left w:val="nil"/>
              <w:right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大于 200 m□</w:t>
            </w:r>
          </w:p>
        </w:tc>
        <w:tc>
          <w:tcPr>
            <w:tcW w:w="2188" w:type="dxa"/>
            <w:gridSpan w:val="4"/>
            <w:tcBorders>
              <w:left w:val="nil"/>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小于 200 m</w:t>
            </w:r>
            <w:r>
              <w:rPr>
                <w:rFonts w:hint="default" w:ascii="Times New Roman" w:hAnsi="Times New Roman" w:eastAsia="宋体" w:cs="Times New Roman"/>
                <w:u w:val="single"/>
              </w:rPr>
              <w:sym w:font="Wingdings 2" w:char="0052"/>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7" w:hRule="atLeast"/>
        </w:trPr>
        <w:tc>
          <w:tcPr>
            <w:tcW w:w="1007" w:type="dxa"/>
            <w:tcBorders>
              <w:lef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评价因子</w:t>
            </w:r>
          </w:p>
        </w:tc>
        <w:tc>
          <w:tcPr>
            <w:tcW w:w="1410"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评价因子</w:t>
            </w:r>
          </w:p>
        </w:tc>
        <w:tc>
          <w:tcPr>
            <w:tcW w:w="6549" w:type="dxa"/>
            <w:gridSpan w:val="11"/>
            <w:tcBorders>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等效连续A声级</w:t>
            </w:r>
            <w:r>
              <w:rPr>
                <w:rFonts w:hint="default" w:ascii="Times New Roman" w:hAnsi="Times New Roman" w:eastAsia="宋体" w:cs="Times New Roman"/>
                <w:u w:val="single"/>
              </w:rPr>
              <w:sym w:font="Wingdings 2" w:char="0052"/>
            </w:r>
            <w:r>
              <w:rPr>
                <w:rFonts w:hint="default" w:ascii="Times New Roman" w:hAnsi="Times New Roman" w:eastAsia="宋体" w:cs="Times New Roman"/>
                <w:u w:val="single"/>
              </w:rPr>
              <w:t xml:space="preserve">       最大A声级□   计权等效连续感觉噪声级□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007" w:type="dxa"/>
            <w:tcBorders>
              <w:lef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评价标准</w:t>
            </w:r>
          </w:p>
        </w:tc>
        <w:tc>
          <w:tcPr>
            <w:tcW w:w="1410"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评价标准</w:t>
            </w:r>
          </w:p>
        </w:tc>
        <w:tc>
          <w:tcPr>
            <w:tcW w:w="1633" w:type="dxa"/>
            <w:gridSpan w:val="2"/>
            <w:tcBorders>
              <w:right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国家标准</w:t>
            </w:r>
            <w:r>
              <w:rPr>
                <w:rFonts w:hint="default" w:ascii="Times New Roman" w:hAnsi="Times New Roman" w:eastAsia="宋体" w:cs="Times New Roman"/>
                <w:u w:val="single"/>
              </w:rPr>
              <w:sym w:font="Wingdings 2" w:char="0052"/>
            </w:r>
          </w:p>
        </w:tc>
        <w:tc>
          <w:tcPr>
            <w:tcW w:w="2728" w:type="dxa"/>
            <w:gridSpan w:val="5"/>
            <w:tcBorders>
              <w:left w:val="nil"/>
              <w:right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地方标准□</w:t>
            </w:r>
          </w:p>
        </w:tc>
        <w:tc>
          <w:tcPr>
            <w:tcW w:w="2188" w:type="dxa"/>
            <w:gridSpan w:val="4"/>
            <w:tcBorders>
              <w:left w:val="nil"/>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国外标准□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1007" w:type="dxa"/>
            <w:vMerge w:val="restart"/>
            <w:tcBorders>
              <w:left w:val="single" w:color="000000" w:sz="10" w:space="0"/>
              <w:bottom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p>
          <w:p>
            <w:pPr>
              <w:pStyle w:val="143"/>
              <w:widowControl w:val="0"/>
              <w:autoSpaceDE w:val="0"/>
              <w:autoSpaceDN w:val="0"/>
              <w:bidi w:val="0"/>
              <w:jc w:val="center"/>
              <w:rPr>
                <w:rFonts w:hint="default" w:ascii="Times New Roman" w:hAnsi="Times New Roman" w:eastAsia="宋体" w:cs="Times New Roman"/>
                <w:u w:val="single"/>
              </w:rPr>
            </w:pPr>
          </w:p>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现状评价</w:t>
            </w:r>
          </w:p>
        </w:tc>
        <w:tc>
          <w:tcPr>
            <w:tcW w:w="1410"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环境功能区</w:t>
            </w:r>
          </w:p>
        </w:tc>
        <w:tc>
          <w:tcPr>
            <w:tcW w:w="1087"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0 类区□</w:t>
            </w:r>
          </w:p>
        </w:tc>
        <w:tc>
          <w:tcPr>
            <w:tcW w:w="1092" w:type="dxa"/>
            <w:gridSpan w:val="3"/>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1 类区□</w:t>
            </w:r>
          </w:p>
        </w:tc>
        <w:tc>
          <w:tcPr>
            <w:tcW w:w="1093" w:type="dxa"/>
            <w:gridSpan w:val="2"/>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2 类区</w:t>
            </w:r>
            <w:r>
              <w:rPr>
                <w:rFonts w:hint="default" w:ascii="Times New Roman" w:hAnsi="Times New Roman" w:eastAsia="宋体" w:cs="Times New Roman"/>
                <w:u w:val="single"/>
              </w:rPr>
              <w:sym w:font="Wingdings 2" w:char="00A3"/>
            </w:r>
          </w:p>
        </w:tc>
        <w:tc>
          <w:tcPr>
            <w:tcW w:w="1089"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3 类区</w:t>
            </w:r>
            <w:r>
              <w:rPr>
                <w:rFonts w:hint="default" w:ascii="Times New Roman" w:hAnsi="Times New Roman" w:eastAsia="宋体" w:cs="Times New Roman"/>
                <w:u w:val="single"/>
              </w:rPr>
              <w:sym w:font="Wingdings 2" w:char="0052"/>
            </w:r>
          </w:p>
        </w:tc>
        <w:tc>
          <w:tcPr>
            <w:tcW w:w="1090" w:type="dxa"/>
            <w:gridSpan w:val="3"/>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4a 类区□</w:t>
            </w:r>
          </w:p>
        </w:tc>
        <w:tc>
          <w:tcPr>
            <w:tcW w:w="1098" w:type="dxa"/>
            <w:tcBorders>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4b 类区□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007" w:type="dxa"/>
            <w:vMerge w:val="continue"/>
            <w:tcBorders>
              <w:top w:val="nil"/>
              <w:left w:val="single" w:color="000000" w:sz="10" w:space="0"/>
              <w:bottom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p>
        </w:tc>
        <w:tc>
          <w:tcPr>
            <w:tcW w:w="1410"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评价年度</w:t>
            </w:r>
          </w:p>
        </w:tc>
        <w:tc>
          <w:tcPr>
            <w:tcW w:w="1633" w:type="dxa"/>
            <w:gridSpan w:val="2"/>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初期□</w:t>
            </w:r>
          </w:p>
        </w:tc>
        <w:tc>
          <w:tcPr>
            <w:tcW w:w="1639" w:type="dxa"/>
            <w:gridSpan w:val="4"/>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近期</w:t>
            </w:r>
            <w:r>
              <w:rPr>
                <w:rFonts w:hint="default" w:ascii="Times New Roman" w:hAnsi="Times New Roman" w:eastAsia="宋体" w:cs="Times New Roman"/>
                <w:u w:val="single"/>
              </w:rPr>
              <w:sym w:font="Wingdings 2" w:char="0052"/>
            </w:r>
          </w:p>
        </w:tc>
        <w:tc>
          <w:tcPr>
            <w:tcW w:w="1635" w:type="dxa"/>
            <w:gridSpan w:val="2"/>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中期□</w:t>
            </w:r>
          </w:p>
        </w:tc>
        <w:tc>
          <w:tcPr>
            <w:tcW w:w="1642" w:type="dxa"/>
            <w:gridSpan w:val="3"/>
            <w:tcBorders>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远期</w:t>
            </w:r>
            <w:r>
              <w:rPr>
                <w:rFonts w:hint="default" w:ascii="Times New Roman" w:hAnsi="Times New Roman" w:eastAsia="宋体" w:cs="Times New Roman"/>
                <w:u w:val="single"/>
              </w:rPr>
              <w:sym w:font="Wingdings 2" w:char="00A3"/>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7" w:hRule="atLeast"/>
        </w:trPr>
        <w:tc>
          <w:tcPr>
            <w:tcW w:w="1007" w:type="dxa"/>
            <w:vMerge w:val="continue"/>
            <w:tcBorders>
              <w:top w:val="nil"/>
              <w:left w:val="single" w:color="000000" w:sz="10" w:space="0"/>
              <w:bottom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p>
        </w:tc>
        <w:tc>
          <w:tcPr>
            <w:tcW w:w="1410"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现状调查方法</w:t>
            </w:r>
          </w:p>
        </w:tc>
        <w:tc>
          <w:tcPr>
            <w:tcW w:w="6549" w:type="dxa"/>
            <w:gridSpan w:val="11"/>
            <w:tcBorders>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现场实测法</w:t>
            </w:r>
            <w:r>
              <w:rPr>
                <w:rFonts w:hint="default" w:ascii="Times New Roman" w:hAnsi="Times New Roman" w:eastAsia="宋体" w:cs="Times New Roman"/>
                <w:u w:val="single"/>
              </w:rPr>
              <w:sym w:font="Wingdings 2" w:char="0052"/>
            </w:r>
            <w:r>
              <w:rPr>
                <w:rFonts w:hint="default" w:ascii="Times New Roman" w:hAnsi="Times New Roman" w:eastAsia="宋体" w:cs="Times New Roman"/>
                <w:u w:val="single"/>
              </w:rPr>
              <w:t xml:space="preserve">          现场实测加模型计算法□     收集资料□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007" w:type="dxa"/>
            <w:vMerge w:val="continue"/>
            <w:tcBorders>
              <w:top w:val="nil"/>
              <w:lef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p>
        </w:tc>
        <w:tc>
          <w:tcPr>
            <w:tcW w:w="1410"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现状评价</w:t>
            </w:r>
          </w:p>
        </w:tc>
        <w:tc>
          <w:tcPr>
            <w:tcW w:w="1946" w:type="dxa"/>
            <w:gridSpan w:val="3"/>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达标百分比</w:t>
            </w:r>
          </w:p>
        </w:tc>
        <w:tc>
          <w:tcPr>
            <w:tcW w:w="4603" w:type="dxa"/>
            <w:gridSpan w:val="8"/>
            <w:tcBorders>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46" w:hRule="atLeast"/>
        </w:trPr>
        <w:tc>
          <w:tcPr>
            <w:tcW w:w="1007" w:type="dxa"/>
            <w:tcBorders>
              <w:lef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噪声源</w:t>
            </w:r>
          </w:p>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调查</w:t>
            </w:r>
          </w:p>
        </w:tc>
        <w:tc>
          <w:tcPr>
            <w:tcW w:w="1410"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噪声源调查方 法</w:t>
            </w:r>
          </w:p>
        </w:tc>
        <w:tc>
          <w:tcPr>
            <w:tcW w:w="1633" w:type="dxa"/>
            <w:gridSpan w:val="2"/>
            <w:tcBorders>
              <w:right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现场实测</w:t>
            </w:r>
            <w:r>
              <w:rPr>
                <w:rFonts w:hint="default" w:ascii="Times New Roman" w:hAnsi="Times New Roman" w:eastAsia="宋体" w:cs="Times New Roman"/>
                <w:u w:val="single"/>
              </w:rPr>
              <w:sym w:font="Wingdings 2" w:char="00A3"/>
            </w:r>
          </w:p>
        </w:tc>
        <w:tc>
          <w:tcPr>
            <w:tcW w:w="4916" w:type="dxa"/>
            <w:gridSpan w:val="9"/>
            <w:tcBorders>
              <w:left w:val="nil"/>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已有资料</w:t>
            </w:r>
            <w:r>
              <w:rPr>
                <w:rFonts w:hint="default" w:ascii="Times New Roman" w:hAnsi="Times New Roman" w:eastAsia="宋体" w:cs="Times New Roman"/>
                <w:u w:val="single"/>
              </w:rPr>
              <w:sym w:font="Wingdings 2" w:char="0052"/>
            </w:r>
            <w:r>
              <w:rPr>
                <w:rFonts w:hint="default" w:ascii="Times New Roman" w:hAnsi="Times New Roman" w:eastAsia="宋体" w:cs="Times New Roman"/>
                <w:u w:val="single"/>
              </w:rPr>
              <w:t xml:space="preserve">               研究成果□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1007" w:type="dxa"/>
            <w:vMerge w:val="restart"/>
            <w:tcBorders>
              <w:left w:val="single" w:color="000000" w:sz="10" w:space="0"/>
              <w:bottom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p>
          <w:p>
            <w:pPr>
              <w:pStyle w:val="143"/>
              <w:widowControl w:val="0"/>
              <w:autoSpaceDE w:val="0"/>
              <w:autoSpaceDN w:val="0"/>
              <w:bidi w:val="0"/>
              <w:jc w:val="center"/>
              <w:rPr>
                <w:rFonts w:hint="default" w:ascii="Times New Roman" w:hAnsi="Times New Roman" w:eastAsia="宋体" w:cs="Times New Roman"/>
                <w:u w:val="single"/>
              </w:rPr>
            </w:pPr>
          </w:p>
          <w:p>
            <w:pPr>
              <w:pStyle w:val="143"/>
              <w:widowControl w:val="0"/>
              <w:autoSpaceDE w:val="0"/>
              <w:autoSpaceDN w:val="0"/>
              <w:bidi w:val="0"/>
              <w:jc w:val="center"/>
              <w:rPr>
                <w:rFonts w:hint="default" w:ascii="Times New Roman" w:hAnsi="Times New Roman" w:eastAsia="宋体" w:cs="Times New Roman"/>
                <w:u w:val="single"/>
              </w:rPr>
            </w:pPr>
          </w:p>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声环境影</w:t>
            </w:r>
          </w:p>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响预测与</w:t>
            </w:r>
          </w:p>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评价</w:t>
            </w:r>
          </w:p>
        </w:tc>
        <w:tc>
          <w:tcPr>
            <w:tcW w:w="1410"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预测模型</w:t>
            </w:r>
          </w:p>
        </w:tc>
        <w:tc>
          <w:tcPr>
            <w:tcW w:w="1633" w:type="dxa"/>
            <w:gridSpan w:val="2"/>
            <w:tcBorders>
              <w:right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导则推荐模型</w:t>
            </w:r>
            <w:r>
              <w:rPr>
                <w:rFonts w:hint="default" w:ascii="Times New Roman" w:hAnsi="Times New Roman" w:eastAsia="宋体" w:cs="Times New Roman"/>
                <w:u w:val="single"/>
              </w:rPr>
              <w:sym w:font="Wingdings 2" w:char="0052"/>
            </w:r>
          </w:p>
        </w:tc>
        <w:tc>
          <w:tcPr>
            <w:tcW w:w="4916" w:type="dxa"/>
            <w:gridSpan w:val="9"/>
            <w:tcBorders>
              <w:left w:val="nil"/>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其他□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99" w:hRule="atLeast"/>
        </w:trPr>
        <w:tc>
          <w:tcPr>
            <w:tcW w:w="1007" w:type="dxa"/>
            <w:vMerge w:val="continue"/>
            <w:tcBorders>
              <w:top w:val="nil"/>
              <w:left w:val="single" w:color="000000" w:sz="10" w:space="0"/>
              <w:bottom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p>
        </w:tc>
        <w:tc>
          <w:tcPr>
            <w:tcW w:w="1410"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预测范围</w:t>
            </w:r>
          </w:p>
        </w:tc>
        <w:tc>
          <w:tcPr>
            <w:tcW w:w="6549" w:type="dxa"/>
            <w:gridSpan w:val="11"/>
            <w:tcBorders>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200 m</w:t>
            </w:r>
            <w:r>
              <w:rPr>
                <w:rFonts w:hint="default" w:ascii="Times New Roman" w:hAnsi="Times New Roman" w:eastAsia="宋体" w:cs="Times New Roman"/>
                <w:u w:val="single"/>
              </w:rPr>
              <w:sym w:font="Wingdings 2" w:char="00A3"/>
            </w:r>
            <w:r>
              <w:rPr>
                <w:rFonts w:hint="default" w:ascii="Times New Roman" w:hAnsi="Times New Roman" w:eastAsia="宋体" w:cs="Times New Roman"/>
                <w:u w:val="single"/>
              </w:rPr>
              <w:t xml:space="preserve">            大于 200 m</w:t>
            </w:r>
            <w:r>
              <w:rPr>
                <w:rFonts w:hint="default" w:ascii="Times New Roman" w:hAnsi="Times New Roman" w:eastAsia="宋体" w:cs="Times New Roman"/>
                <w:u w:val="single"/>
              </w:rPr>
              <w:sym w:font="Wingdings 2" w:char="0052"/>
            </w:r>
            <w:r>
              <w:rPr>
                <w:rFonts w:hint="default" w:ascii="Times New Roman" w:hAnsi="Times New Roman" w:eastAsia="宋体" w:cs="Times New Roman"/>
                <w:u w:val="single"/>
              </w:rPr>
              <w:t xml:space="preserve">            小于 200 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1007" w:type="dxa"/>
            <w:vMerge w:val="continue"/>
            <w:tcBorders>
              <w:top w:val="nil"/>
              <w:left w:val="single" w:color="000000" w:sz="10" w:space="0"/>
              <w:bottom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p>
        </w:tc>
        <w:tc>
          <w:tcPr>
            <w:tcW w:w="1410"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预测因子</w:t>
            </w:r>
          </w:p>
        </w:tc>
        <w:tc>
          <w:tcPr>
            <w:tcW w:w="6549" w:type="dxa"/>
            <w:gridSpan w:val="11"/>
            <w:tcBorders>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等效连续 A 声级</w:t>
            </w:r>
            <w:r>
              <w:rPr>
                <w:rFonts w:hint="default" w:ascii="Times New Roman" w:hAnsi="Times New Roman" w:eastAsia="宋体" w:cs="Times New Roman"/>
                <w:u w:val="single"/>
              </w:rPr>
              <w:sym w:font="Wingdings 2" w:char="0052"/>
            </w:r>
            <w:r>
              <w:rPr>
                <w:rFonts w:hint="default" w:ascii="Times New Roman" w:hAnsi="Times New Roman" w:eastAsia="宋体" w:cs="Times New Roman"/>
                <w:u w:val="single"/>
              </w:rPr>
              <w:t xml:space="preserve">     最大 A 声级□  计权等效连续感觉噪声级□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35" w:hRule="atLeast"/>
        </w:trPr>
        <w:tc>
          <w:tcPr>
            <w:tcW w:w="1007" w:type="dxa"/>
            <w:vMerge w:val="continue"/>
            <w:tcBorders>
              <w:top w:val="nil"/>
              <w:left w:val="single" w:color="000000" w:sz="10" w:space="0"/>
              <w:bottom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p>
        </w:tc>
        <w:tc>
          <w:tcPr>
            <w:tcW w:w="1410"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厂界噪声贡献 值</w:t>
            </w:r>
          </w:p>
        </w:tc>
        <w:tc>
          <w:tcPr>
            <w:tcW w:w="1946" w:type="dxa"/>
            <w:gridSpan w:val="3"/>
            <w:tcBorders>
              <w:right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 xml:space="preserve">达标 </w:t>
            </w:r>
            <w:r>
              <w:rPr>
                <w:rFonts w:hint="default" w:ascii="Times New Roman" w:hAnsi="Times New Roman" w:eastAsia="宋体" w:cs="Times New Roman"/>
                <w:u w:val="single"/>
              </w:rPr>
              <w:sym w:font="Wingdings 2" w:char="0052"/>
            </w:r>
          </w:p>
        </w:tc>
        <w:tc>
          <w:tcPr>
            <w:tcW w:w="4603" w:type="dxa"/>
            <w:gridSpan w:val="8"/>
            <w:tcBorders>
              <w:left w:val="nil"/>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1007" w:type="dxa"/>
            <w:vMerge w:val="continue"/>
            <w:tcBorders>
              <w:top w:val="nil"/>
              <w:lef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p>
        </w:tc>
        <w:tc>
          <w:tcPr>
            <w:tcW w:w="1410"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声环境保护目 标处噪声值</w:t>
            </w:r>
          </w:p>
        </w:tc>
        <w:tc>
          <w:tcPr>
            <w:tcW w:w="1946" w:type="dxa"/>
            <w:gridSpan w:val="3"/>
            <w:tcBorders>
              <w:right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达标</w:t>
            </w:r>
            <w:r>
              <w:rPr>
                <w:rFonts w:hint="default" w:ascii="Times New Roman" w:hAnsi="Times New Roman" w:eastAsia="宋体" w:cs="Times New Roman"/>
                <w:u w:val="single"/>
              </w:rPr>
              <w:sym w:font="Wingdings 2" w:char="0052"/>
            </w:r>
          </w:p>
        </w:tc>
        <w:tc>
          <w:tcPr>
            <w:tcW w:w="4603" w:type="dxa"/>
            <w:gridSpan w:val="8"/>
            <w:tcBorders>
              <w:left w:val="nil"/>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1007" w:type="dxa"/>
            <w:vMerge w:val="restart"/>
            <w:tcBorders>
              <w:left w:val="single" w:color="000000" w:sz="10" w:space="0"/>
              <w:bottom w:val="nil"/>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环境监测 计划</w:t>
            </w:r>
          </w:p>
        </w:tc>
        <w:tc>
          <w:tcPr>
            <w:tcW w:w="1410"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排放监测</w:t>
            </w:r>
          </w:p>
        </w:tc>
        <w:tc>
          <w:tcPr>
            <w:tcW w:w="6549" w:type="dxa"/>
            <w:gridSpan w:val="11"/>
            <w:tcBorders>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厂界监测</w:t>
            </w:r>
            <w:r>
              <w:rPr>
                <w:rFonts w:hint="default" w:ascii="Times New Roman" w:hAnsi="Times New Roman" w:eastAsia="宋体" w:cs="Times New Roman"/>
                <w:u w:val="single"/>
              </w:rPr>
              <w:sym w:font="Wingdings 2" w:char="0052"/>
            </w:r>
            <w:r>
              <w:rPr>
                <w:rFonts w:hint="default" w:ascii="Times New Roman" w:hAnsi="Times New Roman" w:eastAsia="宋体" w:cs="Times New Roman"/>
                <w:u w:val="single"/>
              </w:rPr>
              <w:t xml:space="preserve">   固定位置监测□   自动监测□ 手动监测□   无监测□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trPr>
        <w:tc>
          <w:tcPr>
            <w:tcW w:w="1007" w:type="dxa"/>
            <w:vMerge w:val="continue"/>
            <w:tcBorders>
              <w:top w:val="nil"/>
              <w:lef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p>
        </w:tc>
        <w:tc>
          <w:tcPr>
            <w:tcW w:w="1410"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声环境保护目 标处噪声监测</w:t>
            </w:r>
          </w:p>
        </w:tc>
        <w:tc>
          <w:tcPr>
            <w:tcW w:w="3215" w:type="dxa"/>
            <w:gridSpan w:val="5"/>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监测因子：(     )</w:t>
            </w:r>
          </w:p>
        </w:tc>
        <w:tc>
          <w:tcPr>
            <w:tcW w:w="2159" w:type="dxa"/>
            <w:gridSpan w:val="4"/>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监测点位数(     )</w:t>
            </w:r>
          </w:p>
        </w:tc>
        <w:tc>
          <w:tcPr>
            <w:tcW w:w="1175" w:type="dxa"/>
            <w:gridSpan w:val="2"/>
            <w:tcBorders>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无监测□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0" w:hRule="atLeast"/>
        </w:trPr>
        <w:tc>
          <w:tcPr>
            <w:tcW w:w="1007" w:type="dxa"/>
            <w:tcBorders>
              <w:lef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评价结论</w:t>
            </w:r>
          </w:p>
        </w:tc>
        <w:tc>
          <w:tcPr>
            <w:tcW w:w="1410" w:type="dxa"/>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环境影响</w:t>
            </w:r>
          </w:p>
        </w:tc>
        <w:tc>
          <w:tcPr>
            <w:tcW w:w="6549" w:type="dxa"/>
            <w:gridSpan w:val="11"/>
            <w:tcBorders>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可行</w:t>
            </w:r>
            <w:r>
              <w:rPr>
                <w:rFonts w:hint="default" w:ascii="Times New Roman" w:hAnsi="Times New Roman" w:eastAsia="宋体" w:cs="Times New Roman"/>
                <w:u w:val="single"/>
              </w:rPr>
              <w:sym w:font="Wingdings 2" w:char="0052"/>
            </w:r>
            <w:r>
              <w:rPr>
                <w:rFonts w:hint="default" w:ascii="Times New Roman" w:hAnsi="Times New Roman" w:eastAsia="宋体" w:cs="Times New Roman"/>
                <w:u w:val="single"/>
              </w:rPr>
              <w:t xml:space="preserve">       不可行□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8966" w:type="dxa"/>
            <w:gridSpan w:val="13"/>
            <w:tcBorders>
              <w:left w:val="single" w:color="000000" w:sz="10" w:space="0"/>
              <w:right w:val="single" w:color="000000" w:sz="10" w:space="0"/>
            </w:tcBorders>
            <w:noWrap w:val="0"/>
            <w:vAlign w:val="center"/>
          </w:tcPr>
          <w:p>
            <w:pPr>
              <w:pStyle w:val="143"/>
              <w:widowControl w:val="0"/>
              <w:autoSpaceDE w:val="0"/>
              <w:autoSpaceDN w:val="0"/>
              <w:bidi w:val="0"/>
              <w:jc w:val="center"/>
              <w:rPr>
                <w:rFonts w:hint="default" w:ascii="Times New Roman" w:hAnsi="Times New Roman" w:eastAsia="宋体" w:cs="Times New Roman"/>
                <w:u w:val="single"/>
              </w:rPr>
            </w:pPr>
            <w:r>
              <w:rPr>
                <w:rFonts w:hint="default" w:ascii="Times New Roman" w:hAnsi="Times New Roman" w:eastAsia="宋体" w:cs="Times New Roman"/>
                <w:u w:val="single"/>
              </w:rPr>
              <w:t>注：“□” 为勾选项 ，可 √ ；“(   )”  为内容填写项。</w:t>
            </w:r>
          </w:p>
        </w:tc>
      </w:tr>
    </w:tbl>
    <w:p>
      <w:pPr>
        <w:widowControl w:val="0"/>
        <w:adjustRightInd w:val="0"/>
        <w:snapToGrid w:val="0"/>
        <w:spacing w:before="120" w:beforeLines="50"/>
        <w:ind w:firstLine="0" w:firstLineChars="0"/>
        <w:outlineLvl w:val="1"/>
        <w:rPr>
          <w:b/>
          <w:color w:val="000000"/>
          <w:sz w:val="28"/>
          <w:szCs w:val="32"/>
          <w:u w:val="none"/>
        </w:rPr>
      </w:pPr>
      <w:r>
        <w:rPr>
          <w:b/>
          <w:color w:val="000000"/>
          <w:sz w:val="28"/>
          <w:szCs w:val="32"/>
          <w:u w:val="none"/>
        </w:rPr>
        <w:t>4</w:t>
      </w:r>
      <w:r>
        <w:rPr>
          <w:rFonts w:hint="eastAsia"/>
          <w:b/>
          <w:color w:val="000000"/>
          <w:sz w:val="28"/>
          <w:szCs w:val="32"/>
          <w:u w:val="none"/>
        </w:rPr>
        <w:t>.</w:t>
      </w:r>
      <w:r>
        <w:rPr>
          <w:b/>
          <w:color w:val="000000"/>
          <w:sz w:val="28"/>
          <w:szCs w:val="32"/>
          <w:u w:val="none"/>
        </w:rPr>
        <w:t>2</w:t>
      </w:r>
      <w:r>
        <w:rPr>
          <w:rFonts w:hint="eastAsia"/>
          <w:b/>
          <w:color w:val="000000"/>
          <w:sz w:val="28"/>
          <w:szCs w:val="32"/>
          <w:u w:val="none"/>
        </w:rPr>
        <w:t>.</w:t>
      </w:r>
      <w:r>
        <w:rPr>
          <w:b/>
          <w:color w:val="000000"/>
          <w:sz w:val="28"/>
          <w:szCs w:val="32"/>
          <w:u w:val="none"/>
        </w:rPr>
        <w:t>5</w:t>
      </w:r>
      <w:r>
        <w:rPr>
          <w:rFonts w:hint="eastAsia"/>
          <w:b/>
          <w:color w:val="000000"/>
          <w:sz w:val="28"/>
          <w:szCs w:val="32"/>
          <w:u w:val="none"/>
        </w:rPr>
        <w:t>工程固体废物影响分析及评价</w:t>
      </w:r>
    </w:p>
    <w:p>
      <w:pPr>
        <w:ind w:firstLine="480"/>
        <w:rPr>
          <w:rFonts w:hint="eastAsia"/>
          <w:color w:val="000000"/>
          <w:kern w:val="0"/>
        </w:rPr>
      </w:pPr>
      <w:r>
        <w:rPr>
          <w:color w:val="000000"/>
          <w:kern w:val="0"/>
        </w:rPr>
        <w:t>1）</w:t>
      </w:r>
      <w:r>
        <w:rPr>
          <w:rFonts w:hint="eastAsia"/>
          <w:color w:val="000000"/>
          <w:kern w:val="0"/>
          <w:lang w:eastAsia="zh-CN"/>
        </w:rPr>
        <w:t>格栅渣和沉砂</w:t>
      </w:r>
    </w:p>
    <w:p>
      <w:pPr>
        <w:ind w:firstLine="480"/>
        <w:rPr>
          <w:rFonts w:hint="eastAsia"/>
          <w:color w:val="000000"/>
          <w:kern w:val="0"/>
          <w:lang w:eastAsia="zh-CN"/>
        </w:rPr>
      </w:pPr>
      <w:r>
        <w:rPr>
          <w:rFonts w:hint="eastAsia"/>
          <w:color w:val="000000"/>
          <w:kern w:val="0"/>
          <w:lang w:eastAsia="zh-CN"/>
        </w:rPr>
        <w:t>项目</w:t>
      </w:r>
      <w:r>
        <w:rPr>
          <w:rFonts w:hint="eastAsia"/>
          <w:color w:val="000000"/>
          <w:kern w:val="0"/>
        </w:rPr>
        <w:t>建设总规模为3000m</w:t>
      </w:r>
      <w:r>
        <w:rPr>
          <w:rFonts w:hint="eastAsia"/>
          <w:color w:val="000000"/>
          <w:kern w:val="0"/>
          <w:vertAlign w:val="superscript"/>
        </w:rPr>
        <w:t>3</w:t>
      </w:r>
      <w:r>
        <w:rPr>
          <w:rFonts w:hint="eastAsia"/>
          <w:color w:val="000000"/>
          <w:kern w:val="0"/>
        </w:rPr>
        <w:t>/d</w:t>
      </w:r>
      <w:r>
        <w:rPr>
          <w:rFonts w:hint="eastAsia"/>
          <w:color w:val="000000"/>
          <w:kern w:val="0"/>
          <w:lang w:eastAsia="zh-CN"/>
        </w:rPr>
        <w:t>，本项目产生的固体废物包括污水预处理阶段截留的格栅渣和沉砂，处理阶段的剩余污泥，根据《污水处理厂工艺设计手册》（高俊发，王社平主编，化学工业出版社，200</w:t>
      </w:r>
      <w:r>
        <w:rPr>
          <w:rFonts w:hint="eastAsia"/>
          <w:color w:val="auto"/>
          <w:kern w:val="0"/>
          <w:lang w:eastAsia="zh-CN"/>
        </w:rPr>
        <w:t>3年），污水厂格栅渣产生量一般为0.05～0.1m</w:t>
      </w:r>
      <w:r>
        <w:rPr>
          <w:rFonts w:hint="eastAsia"/>
          <w:color w:val="auto"/>
          <w:kern w:val="0"/>
          <w:vertAlign w:val="superscript"/>
          <w:lang w:eastAsia="zh-CN"/>
        </w:rPr>
        <w:t>3</w:t>
      </w:r>
      <w:r>
        <w:rPr>
          <w:rFonts w:hint="eastAsia"/>
          <w:color w:val="auto"/>
          <w:kern w:val="0"/>
          <w:lang w:eastAsia="zh-CN"/>
        </w:rPr>
        <w:t>/1000m</w:t>
      </w:r>
      <w:r>
        <w:rPr>
          <w:rFonts w:hint="eastAsia"/>
          <w:color w:val="auto"/>
          <w:kern w:val="0"/>
          <w:vertAlign w:val="superscript"/>
          <w:lang w:eastAsia="zh-CN"/>
        </w:rPr>
        <w:t>3</w:t>
      </w:r>
      <w:r>
        <w:rPr>
          <w:rFonts w:hint="eastAsia"/>
          <w:color w:val="auto"/>
          <w:kern w:val="0"/>
          <w:lang w:eastAsia="zh-CN"/>
        </w:rPr>
        <w:t>·d，含水率50%时容重约为90kg/m</w:t>
      </w:r>
      <w:r>
        <w:rPr>
          <w:rFonts w:hint="eastAsia"/>
          <w:color w:val="auto"/>
          <w:kern w:val="0"/>
          <w:vertAlign w:val="superscript"/>
          <w:lang w:eastAsia="zh-CN"/>
        </w:rPr>
        <w:t>3</w:t>
      </w:r>
      <w:r>
        <w:rPr>
          <w:rFonts w:hint="eastAsia"/>
          <w:color w:val="auto"/>
          <w:kern w:val="0"/>
          <w:lang w:eastAsia="zh-CN"/>
        </w:rPr>
        <w:t>，沉砂量约0.3m</w:t>
      </w:r>
      <w:r>
        <w:rPr>
          <w:rFonts w:hint="eastAsia"/>
          <w:color w:val="auto"/>
          <w:kern w:val="0"/>
          <w:vertAlign w:val="superscript"/>
          <w:lang w:eastAsia="zh-CN"/>
        </w:rPr>
        <w:t>3</w:t>
      </w:r>
      <w:r>
        <w:rPr>
          <w:rFonts w:hint="eastAsia"/>
          <w:color w:val="auto"/>
          <w:kern w:val="0"/>
          <w:lang w:eastAsia="zh-CN"/>
        </w:rPr>
        <w:t>/1000m</w:t>
      </w:r>
      <w:r>
        <w:rPr>
          <w:rFonts w:hint="eastAsia"/>
          <w:color w:val="auto"/>
          <w:kern w:val="0"/>
          <w:vertAlign w:val="superscript"/>
          <w:lang w:eastAsia="zh-CN"/>
        </w:rPr>
        <w:t>3</w:t>
      </w:r>
      <w:r>
        <w:rPr>
          <w:rFonts w:hint="eastAsia"/>
          <w:color w:val="auto"/>
          <w:kern w:val="0"/>
          <w:lang w:eastAsia="zh-CN"/>
        </w:rPr>
        <w:t>·d，含水率50%时容重约为120kg/m</w:t>
      </w:r>
      <w:r>
        <w:rPr>
          <w:rFonts w:hint="eastAsia"/>
          <w:color w:val="auto"/>
          <w:kern w:val="0"/>
          <w:vertAlign w:val="superscript"/>
          <w:lang w:eastAsia="zh-CN"/>
        </w:rPr>
        <w:t>3</w:t>
      </w:r>
      <w:r>
        <w:rPr>
          <w:rFonts w:hint="eastAsia"/>
          <w:color w:val="auto"/>
          <w:kern w:val="0"/>
          <w:lang w:eastAsia="zh-CN"/>
        </w:rPr>
        <w:t>，则预计格栅渣（含水率50%）产生量为0.045t/d和沉淀池沉砂（含水率50%）产生量为0.018t/d。由于本项目</w:t>
      </w:r>
      <w:r>
        <w:rPr>
          <w:rFonts w:hint="eastAsia"/>
          <w:color w:val="000000"/>
          <w:kern w:val="0"/>
          <w:lang w:eastAsia="zh-CN"/>
        </w:rPr>
        <w:t>涉及多种重金属，项目产生的格栅渣、沉沙可能具有危险特性，应按《国家危险废物名录》、国家环境保护标准《危险废物鉴别技术规范》（HJ/T298-2007）和危险废物鉴别标准的规定，对该类进行危险特性鉴别。如为危险废物，运营单位应按照危险废物要求进行管理，并委托具有相应资质单位进行安全处置；如鉴别属于一般固废，运至吉首市垃圾焚烧厂进行焚烧。</w:t>
      </w:r>
    </w:p>
    <w:p>
      <w:pPr>
        <w:ind w:firstLine="480"/>
        <w:rPr>
          <w:rFonts w:hint="eastAsia"/>
          <w:color w:val="000000"/>
          <w:kern w:val="0"/>
        </w:rPr>
      </w:pPr>
      <w:r>
        <w:rPr>
          <w:rFonts w:hint="eastAsia"/>
          <w:color w:val="000000"/>
          <w:kern w:val="0"/>
          <w:lang w:val="en-US" w:eastAsia="zh-CN"/>
        </w:rPr>
        <w:t>2</w:t>
      </w:r>
      <w:r>
        <w:rPr>
          <w:color w:val="000000"/>
          <w:kern w:val="0"/>
        </w:rPr>
        <w:t>）工艺污泥</w:t>
      </w:r>
    </w:p>
    <w:p>
      <w:pPr>
        <w:ind w:firstLine="480"/>
        <w:rPr>
          <w:rFonts w:hint="eastAsia"/>
          <w:color w:val="000000"/>
          <w:kern w:val="0"/>
          <w:lang w:eastAsia="zh-CN"/>
        </w:rPr>
      </w:pPr>
      <w:r>
        <w:rPr>
          <w:rFonts w:hint="eastAsia"/>
          <w:color w:val="000000"/>
          <w:kern w:val="0"/>
          <w:lang w:eastAsia="zh-CN"/>
        </w:rPr>
        <w:t>储存在储泥池的剩余污泥通过污泥泵提升至污泥浓缩脱水一体机进行污泥浓缩脱水，污泥浓缩脱水过程中需投加高分子有机絮凝剂PAM。类比同类型污水处理厂污泥产生量：污泥每天产生量（含水率80%）约为3.57t/10</w:t>
      </w:r>
      <w:r>
        <w:rPr>
          <w:rFonts w:hint="eastAsia"/>
          <w:color w:val="000000"/>
          <w:kern w:val="0"/>
          <w:vertAlign w:val="superscript"/>
          <w:lang w:eastAsia="zh-CN"/>
        </w:rPr>
        <w:t>4</w:t>
      </w:r>
      <w:r>
        <w:rPr>
          <w:rFonts w:hint="eastAsia"/>
          <w:color w:val="000000"/>
          <w:kern w:val="0"/>
          <w:lang w:eastAsia="zh-CN"/>
        </w:rPr>
        <w:t>m</w:t>
      </w:r>
      <w:r>
        <w:rPr>
          <w:rFonts w:hint="eastAsia"/>
          <w:color w:val="000000"/>
          <w:kern w:val="0"/>
          <w:vertAlign w:val="superscript"/>
          <w:lang w:eastAsia="zh-CN"/>
        </w:rPr>
        <w:t>3</w:t>
      </w:r>
      <w:r>
        <w:rPr>
          <w:rFonts w:hint="eastAsia"/>
          <w:color w:val="000000"/>
          <w:kern w:val="0"/>
          <w:lang w:eastAsia="zh-CN"/>
        </w:rPr>
        <w:t xml:space="preserve"> 污水。项目污水规模为</w:t>
      </w:r>
      <w:r>
        <w:rPr>
          <w:rFonts w:hint="eastAsia"/>
          <w:color w:val="000000"/>
          <w:kern w:val="0"/>
          <w:lang w:val="en-US" w:eastAsia="zh-CN"/>
        </w:rPr>
        <w:t>3</w:t>
      </w:r>
      <w:r>
        <w:rPr>
          <w:rFonts w:hint="eastAsia"/>
          <w:color w:val="000000"/>
          <w:kern w:val="0"/>
          <w:lang w:eastAsia="zh-CN"/>
        </w:rPr>
        <w:t>000m</w:t>
      </w:r>
      <w:r>
        <w:rPr>
          <w:rFonts w:hint="eastAsia"/>
          <w:color w:val="000000"/>
          <w:kern w:val="0"/>
          <w:vertAlign w:val="superscript"/>
          <w:lang w:eastAsia="zh-CN"/>
        </w:rPr>
        <w:t>3</w:t>
      </w:r>
      <w:r>
        <w:rPr>
          <w:rFonts w:hint="eastAsia"/>
          <w:color w:val="000000"/>
          <w:kern w:val="0"/>
          <w:lang w:eastAsia="zh-CN"/>
        </w:rPr>
        <w:t>/d，则本项目污泥（干化后含水率80%）产生量为</w:t>
      </w:r>
      <w:r>
        <w:rPr>
          <w:rFonts w:hint="eastAsia"/>
          <w:color w:val="000000"/>
          <w:kern w:val="0"/>
          <w:lang w:val="en-US" w:eastAsia="zh-CN"/>
        </w:rPr>
        <w:t>1.071</w:t>
      </w:r>
      <w:r>
        <w:rPr>
          <w:rFonts w:hint="eastAsia"/>
          <w:color w:val="000000"/>
          <w:kern w:val="0"/>
          <w:lang w:eastAsia="zh-CN"/>
        </w:rPr>
        <w:t>t/d。</w:t>
      </w:r>
    </w:p>
    <w:p>
      <w:pPr>
        <w:ind w:firstLine="480"/>
        <w:rPr>
          <w:rFonts w:hint="eastAsia" w:eastAsia="宋体"/>
          <w:color w:val="000000"/>
          <w:kern w:val="0"/>
          <w:lang w:eastAsia="zh-CN"/>
        </w:rPr>
      </w:pPr>
      <w:r>
        <w:rPr>
          <w:rFonts w:hint="eastAsia"/>
          <w:color w:val="000000"/>
          <w:kern w:val="0"/>
          <w:lang w:eastAsia="zh-CN"/>
        </w:rPr>
        <w:t>本环评污泥采用板框压滤机进行脱水（污泥达到含水率80%），干化后的污泥量约为1.</w:t>
      </w:r>
      <w:r>
        <w:rPr>
          <w:rFonts w:hint="eastAsia"/>
          <w:color w:val="000000"/>
          <w:kern w:val="0"/>
          <w:lang w:val="en-US" w:eastAsia="zh-CN"/>
        </w:rPr>
        <w:t>071</w:t>
      </w:r>
      <w:r>
        <w:rPr>
          <w:rFonts w:hint="eastAsia"/>
          <w:color w:val="000000"/>
          <w:kern w:val="0"/>
          <w:lang w:eastAsia="zh-CN"/>
        </w:rPr>
        <w:t>t/d（含水率80%）</w:t>
      </w:r>
      <w:r>
        <w:rPr>
          <w:rFonts w:hint="eastAsia"/>
          <w:color w:val="000000"/>
        </w:rPr>
        <w:t>。</w:t>
      </w:r>
      <w:r>
        <w:rPr>
          <w:rFonts w:hint="eastAsia"/>
          <w:color w:val="000000"/>
          <w:lang w:eastAsia="zh-CN"/>
        </w:rPr>
        <w:t>根据《国家危险废物名录》（2021年版），本项目属于危废类类别HW23含锌废物中使用氢氧化钠、锌粉进行贵金属沉淀过程中产生的废液和废水处理污泥，属于危险固废，危废代码为900-021-23。</w:t>
      </w:r>
    </w:p>
    <w:p>
      <w:pPr>
        <w:ind w:firstLine="480"/>
        <w:rPr>
          <w:rFonts w:hint="eastAsia"/>
          <w:color w:val="000000"/>
        </w:rPr>
      </w:pPr>
      <w:r>
        <w:rPr>
          <w:rFonts w:hint="eastAsia"/>
          <w:color w:val="000000"/>
        </w:rPr>
        <w:t>运营单位应按照危险废物要求进行管理，并委托具有相应资质单位进行安全处置。</w:t>
      </w:r>
    </w:p>
    <w:p>
      <w:pPr>
        <w:pStyle w:val="16"/>
        <w:wordWrap w:val="0"/>
        <w:ind w:left="0" w:firstLine="480" w:firstLineChars="200"/>
        <w:rPr>
          <w:rFonts w:hint="eastAsia" w:ascii="Times New Roman" w:hAnsi="Times New Roman" w:cs="Times New Roman"/>
          <w:color w:val="000000"/>
          <w:lang w:eastAsia="zh-CN"/>
        </w:rPr>
      </w:pPr>
      <w:r>
        <w:rPr>
          <w:rFonts w:hint="eastAsia" w:ascii="Times New Roman" w:hAnsi="Times New Roman" w:cs="Times New Roman"/>
          <w:color w:val="000000"/>
          <w:lang w:val="en-US" w:eastAsia="zh-CN"/>
        </w:rPr>
        <w:t>3</w:t>
      </w:r>
      <w:r>
        <w:rPr>
          <w:rFonts w:hint="eastAsia" w:ascii="Times New Roman" w:hAnsi="Times New Roman" w:cs="Times New Roman"/>
          <w:color w:val="000000"/>
          <w:lang w:eastAsia="zh-CN"/>
        </w:rPr>
        <w:t>）员工生活固废</w:t>
      </w:r>
    </w:p>
    <w:p>
      <w:pPr>
        <w:autoSpaceDE w:val="0"/>
        <w:autoSpaceDN w:val="0"/>
        <w:ind w:firstLine="420" w:firstLineChars="0"/>
        <w:rPr>
          <w:rFonts w:hint="eastAsia"/>
          <w:color w:val="000000"/>
          <w:kern w:val="0"/>
          <w:u w:val="none"/>
        </w:rPr>
      </w:pPr>
      <w:r>
        <w:rPr>
          <w:rFonts w:hint="eastAsia" w:ascii="Times New Roman" w:hAnsi="Times New Roman" w:cs="Times New Roman"/>
          <w:color w:val="000000"/>
          <w:lang w:eastAsia="zh-CN"/>
        </w:rPr>
        <w:t>本项目运营期劳动定员为</w:t>
      </w:r>
      <w:r>
        <w:rPr>
          <w:rFonts w:hint="eastAsia" w:ascii="Times New Roman" w:hAnsi="Times New Roman" w:cs="Times New Roman"/>
          <w:color w:val="000000"/>
          <w:lang w:val="en-US" w:eastAsia="zh-CN"/>
        </w:rPr>
        <w:t>4</w:t>
      </w:r>
      <w:r>
        <w:rPr>
          <w:rFonts w:hint="eastAsia" w:ascii="Times New Roman" w:hAnsi="Times New Roman" w:cs="Times New Roman"/>
          <w:color w:val="000000"/>
          <w:lang w:eastAsia="zh-CN"/>
        </w:rPr>
        <w:t>人，生活垃圾产生量按每人每天0.38kg计，则生活垃圾产生量为</w:t>
      </w:r>
      <w:r>
        <w:rPr>
          <w:rFonts w:hint="eastAsia" w:ascii="Times New Roman" w:hAnsi="Times New Roman" w:cs="Times New Roman"/>
          <w:color w:val="000000"/>
          <w:lang w:val="en-US" w:eastAsia="zh-CN"/>
        </w:rPr>
        <w:t>1.52</w:t>
      </w:r>
      <w:r>
        <w:rPr>
          <w:rFonts w:hint="eastAsia" w:ascii="Times New Roman" w:hAnsi="Times New Roman" w:cs="Times New Roman"/>
          <w:color w:val="000000"/>
          <w:lang w:eastAsia="zh-CN"/>
        </w:rPr>
        <w:t>kg/d。员工生活固废属于一般固废，统一由环卫部门统一处理</w:t>
      </w:r>
      <w:r>
        <w:rPr>
          <w:rFonts w:hint="eastAsia"/>
          <w:color w:val="000000"/>
          <w:kern w:val="0"/>
          <w:u w:val="none"/>
        </w:rPr>
        <w:t>。</w:t>
      </w:r>
    </w:p>
    <w:p>
      <w:pPr>
        <w:ind w:firstLine="480"/>
        <w:rPr>
          <w:color w:val="000000"/>
          <w:kern w:val="0"/>
          <w:u w:val="none"/>
        </w:rPr>
      </w:pPr>
      <w:r>
        <w:rPr>
          <w:rFonts w:hint="eastAsia"/>
          <w:color w:val="000000"/>
          <w:kern w:val="0"/>
          <w:u w:val="none"/>
        </w:rPr>
        <w:t>综上所述，建设方运营期实施本环评废物处置以及污染防治措施后，固体废物基本不会对外环境造成影响。</w:t>
      </w:r>
    </w:p>
    <w:p>
      <w:pPr>
        <w:keepNext/>
        <w:keepLines/>
        <w:widowControl w:val="0"/>
        <w:adjustRightInd w:val="0"/>
        <w:snapToGrid w:val="0"/>
        <w:spacing w:before="120" w:beforeLines="50"/>
        <w:ind w:firstLine="0" w:firstLineChars="0"/>
        <w:outlineLvl w:val="1"/>
        <w:rPr>
          <w:b/>
          <w:color w:val="000000"/>
          <w:sz w:val="28"/>
          <w:szCs w:val="32"/>
        </w:rPr>
      </w:pPr>
      <w:r>
        <w:rPr>
          <w:b/>
          <w:color w:val="000000"/>
          <w:sz w:val="28"/>
          <w:szCs w:val="32"/>
        </w:rPr>
        <w:t>4.2.6</w:t>
      </w:r>
      <w:r>
        <w:rPr>
          <w:rFonts w:hint="eastAsia"/>
          <w:b/>
          <w:color w:val="000000"/>
          <w:sz w:val="28"/>
          <w:szCs w:val="32"/>
        </w:rPr>
        <w:t>工程土壤环境影响分析</w:t>
      </w:r>
    </w:p>
    <w:p>
      <w:pPr>
        <w:ind w:firstLine="480"/>
        <w:rPr>
          <w:rFonts w:hint="eastAsia" w:eastAsia="宋体"/>
          <w:color w:val="000000"/>
          <w:lang w:eastAsia="zh-CN"/>
        </w:rPr>
      </w:pPr>
      <w:r>
        <w:rPr>
          <w:rFonts w:hint="eastAsia"/>
          <w:color w:val="000000"/>
          <w:lang w:eastAsia="zh-CN"/>
        </w:rPr>
        <w:t>（</w:t>
      </w:r>
      <w:r>
        <w:rPr>
          <w:rFonts w:hint="eastAsia"/>
          <w:color w:val="000000"/>
          <w:lang w:val="en-US" w:eastAsia="zh-CN"/>
        </w:rPr>
        <w:t>1</w:t>
      </w:r>
      <w:r>
        <w:rPr>
          <w:rFonts w:hint="eastAsia"/>
          <w:color w:val="000000"/>
          <w:lang w:eastAsia="zh-CN"/>
        </w:rPr>
        <w:t>）评价等级</w:t>
      </w:r>
    </w:p>
    <w:p>
      <w:pPr>
        <w:ind w:firstLine="480"/>
        <w:rPr>
          <w:rFonts w:hint="eastAsia"/>
          <w:color w:val="000000"/>
        </w:rPr>
      </w:pPr>
      <w:r>
        <w:rPr>
          <w:rFonts w:hint="eastAsia"/>
          <w:color w:val="000000"/>
        </w:rPr>
        <w:t>本项目为污水处理</w:t>
      </w:r>
      <w:r>
        <w:rPr>
          <w:rFonts w:hint="eastAsia"/>
          <w:color w:val="000000"/>
          <w:lang w:eastAsia="zh-CN"/>
        </w:rPr>
        <w:t>站</w:t>
      </w:r>
      <w:r>
        <w:rPr>
          <w:rFonts w:hint="eastAsia"/>
          <w:color w:val="000000"/>
        </w:rPr>
        <w:t>项目，根据HJ964-2018《环境影响评价技术导则—土壤环境（试行）》中附录A-土壤环境影响评价行业分类表，本项目属于II类。项目位于花垣县产业园区，项目占地类型为建设用地，故属于土壤环境污染影响类敏感程度分级表的“不敏感”地区；项目占地规模为小型。由下表可知，本项目土壤评价等级为三级。</w:t>
      </w:r>
    </w:p>
    <w:p>
      <w:pPr>
        <w:pStyle w:val="12"/>
        <w:rPr>
          <w:rFonts w:hint="eastAsia"/>
          <w:color w:val="000000"/>
        </w:rPr>
      </w:pPr>
      <w:r>
        <w:rPr>
          <w:rFonts w:hint="eastAsia"/>
          <w:color w:val="000000"/>
          <w:lang w:eastAsia="zh-CN"/>
        </w:rPr>
        <w:t>（</w:t>
      </w:r>
      <w:r>
        <w:rPr>
          <w:rFonts w:hint="eastAsia"/>
          <w:color w:val="000000"/>
          <w:lang w:val="en-US" w:eastAsia="zh-CN"/>
        </w:rPr>
        <w:t>2</w:t>
      </w:r>
      <w:r>
        <w:rPr>
          <w:rFonts w:hint="eastAsia"/>
          <w:color w:val="000000"/>
          <w:lang w:eastAsia="zh-CN"/>
        </w:rPr>
        <w:t>）</w:t>
      </w:r>
      <w:r>
        <w:rPr>
          <w:rFonts w:hint="eastAsia"/>
          <w:color w:val="000000"/>
        </w:rPr>
        <w:t>评价范围内土地利用情况</w:t>
      </w:r>
    </w:p>
    <w:p>
      <w:pPr>
        <w:pStyle w:val="12"/>
        <w:rPr>
          <w:rFonts w:hint="eastAsia"/>
          <w:color w:val="000000"/>
        </w:rPr>
      </w:pPr>
      <w:r>
        <w:rPr>
          <w:rFonts w:hint="eastAsia"/>
          <w:color w:val="000000"/>
        </w:rPr>
        <w:t>根据现场踏勘可知，评价范围内项目所在地及整个厂区均属于工业园，为工业用地，厂区以外的区域评价范围内主要为</w:t>
      </w:r>
      <w:r>
        <w:rPr>
          <w:rFonts w:hint="eastAsia"/>
          <w:color w:val="000000"/>
          <w:lang w:eastAsia="zh-CN"/>
        </w:rPr>
        <w:t>建设用地</w:t>
      </w:r>
      <w:r>
        <w:rPr>
          <w:rFonts w:hint="eastAsia"/>
          <w:color w:val="000000"/>
        </w:rPr>
        <w:t>。</w:t>
      </w:r>
    </w:p>
    <w:p>
      <w:pPr>
        <w:pStyle w:val="12"/>
        <w:rPr>
          <w:rFonts w:hint="eastAsia"/>
          <w:color w:val="000000"/>
        </w:rPr>
      </w:pPr>
      <w:r>
        <w:rPr>
          <w:rFonts w:hint="eastAsia"/>
          <w:color w:val="000000"/>
          <w:lang w:eastAsia="zh-CN"/>
        </w:rPr>
        <w:t>（</w:t>
      </w:r>
      <w:r>
        <w:rPr>
          <w:rFonts w:hint="eastAsia"/>
          <w:color w:val="000000"/>
          <w:lang w:val="en-US" w:eastAsia="zh-CN"/>
        </w:rPr>
        <w:t>3</w:t>
      </w:r>
      <w:r>
        <w:rPr>
          <w:rFonts w:hint="eastAsia"/>
          <w:color w:val="000000"/>
          <w:lang w:eastAsia="zh-CN"/>
        </w:rPr>
        <w:t>）</w:t>
      </w:r>
      <w:r>
        <w:rPr>
          <w:rFonts w:hint="eastAsia"/>
          <w:color w:val="000000"/>
        </w:rPr>
        <w:t>评价时段</w:t>
      </w:r>
    </w:p>
    <w:p>
      <w:pPr>
        <w:pStyle w:val="12"/>
        <w:rPr>
          <w:rFonts w:hint="eastAsia"/>
          <w:color w:val="000000"/>
        </w:rPr>
      </w:pPr>
      <w:r>
        <w:rPr>
          <w:rFonts w:hint="eastAsia"/>
          <w:color w:val="000000"/>
        </w:rPr>
        <w:t>项目施工期主要为土建施工和设备安装，基本不会对土壤环境产生重大影响。且本项目已建成，因此重点预测时段为项目运行期。</w:t>
      </w:r>
    </w:p>
    <w:p>
      <w:pPr>
        <w:pStyle w:val="12"/>
        <w:rPr>
          <w:rFonts w:hint="eastAsia"/>
          <w:color w:val="000000"/>
        </w:rPr>
      </w:pPr>
      <w:r>
        <w:rPr>
          <w:rFonts w:hint="eastAsia"/>
          <w:color w:val="000000"/>
          <w:lang w:eastAsia="zh-CN"/>
        </w:rPr>
        <w:t>（</w:t>
      </w:r>
      <w:r>
        <w:rPr>
          <w:rFonts w:hint="eastAsia"/>
          <w:color w:val="000000"/>
          <w:lang w:val="en-US" w:eastAsia="zh-CN"/>
        </w:rPr>
        <w:t>4</w:t>
      </w:r>
      <w:r>
        <w:rPr>
          <w:rFonts w:hint="eastAsia"/>
          <w:color w:val="000000"/>
          <w:lang w:eastAsia="zh-CN"/>
        </w:rPr>
        <w:t>）</w:t>
      </w:r>
      <w:r>
        <w:rPr>
          <w:rFonts w:hint="eastAsia"/>
          <w:color w:val="000000"/>
        </w:rPr>
        <w:t>土壤污染途径分析</w:t>
      </w:r>
    </w:p>
    <w:p>
      <w:pPr>
        <w:pStyle w:val="12"/>
        <w:rPr>
          <w:rFonts w:hint="eastAsia"/>
          <w:color w:val="000000"/>
        </w:rPr>
      </w:pPr>
      <w:r>
        <w:rPr>
          <w:rFonts w:hint="eastAsia"/>
          <w:color w:val="000000"/>
        </w:rPr>
        <w:t>本项目为污染影响型建设项目，本报告重点从地面漫流和入渗途径影响分析项目正常情况下，项目收集的废水处理达标后，排入</w:t>
      </w:r>
      <w:r>
        <w:rPr>
          <w:rFonts w:hint="eastAsia"/>
          <w:color w:val="000000"/>
          <w:lang w:val="en-US" w:eastAsia="zh-CN"/>
        </w:rPr>
        <w:t>花垣工业集中区污水处理厂</w:t>
      </w:r>
      <w:r>
        <w:rPr>
          <w:rFonts w:hint="eastAsia"/>
          <w:color w:val="000000"/>
        </w:rPr>
        <w:t>处理</w:t>
      </w:r>
      <w:r>
        <w:rPr>
          <w:rFonts w:hint="eastAsia"/>
          <w:color w:val="000000"/>
          <w:lang w:eastAsia="zh-CN"/>
        </w:rPr>
        <w:t>，</w:t>
      </w:r>
      <w:r>
        <w:rPr>
          <w:rFonts w:hint="eastAsia"/>
          <w:color w:val="000000"/>
        </w:rPr>
        <w:t>产生固废均得到妥善回收利用、处理处置。其各类污水池、固废暂存设施均采取防渗措施，防止污水或固废产生的淋溶水渗漏，项目运营期废水固废对土壤的基本不造成污染。</w:t>
      </w:r>
    </w:p>
    <w:p>
      <w:pPr>
        <w:pStyle w:val="12"/>
        <w:rPr>
          <w:rFonts w:hint="eastAsia" w:eastAsia="宋体"/>
          <w:color w:val="000000"/>
          <w:lang w:eastAsia="zh-CN"/>
        </w:rPr>
      </w:pPr>
      <w:r>
        <w:rPr>
          <w:rFonts w:hint="eastAsia"/>
          <w:color w:val="000000"/>
        </w:rPr>
        <w:t>事故情况下，项目运营期废水、固废对土壤的影响主要通过</w:t>
      </w:r>
      <w:r>
        <w:rPr>
          <w:rFonts w:hint="eastAsia"/>
          <w:color w:val="000000"/>
          <w:lang w:val="en-US" w:eastAsia="zh-CN"/>
        </w:rPr>
        <w:t>一下途径对土壤进行污染</w:t>
      </w:r>
      <w:r>
        <w:rPr>
          <w:rFonts w:hint="eastAsia"/>
          <w:color w:val="000000"/>
          <w:lang w:eastAsia="zh-CN"/>
        </w:rPr>
        <w:t>：</w:t>
      </w:r>
    </w:p>
    <w:p>
      <w:pPr>
        <w:pStyle w:val="12"/>
        <w:rPr>
          <w:rFonts w:hint="eastAsia"/>
          <w:color w:val="000000"/>
        </w:rPr>
      </w:pPr>
      <w:r>
        <w:rPr>
          <w:rFonts w:hint="eastAsia"/>
          <w:color w:val="000000"/>
        </w:rPr>
        <w:t>①危险废物等通过泄漏，垂直深入土壤环境，并污染土壤。</w:t>
      </w:r>
    </w:p>
    <w:p>
      <w:pPr>
        <w:pStyle w:val="12"/>
        <w:rPr>
          <w:rFonts w:hint="eastAsia"/>
          <w:color w:val="000000"/>
        </w:rPr>
      </w:pPr>
      <w:r>
        <w:rPr>
          <w:rFonts w:hint="eastAsia"/>
          <w:color w:val="000000"/>
        </w:rPr>
        <w:t>②涉重废水处理池体及事故应急水池底部防渗层破裂，含重金属的废水污染地下水及厂区周围土壤环境。</w:t>
      </w:r>
    </w:p>
    <w:p>
      <w:pPr>
        <w:pStyle w:val="12"/>
        <w:rPr>
          <w:rFonts w:hint="eastAsia"/>
          <w:color w:val="000000"/>
        </w:rPr>
      </w:pPr>
      <w:r>
        <w:rPr>
          <w:rFonts w:hint="eastAsia"/>
          <w:color w:val="000000"/>
        </w:rPr>
        <w:t>因此要求建设单位做好厂区地面防渗工作，避免污染土壤环境。运营期加强管道及设备的日常检查和维护管理，确保管道及设备不出现跑、冒、滴、漏的现象出现，可减少事故情况下对土壤环境的影响。运营期土壤对项目地及周边区域的影响。</w:t>
      </w:r>
    </w:p>
    <w:p>
      <w:pPr>
        <w:bidi w:val="0"/>
        <w:jc w:val="center"/>
        <w:rPr>
          <w:rFonts w:hint="eastAsia"/>
          <w:b/>
          <w:bCs/>
          <w:sz w:val="21"/>
          <w:szCs w:val="21"/>
          <w:lang w:val="en-US" w:eastAsia="zh-CN"/>
        </w:rPr>
      </w:pPr>
      <w:r>
        <w:rPr>
          <w:rFonts w:hint="eastAsia"/>
          <w:b/>
          <w:bCs/>
          <w:sz w:val="21"/>
          <w:szCs w:val="21"/>
          <w:lang w:val="en-US" w:eastAsia="zh-CN"/>
        </w:rPr>
        <w:t>附表3：土壤环境影响评价自查表</w:t>
      </w:r>
    </w:p>
    <w:tbl>
      <w:tblPr>
        <w:tblStyle w:val="37"/>
        <w:tblW w:w="860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3"/>
        <w:gridCol w:w="1372"/>
        <w:gridCol w:w="1417"/>
        <w:gridCol w:w="1534"/>
        <w:gridCol w:w="1625"/>
        <w:gridCol w:w="75"/>
        <w:gridCol w:w="382"/>
        <w:gridCol w:w="430"/>
        <w:gridCol w:w="168"/>
        <w:gridCol w:w="87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2105" w:type="dxa"/>
            <w:gridSpan w:val="2"/>
            <w:tcBorders>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工作内容</w:t>
            </w:r>
          </w:p>
        </w:tc>
        <w:tc>
          <w:tcPr>
            <w:tcW w:w="5631" w:type="dxa"/>
            <w:gridSpan w:val="7"/>
            <w:tcBorders>
              <w:left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完成情况</w:t>
            </w:r>
          </w:p>
        </w:tc>
        <w:tc>
          <w:tcPr>
            <w:tcW w:w="870" w:type="dxa"/>
            <w:tcBorders>
              <w:lef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733" w:type="dxa"/>
            <w:vMerge w:val="restart"/>
            <w:tcBorders>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影响识别</w:t>
            </w:r>
          </w:p>
        </w:tc>
        <w:tc>
          <w:tcPr>
            <w:tcW w:w="1372" w:type="dxa"/>
            <w:tcBorders>
              <w:left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影响类型</w:t>
            </w:r>
          </w:p>
        </w:tc>
        <w:tc>
          <w:tcPr>
            <w:tcW w:w="5631" w:type="dxa"/>
            <w:gridSpan w:val="7"/>
            <w:tcBorders>
              <w:left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left="120" w:leftChars="50" w:firstLine="0" w:firstLineChars="0"/>
              <w:jc w:val="center"/>
              <w:textAlignment w:val="auto"/>
              <w:rPr>
                <w:rFonts w:ascii="宋体" w:hAnsi="宋体" w:eastAsia="宋体" w:cs="宋体"/>
                <w:kern w:val="0"/>
                <w:sz w:val="18"/>
                <w:szCs w:val="18"/>
                <w:lang w:bidi="en-US"/>
              </w:rPr>
            </w:pPr>
            <w:r>
              <w:rPr>
                <w:rFonts w:ascii="宋体" w:hAnsi="宋体" w:eastAsia="宋体" w:cs="宋体"/>
                <w:kern w:val="0"/>
                <w:sz w:val="18"/>
                <w:szCs w:val="18"/>
                <w:lang w:bidi="en-US"/>
              </w:rPr>
              <w:t>污染影响型</w:t>
            </w:r>
            <w:r>
              <w:rPr>
                <w:rFonts w:ascii="宋体" w:hAnsi="宋体" w:eastAsia="宋体" w:cs="宋体"/>
                <w:kern w:val="0"/>
                <w:sz w:val="18"/>
                <w:szCs w:val="18"/>
                <w:lang w:bidi="en-US"/>
              </w:rPr>
              <w:sym w:font="Wingdings 2" w:char="0052"/>
            </w:r>
            <w:r>
              <w:rPr>
                <w:rFonts w:ascii="宋体" w:hAnsi="宋体" w:eastAsia="宋体" w:cs="宋体"/>
                <w:kern w:val="0"/>
                <w:sz w:val="18"/>
                <w:szCs w:val="18"/>
                <w:lang w:bidi="en-US"/>
              </w:rPr>
              <w:t>；生态影响型□；两种兼有□</w:t>
            </w:r>
          </w:p>
        </w:tc>
        <w:tc>
          <w:tcPr>
            <w:tcW w:w="870" w:type="dxa"/>
            <w:tcBorders>
              <w:lef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bidi="en-US"/>
              </w:rPr>
            </w:pPr>
          </w:p>
        </w:tc>
        <w:tc>
          <w:tcPr>
            <w:tcW w:w="1372" w:type="dxa"/>
            <w:tcBorders>
              <w:left w:val="single" w:color="000000" w:sz="6" w:space="0"/>
              <w:bottom w:val="single" w:color="000000" w:sz="4"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土地利用类型</w:t>
            </w:r>
          </w:p>
        </w:tc>
        <w:tc>
          <w:tcPr>
            <w:tcW w:w="5631" w:type="dxa"/>
            <w:gridSpan w:val="7"/>
            <w:tcBorders>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ind w:left="120" w:leftChars="50" w:firstLine="0" w:firstLineChars="0"/>
              <w:jc w:val="center"/>
              <w:textAlignment w:val="auto"/>
              <w:rPr>
                <w:rFonts w:ascii="宋体" w:hAnsi="宋体" w:eastAsia="宋体" w:cs="宋体"/>
                <w:kern w:val="0"/>
                <w:sz w:val="18"/>
                <w:szCs w:val="18"/>
                <w:lang w:bidi="en-US"/>
              </w:rPr>
            </w:pPr>
            <w:r>
              <w:rPr>
                <w:rFonts w:ascii="宋体" w:hAnsi="宋体" w:eastAsia="宋体" w:cs="宋体"/>
                <w:kern w:val="0"/>
                <w:sz w:val="18"/>
                <w:szCs w:val="18"/>
                <w:lang w:bidi="en-US"/>
              </w:rPr>
              <w:t>建设用地</w:t>
            </w:r>
            <w:r>
              <w:rPr>
                <w:rFonts w:ascii="宋体" w:hAnsi="宋体" w:eastAsia="宋体" w:cs="宋体"/>
                <w:kern w:val="0"/>
                <w:sz w:val="18"/>
                <w:szCs w:val="18"/>
                <w:lang w:bidi="en-US"/>
              </w:rPr>
              <w:sym w:font="Wingdings 2" w:char="0052"/>
            </w:r>
            <w:r>
              <w:rPr>
                <w:rFonts w:ascii="宋体" w:hAnsi="宋体" w:eastAsia="宋体" w:cs="宋体"/>
                <w:kern w:val="0"/>
                <w:sz w:val="18"/>
                <w:szCs w:val="18"/>
                <w:lang w:bidi="en-US"/>
              </w:rPr>
              <w:t>；农用地□；未利用地□</w:t>
            </w:r>
          </w:p>
        </w:tc>
        <w:tc>
          <w:tcPr>
            <w:tcW w:w="870" w:type="dxa"/>
            <w:tcBorders>
              <w:left w:val="single" w:color="000000" w:sz="6" w:space="0"/>
              <w:bottom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土地利用类型图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1"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372" w:type="dxa"/>
            <w:tcBorders>
              <w:top w:val="single" w:color="000000" w:sz="4"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占地规模</w:t>
            </w:r>
          </w:p>
        </w:tc>
        <w:tc>
          <w:tcPr>
            <w:tcW w:w="5631" w:type="dxa"/>
            <w:gridSpan w:val="7"/>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tabs>
                <w:tab w:val="left" w:pos="1370"/>
              </w:tabs>
              <w:kinsoku/>
              <w:wordWrap/>
              <w:overflowPunct/>
              <w:topLinePunct w:val="0"/>
              <w:autoSpaceDE w:val="0"/>
              <w:autoSpaceDN w:val="0"/>
              <w:bidi w:val="0"/>
              <w:adjustRightInd/>
              <w:snapToGrid/>
              <w:ind w:left="120" w:leftChars="50" w:firstLine="0" w:firstLineChars="0"/>
              <w:jc w:val="center"/>
              <w:textAlignment w:val="auto"/>
              <w:rPr>
                <w:rFonts w:ascii="Times New Roman" w:hAnsi="宋体" w:eastAsia="Times New Roman" w:cs="宋体"/>
                <w:kern w:val="0"/>
                <w:sz w:val="18"/>
                <w:szCs w:val="18"/>
                <w:lang w:eastAsia="en-US" w:bidi="en-US"/>
              </w:rPr>
            </w:pPr>
            <w:r>
              <w:rPr>
                <w:rFonts w:ascii="宋体" w:hAnsi="宋体" w:eastAsia="宋体" w:cs="宋体"/>
                <w:kern w:val="0"/>
                <w:sz w:val="18"/>
                <w:szCs w:val="18"/>
                <w:lang w:eastAsia="en-US" w:bidi="en-US"/>
              </w:rPr>
              <w:t>（</w:t>
            </w:r>
            <w:r>
              <w:rPr>
                <w:rFonts w:hint="eastAsia" w:ascii="宋体" w:hAnsi="宋体" w:eastAsia="宋体" w:cs="宋体"/>
                <w:kern w:val="0"/>
                <w:sz w:val="18"/>
                <w:szCs w:val="18"/>
                <w:lang w:bidi="en-US"/>
              </w:rPr>
              <w:t>0</w:t>
            </w:r>
            <w:r>
              <w:rPr>
                <w:rFonts w:ascii="宋体" w:hAnsi="宋体" w:eastAsia="宋体" w:cs="宋体"/>
                <w:kern w:val="0"/>
                <w:sz w:val="18"/>
                <w:szCs w:val="18"/>
                <w:lang w:bidi="en-US"/>
              </w:rPr>
              <w:t>.4758</w:t>
            </w:r>
            <w:r>
              <w:rPr>
                <w:rFonts w:ascii="宋体" w:hAnsi="宋体" w:eastAsia="宋体" w:cs="宋体"/>
                <w:kern w:val="0"/>
                <w:sz w:val="18"/>
                <w:szCs w:val="18"/>
                <w:lang w:eastAsia="en-US" w:bidi="en-US"/>
              </w:rPr>
              <w:t>）</w:t>
            </w:r>
            <w:r>
              <w:rPr>
                <w:rFonts w:ascii="Times New Roman" w:hAnsi="宋体" w:eastAsia="Times New Roman" w:cs="宋体"/>
                <w:kern w:val="0"/>
                <w:sz w:val="18"/>
                <w:szCs w:val="18"/>
                <w:lang w:eastAsia="en-US" w:bidi="en-US"/>
              </w:rPr>
              <w:t>hm</w:t>
            </w:r>
            <w:r>
              <w:rPr>
                <w:rFonts w:ascii="Times New Roman" w:hAnsi="宋体" w:eastAsia="Times New Roman" w:cs="宋体"/>
                <w:kern w:val="0"/>
                <w:position w:val="6"/>
                <w:sz w:val="18"/>
                <w:szCs w:val="18"/>
                <w:lang w:eastAsia="en-US" w:bidi="en-US"/>
              </w:rPr>
              <w:t>2</w:t>
            </w:r>
          </w:p>
        </w:tc>
        <w:tc>
          <w:tcPr>
            <w:tcW w:w="870" w:type="dxa"/>
            <w:tcBorders>
              <w:top w:val="single" w:color="000000" w:sz="4"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37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敏感目标信息</w:t>
            </w:r>
          </w:p>
        </w:tc>
        <w:tc>
          <w:tcPr>
            <w:tcW w:w="5631" w:type="dxa"/>
            <w:gridSpan w:val="7"/>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tabs>
                <w:tab w:val="left" w:pos="1639"/>
                <w:tab w:val="left" w:pos="3530"/>
              </w:tabs>
              <w:kinsoku/>
              <w:wordWrap/>
              <w:overflowPunct/>
              <w:topLinePunct w:val="0"/>
              <w:autoSpaceDE w:val="0"/>
              <w:autoSpaceDN w:val="0"/>
              <w:bidi w:val="0"/>
              <w:adjustRightInd/>
              <w:snapToGrid/>
              <w:ind w:left="120" w:leftChars="50" w:firstLine="0" w:firstLineChars="0"/>
              <w:jc w:val="center"/>
              <w:textAlignment w:val="auto"/>
              <w:rPr>
                <w:rFonts w:ascii="Times New Roman" w:hAnsi="宋体" w:eastAsia="宋体" w:cs="宋体"/>
                <w:kern w:val="0"/>
                <w:sz w:val="18"/>
                <w:szCs w:val="18"/>
                <w:lang w:eastAsia="en-US" w:bidi="en-US"/>
              </w:rPr>
            </w:pPr>
            <w:r>
              <w:rPr>
                <w:rFonts w:ascii="宋体" w:hAnsi="宋体" w:eastAsia="宋体" w:cs="宋体"/>
                <w:kern w:val="0"/>
                <w:sz w:val="18"/>
                <w:szCs w:val="18"/>
                <w:lang w:bidi="en-US"/>
              </w:rPr>
              <w:t>敏感目标（ ）、方位（</w:t>
            </w:r>
            <w:r>
              <w:rPr>
                <w:rFonts w:hint="eastAsia" w:ascii="宋体" w:hAnsi="宋体" w:eastAsia="宋体" w:cs="宋体"/>
                <w:kern w:val="0"/>
                <w:sz w:val="18"/>
                <w:szCs w:val="18"/>
                <w:lang w:bidi="en-US"/>
              </w:rPr>
              <w:t xml:space="preserve"> </w:t>
            </w:r>
            <w:r>
              <w:rPr>
                <w:rFonts w:ascii="宋体" w:hAnsi="宋体" w:eastAsia="宋体" w:cs="宋体"/>
                <w:kern w:val="0"/>
                <w:sz w:val="18"/>
                <w:szCs w:val="18"/>
                <w:lang w:bidi="en-US"/>
              </w:rPr>
              <w:t>）、距离（</w:t>
            </w:r>
            <w:r>
              <w:rPr>
                <w:rFonts w:ascii="宋体" w:hAnsi="宋体" w:eastAsia="宋体" w:cs="宋体"/>
                <w:kern w:val="0"/>
                <w:sz w:val="18"/>
                <w:szCs w:val="18"/>
                <w:lang w:eastAsia="en-US" w:bidi="en-US"/>
              </w:rPr>
              <w:t>）</w:t>
            </w:r>
          </w:p>
        </w:tc>
        <w:tc>
          <w:tcPr>
            <w:tcW w:w="870" w:type="dxa"/>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37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影响途径</w:t>
            </w:r>
          </w:p>
        </w:tc>
        <w:tc>
          <w:tcPr>
            <w:tcW w:w="5631" w:type="dxa"/>
            <w:gridSpan w:val="7"/>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ind w:left="120" w:leftChars="50" w:firstLine="0" w:firstLineChars="0"/>
              <w:jc w:val="center"/>
              <w:textAlignment w:val="auto"/>
              <w:rPr>
                <w:rFonts w:ascii="Times New Roman" w:hAnsi="宋体" w:eastAsia="宋体" w:cs="宋体"/>
                <w:kern w:val="0"/>
                <w:sz w:val="18"/>
                <w:szCs w:val="18"/>
                <w:lang w:eastAsia="en-US" w:bidi="en-US"/>
              </w:rPr>
            </w:pPr>
            <w:r>
              <w:rPr>
                <w:rFonts w:ascii="宋体" w:hAnsi="宋体" w:eastAsia="宋体" w:cs="宋体"/>
                <w:kern w:val="0"/>
                <w:sz w:val="18"/>
                <w:szCs w:val="18"/>
                <w:lang w:bidi="en-US"/>
              </w:rPr>
              <w:t>大气沉降□；地面漫流□；垂直入渗</w:t>
            </w:r>
            <w:r>
              <w:rPr>
                <w:rFonts w:ascii="宋体" w:hAnsi="宋体" w:eastAsia="宋体" w:cs="宋体"/>
                <w:kern w:val="0"/>
                <w:sz w:val="18"/>
                <w:szCs w:val="18"/>
                <w:lang w:bidi="en-US"/>
              </w:rPr>
              <w:sym w:font="Wingdings 2" w:char="0052"/>
            </w:r>
            <w:r>
              <w:rPr>
                <w:rFonts w:ascii="宋体" w:hAnsi="宋体" w:eastAsia="宋体" w:cs="宋体"/>
                <w:kern w:val="0"/>
                <w:sz w:val="18"/>
                <w:szCs w:val="18"/>
                <w:lang w:bidi="en-US"/>
              </w:rPr>
              <w:t>；地下水位□；其他（</w:t>
            </w:r>
            <w:r>
              <w:rPr>
                <w:rFonts w:ascii="宋体" w:hAnsi="宋体" w:eastAsia="宋体" w:cs="宋体"/>
                <w:kern w:val="0"/>
                <w:sz w:val="18"/>
                <w:szCs w:val="18"/>
                <w:lang w:eastAsia="en-US" w:bidi="en-US"/>
              </w:rPr>
              <w:t>）</w:t>
            </w:r>
          </w:p>
        </w:tc>
        <w:tc>
          <w:tcPr>
            <w:tcW w:w="870" w:type="dxa"/>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37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全部污染物</w:t>
            </w:r>
          </w:p>
        </w:tc>
        <w:tc>
          <w:tcPr>
            <w:tcW w:w="5631" w:type="dxa"/>
            <w:gridSpan w:val="7"/>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ind w:left="120" w:leftChars="50" w:firstLine="0" w:firstLineChars="0"/>
              <w:jc w:val="center"/>
              <w:textAlignment w:val="auto"/>
              <w:rPr>
                <w:rFonts w:ascii="Times New Roman" w:hAnsi="宋体" w:eastAsia="宋体" w:cs="宋体"/>
                <w:kern w:val="0"/>
                <w:sz w:val="18"/>
                <w:szCs w:val="18"/>
                <w:lang w:bidi="en-US"/>
              </w:rPr>
            </w:pPr>
            <w:r>
              <w:rPr>
                <w:rFonts w:hint="eastAsia" w:ascii="Times New Roman" w:hAnsi="宋体" w:eastAsia="宋体" w:cs="宋体"/>
                <w:kern w:val="0"/>
                <w:sz w:val="18"/>
                <w:szCs w:val="18"/>
                <w:lang w:bidi="en-US"/>
              </w:rPr>
              <w:t>《土壤环境质量</w:t>
            </w:r>
            <w:r>
              <w:rPr>
                <w:rFonts w:ascii="Times New Roman" w:hAnsi="宋体" w:eastAsia="宋体" w:cs="宋体"/>
                <w:kern w:val="0"/>
                <w:sz w:val="18"/>
                <w:szCs w:val="18"/>
                <w:lang w:bidi="en-US"/>
              </w:rPr>
              <w:t xml:space="preserve"> 建设用地土壤污染风险管控标准（试行）》（GB36600-2018）45项基本因子、pH、</w:t>
            </w:r>
            <w:r>
              <w:rPr>
                <w:rFonts w:hint="eastAsia" w:ascii="Times New Roman" w:hAnsi="宋体" w:eastAsia="宋体" w:cs="宋体"/>
                <w:kern w:val="0"/>
                <w:sz w:val="18"/>
                <w:szCs w:val="18"/>
                <w:lang w:bidi="en-US"/>
              </w:rPr>
              <w:t>锌、铅、锰、总铬、六价铬、总钒</w:t>
            </w:r>
          </w:p>
        </w:tc>
        <w:tc>
          <w:tcPr>
            <w:tcW w:w="870" w:type="dxa"/>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12"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37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特征因子</w:t>
            </w:r>
          </w:p>
        </w:tc>
        <w:tc>
          <w:tcPr>
            <w:tcW w:w="5631" w:type="dxa"/>
            <w:gridSpan w:val="7"/>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left="120" w:leftChars="50" w:firstLine="0" w:firstLineChars="0"/>
              <w:jc w:val="center"/>
              <w:textAlignment w:val="auto"/>
              <w:rPr>
                <w:rFonts w:ascii="Times New Roman" w:hAnsi="宋体" w:eastAsia="宋体" w:cs="宋体"/>
                <w:kern w:val="0"/>
                <w:sz w:val="18"/>
                <w:szCs w:val="18"/>
                <w:lang w:eastAsia="en-US" w:bidi="en-US"/>
              </w:rPr>
            </w:pPr>
            <w:r>
              <w:rPr>
                <w:rFonts w:hint="eastAsia" w:ascii="Times New Roman" w:hAnsi="宋体" w:eastAsia="宋体" w:cs="宋体"/>
                <w:kern w:val="0"/>
                <w:sz w:val="18"/>
                <w:szCs w:val="18"/>
                <w:lang w:bidi="en-US"/>
              </w:rPr>
              <w:t>锌、铅、锰、总铬、六价铬、总钒</w:t>
            </w:r>
          </w:p>
        </w:tc>
        <w:tc>
          <w:tcPr>
            <w:tcW w:w="870" w:type="dxa"/>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5"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37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ascii="宋体" w:hAnsi="宋体" w:eastAsia="宋体" w:cs="宋体"/>
                <w:kern w:val="0"/>
                <w:sz w:val="18"/>
                <w:szCs w:val="18"/>
                <w:lang w:bidi="en-US"/>
              </w:rPr>
            </w:pPr>
            <w:r>
              <w:rPr>
                <w:rFonts w:ascii="宋体" w:hAnsi="宋体" w:eastAsia="宋体" w:cs="宋体"/>
                <w:kern w:val="0"/>
                <w:sz w:val="18"/>
                <w:szCs w:val="18"/>
                <w:lang w:bidi="en-US"/>
              </w:rPr>
              <w:t>所属土壤环境影响</w:t>
            </w:r>
          </w:p>
          <w:p>
            <w:pPr>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ascii="宋体" w:hAnsi="宋体" w:eastAsia="宋体" w:cs="宋体"/>
                <w:kern w:val="0"/>
                <w:sz w:val="18"/>
                <w:szCs w:val="18"/>
                <w:lang w:bidi="en-US"/>
              </w:rPr>
            </w:pPr>
            <w:r>
              <w:rPr>
                <w:rFonts w:ascii="宋体" w:hAnsi="宋体" w:eastAsia="宋体" w:cs="宋体"/>
                <w:kern w:val="0"/>
                <w:sz w:val="18"/>
                <w:szCs w:val="18"/>
                <w:lang w:bidi="en-US"/>
              </w:rPr>
              <w:t>评价项目类别</w:t>
            </w:r>
          </w:p>
        </w:tc>
        <w:tc>
          <w:tcPr>
            <w:tcW w:w="5631" w:type="dxa"/>
            <w:gridSpan w:val="7"/>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ind w:left="120" w:leftChars="50" w:firstLine="0" w:firstLineChars="0"/>
              <w:jc w:val="center"/>
              <w:textAlignment w:val="auto"/>
              <w:rPr>
                <w:rFonts w:ascii="宋体" w:hAnsi="宋体" w:eastAsia="宋体" w:cs="宋体"/>
                <w:kern w:val="0"/>
                <w:sz w:val="18"/>
                <w:szCs w:val="18"/>
                <w:lang w:bidi="en-US"/>
              </w:rPr>
            </w:pPr>
            <w:r>
              <w:rPr>
                <w:rFonts w:ascii="宋体" w:hAnsi="宋体" w:eastAsia="宋体" w:cs="宋体"/>
                <w:kern w:val="0"/>
                <w:sz w:val="18"/>
                <w:szCs w:val="18"/>
                <w:lang w:bidi="en-US"/>
              </w:rPr>
              <w:t>Ⅰ类</w:t>
            </w:r>
            <w:r>
              <w:rPr>
                <w:rFonts w:ascii="宋体" w:hAnsi="宋体" w:eastAsia="宋体" w:cs="宋体"/>
                <w:kern w:val="0"/>
                <w:sz w:val="18"/>
                <w:szCs w:val="18"/>
                <w:lang w:bidi="en-US"/>
              </w:rPr>
              <w:sym w:font="Wingdings 2" w:char="0052"/>
            </w:r>
            <w:r>
              <w:rPr>
                <w:rFonts w:ascii="宋体" w:hAnsi="宋体" w:eastAsia="宋体" w:cs="宋体"/>
                <w:kern w:val="0"/>
                <w:sz w:val="18"/>
                <w:szCs w:val="18"/>
                <w:lang w:bidi="en-US"/>
              </w:rPr>
              <w:t>；Ⅱ类□；Ⅲ类</w:t>
            </w:r>
            <w:r>
              <w:rPr>
                <w:rFonts w:ascii="宋体" w:hAnsi="宋体" w:eastAsia="宋体" w:cs="宋体"/>
                <w:kern w:val="0"/>
                <w:sz w:val="18"/>
                <w:szCs w:val="18"/>
                <w:lang w:bidi="en-US"/>
              </w:rPr>
              <w:sym w:font="Wingdings 2" w:char="00A3"/>
            </w:r>
            <w:r>
              <w:rPr>
                <w:rFonts w:ascii="宋体" w:hAnsi="宋体" w:eastAsia="宋体" w:cs="宋体"/>
                <w:kern w:val="0"/>
                <w:sz w:val="18"/>
                <w:szCs w:val="18"/>
                <w:lang w:bidi="en-US"/>
              </w:rPr>
              <w:t>；Ⅳ类□</w:t>
            </w:r>
          </w:p>
        </w:tc>
        <w:tc>
          <w:tcPr>
            <w:tcW w:w="870" w:type="dxa"/>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bidi="en-US"/>
              </w:rPr>
            </w:pPr>
          </w:p>
        </w:tc>
        <w:tc>
          <w:tcPr>
            <w:tcW w:w="137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敏感程度</w:t>
            </w:r>
          </w:p>
        </w:tc>
        <w:tc>
          <w:tcPr>
            <w:tcW w:w="5631" w:type="dxa"/>
            <w:gridSpan w:val="7"/>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left="120" w:leftChars="50" w:firstLine="0" w:firstLineChars="0"/>
              <w:jc w:val="center"/>
              <w:textAlignment w:val="auto"/>
              <w:rPr>
                <w:rFonts w:ascii="宋体" w:hAnsi="宋体" w:eastAsia="宋体" w:cs="宋体"/>
                <w:kern w:val="0"/>
                <w:sz w:val="18"/>
                <w:szCs w:val="18"/>
                <w:lang w:bidi="en-US"/>
              </w:rPr>
            </w:pPr>
            <w:r>
              <w:rPr>
                <w:rFonts w:ascii="宋体" w:hAnsi="宋体" w:eastAsia="宋体" w:cs="宋体"/>
                <w:kern w:val="0"/>
                <w:sz w:val="18"/>
                <w:szCs w:val="18"/>
                <w:lang w:bidi="en-US"/>
              </w:rPr>
              <w:t>敏感□；较敏感□；不敏感</w:t>
            </w:r>
            <w:r>
              <w:rPr>
                <w:rFonts w:ascii="宋体" w:hAnsi="宋体" w:eastAsia="宋体" w:cs="宋体"/>
                <w:kern w:val="0"/>
                <w:sz w:val="18"/>
                <w:szCs w:val="18"/>
                <w:lang w:bidi="en-US"/>
              </w:rPr>
              <w:sym w:font="Wingdings 2" w:char="0052"/>
            </w:r>
          </w:p>
        </w:tc>
        <w:tc>
          <w:tcPr>
            <w:tcW w:w="870" w:type="dxa"/>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2105" w:type="dxa"/>
            <w:gridSpan w:val="2"/>
            <w:tcBorders>
              <w:top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评价工作等级</w:t>
            </w:r>
          </w:p>
        </w:tc>
        <w:tc>
          <w:tcPr>
            <w:tcW w:w="5631" w:type="dxa"/>
            <w:gridSpan w:val="7"/>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left="120" w:leftChars="50" w:firstLine="0" w:firstLineChars="0"/>
              <w:jc w:val="center"/>
              <w:textAlignment w:val="auto"/>
              <w:rPr>
                <w:rFonts w:ascii="宋体" w:hAnsi="宋体" w:eastAsia="宋体" w:cs="宋体"/>
                <w:kern w:val="0"/>
                <w:sz w:val="18"/>
                <w:szCs w:val="18"/>
                <w:lang w:bidi="en-US"/>
              </w:rPr>
            </w:pPr>
            <w:r>
              <w:rPr>
                <w:rFonts w:ascii="宋体" w:hAnsi="宋体" w:eastAsia="宋体" w:cs="宋体"/>
                <w:kern w:val="0"/>
                <w:sz w:val="18"/>
                <w:szCs w:val="18"/>
                <w:lang w:bidi="en-US"/>
              </w:rPr>
              <w:t>一级□；二级□；三级</w:t>
            </w:r>
            <w:r>
              <w:rPr>
                <w:rFonts w:ascii="宋体" w:hAnsi="宋体" w:eastAsia="宋体" w:cs="宋体"/>
                <w:kern w:val="0"/>
                <w:sz w:val="18"/>
                <w:szCs w:val="18"/>
                <w:lang w:bidi="en-US"/>
              </w:rPr>
              <w:sym w:font="Wingdings 2" w:char="0052"/>
            </w:r>
          </w:p>
        </w:tc>
        <w:tc>
          <w:tcPr>
            <w:tcW w:w="870" w:type="dxa"/>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11" w:hRule="atLeast"/>
          <w:jc w:val="center"/>
        </w:trPr>
        <w:tc>
          <w:tcPr>
            <w:tcW w:w="733" w:type="dxa"/>
            <w:vMerge w:val="restart"/>
            <w:tcBorders>
              <w:top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现状调查内容</w:t>
            </w:r>
          </w:p>
        </w:tc>
        <w:tc>
          <w:tcPr>
            <w:tcW w:w="137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资料收集</w:t>
            </w:r>
          </w:p>
        </w:tc>
        <w:tc>
          <w:tcPr>
            <w:tcW w:w="5631" w:type="dxa"/>
            <w:gridSpan w:val="7"/>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left="120" w:leftChars="50" w:firstLine="0" w:firstLineChars="0"/>
              <w:jc w:val="center"/>
              <w:textAlignment w:val="auto"/>
              <w:rPr>
                <w:rFonts w:ascii="宋体" w:hAnsi="宋体" w:eastAsia="宋体" w:cs="宋体"/>
                <w:kern w:val="0"/>
                <w:sz w:val="18"/>
                <w:szCs w:val="18"/>
                <w:lang w:eastAsia="en-US" w:bidi="en-US"/>
              </w:rPr>
            </w:pPr>
            <w:r>
              <w:rPr>
                <w:rFonts w:ascii="Times New Roman" w:hAnsi="Times New Roman" w:eastAsia="Times New Roman" w:cs="宋体"/>
                <w:kern w:val="0"/>
                <w:sz w:val="18"/>
                <w:szCs w:val="18"/>
                <w:lang w:eastAsia="en-US" w:bidi="en-US"/>
              </w:rPr>
              <w:t>a</w:t>
            </w:r>
            <w:r>
              <w:rPr>
                <w:rFonts w:ascii="宋体" w:hAnsi="宋体" w:eastAsia="宋体" w:cs="宋体"/>
                <w:kern w:val="0"/>
                <w:sz w:val="18"/>
                <w:szCs w:val="18"/>
                <w:lang w:eastAsia="en-US" w:bidi="en-US"/>
              </w:rPr>
              <w:t>）□；</w:t>
            </w:r>
            <w:r>
              <w:rPr>
                <w:rFonts w:ascii="Times New Roman" w:hAnsi="Times New Roman" w:eastAsia="Times New Roman" w:cs="宋体"/>
                <w:kern w:val="0"/>
                <w:sz w:val="18"/>
                <w:szCs w:val="18"/>
                <w:lang w:eastAsia="en-US" w:bidi="en-US"/>
              </w:rPr>
              <w:t>b</w:t>
            </w:r>
            <w:r>
              <w:rPr>
                <w:rFonts w:ascii="宋体" w:hAnsi="宋体" w:eastAsia="宋体" w:cs="宋体"/>
                <w:kern w:val="0"/>
                <w:sz w:val="18"/>
                <w:szCs w:val="18"/>
                <w:lang w:eastAsia="en-US" w:bidi="en-US"/>
              </w:rPr>
              <w:t>）□；</w:t>
            </w:r>
            <w:r>
              <w:rPr>
                <w:rFonts w:ascii="Times New Roman" w:hAnsi="Times New Roman" w:eastAsia="Times New Roman" w:cs="宋体"/>
                <w:kern w:val="0"/>
                <w:sz w:val="18"/>
                <w:szCs w:val="18"/>
                <w:lang w:eastAsia="en-US" w:bidi="en-US"/>
              </w:rPr>
              <w:t>c</w:t>
            </w:r>
            <w:r>
              <w:rPr>
                <w:rFonts w:ascii="宋体" w:hAnsi="宋体" w:eastAsia="宋体" w:cs="宋体"/>
                <w:kern w:val="0"/>
                <w:sz w:val="18"/>
                <w:szCs w:val="18"/>
                <w:lang w:eastAsia="en-US" w:bidi="en-US"/>
              </w:rPr>
              <w:t>）□；d）□</w:t>
            </w:r>
          </w:p>
        </w:tc>
        <w:tc>
          <w:tcPr>
            <w:tcW w:w="870" w:type="dxa"/>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37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理化特性</w:t>
            </w:r>
          </w:p>
        </w:tc>
        <w:tc>
          <w:tcPr>
            <w:tcW w:w="5631" w:type="dxa"/>
            <w:gridSpan w:val="7"/>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c>
          <w:tcPr>
            <w:tcW w:w="870" w:type="dxa"/>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Times New Roman" w:cs="宋体"/>
                <w:kern w:val="0"/>
                <w:sz w:val="18"/>
                <w:szCs w:val="18"/>
                <w:lang w:eastAsia="en-US" w:bidi="en-US"/>
              </w:rPr>
            </w:pPr>
            <w:r>
              <w:rPr>
                <w:rFonts w:ascii="宋体" w:hAnsi="宋体" w:eastAsia="宋体" w:cs="宋体"/>
                <w:kern w:val="0"/>
                <w:sz w:val="18"/>
                <w:szCs w:val="18"/>
                <w:lang w:eastAsia="en-US" w:bidi="en-US"/>
              </w:rPr>
              <w:t xml:space="preserve">同附录 </w:t>
            </w:r>
            <w:r>
              <w:rPr>
                <w:rFonts w:ascii="Times New Roman" w:hAnsi="宋体" w:eastAsia="Times New Roman" w:cs="宋体"/>
                <w:kern w:val="0"/>
                <w:sz w:val="18"/>
                <w:szCs w:val="18"/>
                <w:lang w:eastAsia="en-US" w:bidi="en-US"/>
              </w:rPr>
              <w:t>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372" w:type="dxa"/>
            <w:vMerge w:val="restart"/>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现状监测点位</w:t>
            </w:r>
          </w:p>
        </w:tc>
        <w:tc>
          <w:tcPr>
            <w:tcW w:w="1417" w:type="dxa"/>
            <w:tcBorders>
              <w:top w:val="single" w:color="000000" w:sz="6" w:space="0"/>
              <w:left w:val="single" w:color="000000" w:sz="6"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c>
          <w:tcPr>
            <w:tcW w:w="1534"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占地范围内</w:t>
            </w:r>
          </w:p>
        </w:tc>
        <w:tc>
          <w:tcPr>
            <w:tcW w:w="1700" w:type="dxa"/>
            <w:gridSpan w:val="2"/>
            <w:tcBorders>
              <w:top w:val="single" w:color="000000" w:sz="6"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占地范围外</w:t>
            </w:r>
          </w:p>
        </w:tc>
        <w:tc>
          <w:tcPr>
            <w:tcW w:w="980" w:type="dxa"/>
            <w:gridSpan w:val="3"/>
            <w:tcBorders>
              <w:top w:val="single" w:color="000000" w:sz="6" w:space="0"/>
              <w:left w:val="single" w:color="000000" w:sz="4" w:space="0"/>
              <w:bottom w:val="single" w:color="000000" w:sz="4"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深度</w:t>
            </w:r>
          </w:p>
        </w:tc>
        <w:tc>
          <w:tcPr>
            <w:tcW w:w="870" w:type="dxa"/>
            <w:vMerge w:val="restart"/>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点位布置图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372" w:type="dxa"/>
            <w:vMerge w:val="continue"/>
            <w:tcBorders>
              <w:top w:val="nil"/>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417" w:type="dxa"/>
            <w:tcBorders>
              <w:top w:val="single" w:color="000000" w:sz="4" w:space="0"/>
              <w:left w:val="single" w:color="000000" w:sz="6"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表层样点数</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eastAsia" w:ascii="Times New Roman" w:hAnsi="宋体" w:eastAsia="宋体" w:cs="宋体"/>
                <w:kern w:val="0"/>
                <w:sz w:val="18"/>
                <w:szCs w:val="18"/>
                <w:lang w:eastAsia="zh-CN" w:bidi="en-US"/>
              </w:rPr>
            </w:pPr>
            <w:r>
              <w:rPr>
                <w:rFonts w:hint="eastAsia" w:ascii="Times New Roman" w:hAnsi="宋体" w:eastAsia="宋体" w:cs="宋体"/>
                <w:kern w:val="0"/>
                <w:sz w:val="18"/>
                <w:szCs w:val="18"/>
                <w:lang w:val="en-US" w:eastAsia="zh-CN" w:bidi="en-US"/>
              </w:rPr>
              <w:t>3</w:t>
            </w:r>
          </w:p>
        </w:tc>
        <w:tc>
          <w:tcPr>
            <w:tcW w:w="1700"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eastAsia" w:ascii="Times New Roman" w:hAnsi="宋体" w:eastAsia="宋体" w:cs="宋体"/>
                <w:kern w:val="0"/>
                <w:sz w:val="18"/>
                <w:szCs w:val="18"/>
                <w:lang w:eastAsia="zh-CN" w:bidi="en-US"/>
              </w:rPr>
            </w:pPr>
            <w:r>
              <w:rPr>
                <w:rFonts w:hint="eastAsia" w:ascii="Times New Roman" w:hAnsi="宋体" w:eastAsia="宋体" w:cs="宋体"/>
                <w:kern w:val="0"/>
                <w:sz w:val="18"/>
                <w:szCs w:val="18"/>
                <w:lang w:val="en-US" w:eastAsia="zh-CN" w:bidi="en-US"/>
              </w:rPr>
              <w:t>/</w:t>
            </w:r>
          </w:p>
        </w:tc>
        <w:tc>
          <w:tcPr>
            <w:tcW w:w="980" w:type="dxa"/>
            <w:gridSpan w:val="3"/>
            <w:tcBorders>
              <w:top w:val="single" w:color="000000" w:sz="4" w:space="0"/>
              <w:left w:val="single" w:color="000000" w:sz="4" w:space="0"/>
              <w:bottom w:val="single" w:color="000000" w:sz="4"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c>
          <w:tcPr>
            <w:tcW w:w="870" w:type="dxa"/>
            <w:vMerge w:val="continue"/>
            <w:tcBorders>
              <w:top w:val="nil"/>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14"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372" w:type="dxa"/>
            <w:vMerge w:val="continue"/>
            <w:tcBorders>
              <w:top w:val="nil"/>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417" w:type="dxa"/>
            <w:tcBorders>
              <w:top w:val="single" w:color="000000" w:sz="4" w:space="0"/>
              <w:left w:val="single" w:color="000000" w:sz="6" w:space="0"/>
              <w:bottom w:val="single" w:color="000000" w:sz="6"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柱状样点数</w:t>
            </w:r>
          </w:p>
        </w:tc>
        <w:tc>
          <w:tcPr>
            <w:tcW w:w="1534" w:type="dxa"/>
            <w:tcBorders>
              <w:top w:val="single" w:color="000000" w:sz="4" w:space="0"/>
              <w:left w:val="single" w:color="000000" w:sz="4" w:space="0"/>
              <w:bottom w:val="single" w:color="000000" w:sz="6"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eastAsia" w:ascii="Times New Roman" w:hAnsi="宋体" w:eastAsia="宋体" w:cs="宋体"/>
                <w:kern w:val="0"/>
                <w:sz w:val="18"/>
                <w:szCs w:val="18"/>
                <w:lang w:val="en-US" w:eastAsia="zh-CN" w:bidi="en-US"/>
              </w:rPr>
            </w:pPr>
            <w:r>
              <w:rPr>
                <w:rFonts w:hint="eastAsia" w:ascii="Times New Roman" w:hAnsi="宋体" w:eastAsia="宋体" w:cs="宋体"/>
                <w:kern w:val="0"/>
                <w:sz w:val="18"/>
                <w:szCs w:val="18"/>
                <w:lang w:val="en-US" w:eastAsia="zh-CN" w:bidi="en-US"/>
              </w:rPr>
              <w:t>/</w:t>
            </w:r>
          </w:p>
        </w:tc>
        <w:tc>
          <w:tcPr>
            <w:tcW w:w="1700" w:type="dxa"/>
            <w:gridSpan w:val="2"/>
            <w:tcBorders>
              <w:top w:val="single" w:color="000000" w:sz="4" w:space="0"/>
              <w:left w:val="single" w:color="000000" w:sz="4" w:space="0"/>
              <w:bottom w:val="single" w:color="000000" w:sz="6"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hint="eastAsia" w:ascii="Times New Roman" w:hAnsi="宋体" w:eastAsia="宋体" w:cs="宋体"/>
                <w:kern w:val="0"/>
                <w:sz w:val="18"/>
                <w:szCs w:val="18"/>
                <w:lang w:val="en-US" w:eastAsia="zh-CN" w:bidi="en-US"/>
              </w:rPr>
            </w:pPr>
            <w:r>
              <w:rPr>
                <w:rFonts w:hint="eastAsia" w:ascii="Times New Roman" w:hAnsi="宋体" w:eastAsia="宋体" w:cs="宋体"/>
                <w:kern w:val="0"/>
                <w:sz w:val="18"/>
                <w:szCs w:val="18"/>
                <w:lang w:val="en-US" w:eastAsia="zh-CN" w:bidi="en-US"/>
              </w:rPr>
              <w:t>/</w:t>
            </w:r>
          </w:p>
        </w:tc>
        <w:tc>
          <w:tcPr>
            <w:tcW w:w="980" w:type="dxa"/>
            <w:gridSpan w:val="3"/>
            <w:tcBorders>
              <w:top w:val="single" w:color="000000" w:sz="4" w:space="0"/>
              <w:left w:val="single" w:color="000000" w:sz="4"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c>
          <w:tcPr>
            <w:tcW w:w="870" w:type="dxa"/>
            <w:vMerge w:val="continue"/>
            <w:tcBorders>
              <w:top w:val="nil"/>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37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现状监测因子</w:t>
            </w:r>
          </w:p>
        </w:tc>
        <w:tc>
          <w:tcPr>
            <w:tcW w:w="5631" w:type="dxa"/>
            <w:gridSpan w:val="7"/>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ascii="Times New Roman" w:hAnsi="宋体" w:eastAsia="宋体" w:cs="宋体"/>
                <w:kern w:val="0"/>
                <w:sz w:val="18"/>
                <w:szCs w:val="18"/>
                <w:lang w:bidi="en-US"/>
              </w:rPr>
            </w:pPr>
            <w:r>
              <w:rPr>
                <w:rFonts w:hint="eastAsia" w:ascii="Times New Roman" w:hAnsi="宋体" w:eastAsia="宋体" w:cs="宋体"/>
                <w:kern w:val="0"/>
                <w:sz w:val="18"/>
                <w:szCs w:val="18"/>
                <w:lang w:bidi="en-US"/>
              </w:rPr>
              <w:t>《土壤环境质量</w:t>
            </w:r>
            <w:r>
              <w:rPr>
                <w:rFonts w:ascii="Times New Roman" w:hAnsi="宋体" w:eastAsia="宋体" w:cs="宋体"/>
                <w:kern w:val="0"/>
                <w:sz w:val="18"/>
                <w:szCs w:val="18"/>
                <w:lang w:bidi="en-US"/>
              </w:rPr>
              <w:t xml:space="preserve"> 建设用地土壤污染风险管控标准（试行）》（GB36600-2018）45项基本因子、</w:t>
            </w:r>
            <w:r>
              <w:rPr>
                <w:rFonts w:hint="eastAsia" w:ascii="Times New Roman" w:hAnsi="宋体" w:eastAsia="宋体" w:cs="宋体"/>
                <w:kern w:val="0"/>
                <w:sz w:val="18"/>
                <w:szCs w:val="18"/>
                <w:lang w:bidi="en-US"/>
              </w:rPr>
              <w:t>锌、铅、锰、总铬、六价铬、总钒</w:t>
            </w:r>
          </w:p>
        </w:tc>
        <w:tc>
          <w:tcPr>
            <w:tcW w:w="870" w:type="dxa"/>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733" w:type="dxa"/>
            <w:vMerge w:val="restart"/>
            <w:tcBorders>
              <w:top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现状评</w:t>
            </w:r>
          </w:p>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价</w:t>
            </w:r>
          </w:p>
        </w:tc>
        <w:tc>
          <w:tcPr>
            <w:tcW w:w="137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评价因子</w:t>
            </w:r>
          </w:p>
        </w:tc>
        <w:tc>
          <w:tcPr>
            <w:tcW w:w="5631" w:type="dxa"/>
            <w:gridSpan w:val="7"/>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ascii="Times New Roman" w:hAnsi="宋体" w:eastAsia="宋体" w:cs="宋体"/>
                <w:kern w:val="0"/>
                <w:sz w:val="18"/>
                <w:szCs w:val="18"/>
                <w:lang w:bidi="en-US"/>
              </w:rPr>
            </w:pPr>
            <w:r>
              <w:rPr>
                <w:rFonts w:hint="eastAsia" w:ascii="Times New Roman" w:hAnsi="宋体" w:eastAsia="宋体" w:cs="宋体"/>
                <w:kern w:val="0"/>
                <w:sz w:val="18"/>
                <w:szCs w:val="18"/>
                <w:lang w:bidi="en-US"/>
              </w:rPr>
              <w:t>《土壤环境质量</w:t>
            </w:r>
            <w:r>
              <w:rPr>
                <w:rFonts w:ascii="Times New Roman" w:hAnsi="宋体" w:eastAsia="宋体" w:cs="宋体"/>
                <w:kern w:val="0"/>
                <w:sz w:val="18"/>
                <w:szCs w:val="18"/>
                <w:lang w:bidi="en-US"/>
              </w:rPr>
              <w:t xml:space="preserve"> 建设用地土壤污染风险管控标准（试行）》（GB36600-2018）45项基本因子、pH、</w:t>
            </w:r>
            <w:r>
              <w:rPr>
                <w:rFonts w:hint="eastAsia" w:ascii="Times New Roman" w:hAnsi="宋体" w:eastAsia="宋体" w:cs="宋体"/>
                <w:kern w:val="0"/>
                <w:sz w:val="18"/>
                <w:szCs w:val="18"/>
                <w:lang w:bidi="en-US"/>
              </w:rPr>
              <w:t>锌、铅、锰、总铬、六价铬、总钒</w:t>
            </w:r>
          </w:p>
        </w:tc>
        <w:tc>
          <w:tcPr>
            <w:tcW w:w="870" w:type="dxa"/>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37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评价标准</w:t>
            </w:r>
          </w:p>
        </w:tc>
        <w:tc>
          <w:tcPr>
            <w:tcW w:w="5033" w:type="dxa"/>
            <w:gridSpan w:val="5"/>
            <w:tcBorders>
              <w:top w:val="single" w:color="000000" w:sz="6" w:space="0"/>
              <w:left w:val="single" w:color="000000" w:sz="6" w:space="0"/>
              <w:bottom w:val="single" w:color="000000" w:sz="6" w:space="0"/>
              <w:right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left="120" w:leftChars="50" w:firstLine="0" w:firstLineChars="0"/>
              <w:jc w:val="center"/>
              <w:textAlignment w:val="auto"/>
              <w:rPr>
                <w:rFonts w:ascii="宋体" w:hAnsi="宋体" w:eastAsia="宋体" w:cs="宋体"/>
                <w:kern w:val="0"/>
                <w:sz w:val="18"/>
                <w:szCs w:val="18"/>
                <w:lang w:eastAsia="en-US" w:bidi="en-US"/>
              </w:rPr>
            </w:pPr>
            <w:r>
              <w:rPr>
                <w:rFonts w:ascii="Times New Roman" w:hAnsi="Times New Roman" w:eastAsia="Times New Roman" w:cs="宋体"/>
                <w:kern w:val="0"/>
                <w:sz w:val="18"/>
                <w:szCs w:val="18"/>
                <w:lang w:eastAsia="en-US" w:bidi="en-US"/>
              </w:rPr>
              <w:t>GB 15618</w:t>
            </w:r>
            <w:r>
              <w:rPr>
                <w:rFonts w:ascii="宋体" w:hAnsi="宋体" w:eastAsia="宋体" w:cs="宋体"/>
                <w:kern w:val="0"/>
                <w:sz w:val="18"/>
                <w:szCs w:val="18"/>
                <w:lang w:eastAsia="en-US" w:bidi="en-US"/>
              </w:rPr>
              <w:sym w:font="Wingdings 2" w:char="0052"/>
            </w:r>
            <w:r>
              <w:rPr>
                <w:rFonts w:ascii="宋体" w:hAnsi="宋体" w:eastAsia="宋体" w:cs="宋体"/>
                <w:kern w:val="0"/>
                <w:sz w:val="18"/>
                <w:szCs w:val="18"/>
                <w:lang w:eastAsia="en-US" w:bidi="en-US"/>
              </w:rPr>
              <w:t>；</w:t>
            </w:r>
            <w:r>
              <w:rPr>
                <w:rFonts w:ascii="Times New Roman" w:hAnsi="Times New Roman" w:eastAsia="Times New Roman" w:cs="宋体"/>
                <w:kern w:val="0"/>
                <w:sz w:val="18"/>
                <w:szCs w:val="18"/>
                <w:lang w:eastAsia="en-US" w:bidi="en-US"/>
              </w:rPr>
              <w:t>GB 36600</w:t>
            </w:r>
            <w:r>
              <w:rPr>
                <w:rFonts w:ascii="宋体" w:hAnsi="宋体" w:eastAsia="宋体" w:cs="宋体"/>
                <w:kern w:val="0"/>
                <w:sz w:val="18"/>
                <w:szCs w:val="18"/>
                <w:lang w:eastAsia="en-US" w:bidi="en-US"/>
              </w:rPr>
              <w:sym w:font="Wingdings 2" w:char="0052"/>
            </w:r>
            <w:r>
              <w:rPr>
                <w:rFonts w:ascii="宋体" w:hAnsi="宋体" w:eastAsia="宋体" w:cs="宋体"/>
                <w:kern w:val="0"/>
                <w:sz w:val="18"/>
                <w:szCs w:val="18"/>
                <w:lang w:eastAsia="en-US" w:bidi="en-US"/>
              </w:rPr>
              <w:t>；表</w:t>
            </w:r>
            <w:r>
              <w:rPr>
                <w:rFonts w:ascii="Times New Roman" w:hAnsi="Times New Roman" w:eastAsia="Times New Roman" w:cs="宋体"/>
                <w:kern w:val="0"/>
                <w:sz w:val="18"/>
                <w:szCs w:val="18"/>
                <w:lang w:eastAsia="en-US" w:bidi="en-US"/>
              </w:rPr>
              <w:t>D.1</w:t>
            </w:r>
            <w:r>
              <w:rPr>
                <w:rFonts w:ascii="宋体" w:hAnsi="宋体" w:eastAsia="宋体" w:cs="宋体"/>
                <w:kern w:val="0"/>
                <w:sz w:val="18"/>
                <w:szCs w:val="18"/>
                <w:lang w:eastAsia="en-US" w:bidi="en-US"/>
              </w:rPr>
              <w:t xml:space="preserve">□；表 </w:t>
            </w:r>
            <w:r>
              <w:rPr>
                <w:rFonts w:ascii="Times New Roman" w:hAnsi="Times New Roman" w:eastAsia="Times New Roman" w:cs="宋体"/>
                <w:kern w:val="0"/>
                <w:sz w:val="18"/>
                <w:szCs w:val="18"/>
                <w:lang w:eastAsia="en-US" w:bidi="en-US"/>
              </w:rPr>
              <w:t>D.2</w:t>
            </w:r>
            <w:r>
              <w:rPr>
                <w:rFonts w:ascii="宋体" w:hAnsi="宋体" w:eastAsia="宋体" w:cs="宋体"/>
                <w:kern w:val="0"/>
                <w:sz w:val="18"/>
                <w:szCs w:val="18"/>
                <w:lang w:eastAsia="en-US" w:bidi="en-US"/>
              </w:rPr>
              <w:t>□；其他（</w:t>
            </w:r>
          </w:p>
        </w:tc>
        <w:tc>
          <w:tcPr>
            <w:tcW w:w="430" w:type="dxa"/>
            <w:tcBorders>
              <w:top w:val="single" w:color="000000" w:sz="6" w:space="0"/>
              <w:left w:val="nil"/>
              <w:bottom w:val="single" w:color="000000" w:sz="6" w:space="0"/>
              <w:right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w:t>
            </w:r>
          </w:p>
        </w:tc>
        <w:tc>
          <w:tcPr>
            <w:tcW w:w="168" w:type="dxa"/>
            <w:tcBorders>
              <w:top w:val="single" w:color="000000" w:sz="6" w:space="0"/>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c>
          <w:tcPr>
            <w:tcW w:w="870" w:type="dxa"/>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94"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37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现状评价结论</w:t>
            </w:r>
          </w:p>
        </w:tc>
        <w:tc>
          <w:tcPr>
            <w:tcW w:w="5631" w:type="dxa"/>
            <w:gridSpan w:val="7"/>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bidi w:val="0"/>
              <w:adjustRightInd/>
              <w:snapToGrid/>
              <w:ind w:firstLine="0" w:firstLineChars="0"/>
              <w:jc w:val="center"/>
              <w:textAlignment w:val="auto"/>
              <w:rPr>
                <w:rFonts w:hint="eastAsia" w:ascii="Times New Roman" w:hAnsi="宋体" w:eastAsia="宋体" w:cs="宋体"/>
                <w:kern w:val="0"/>
                <w:sz w:val="18"/>
                <w:szCs w:val="18"/>
                <w:lang w:bidi="en-US"/>
              </w:rPr>
            </w:pPr>
            <w:r>
              <w:rPr>
                <w:rFonts w:hint="eastAsia" w:ascii="Times New Roman" w:hAnsi="宋体" w:eastAsia="宋体" w:cs="宋体"/>
                <w:kern w:val="0"/>
                <w:sz w:val="18"/>
                <w:szCs w:val="18"/>
                <w:lang w:bidi="en-US"/>
              </w:rPr>
              <w:t>项目厂区土壤监测点的各项监测因子均低于《土壤环境质量</w:t>
            </w:r>
            <w:r>
              <w:rPr>
                <w:rFonts w:ascii="Times New Roman" w:hAnsi="宋体" w:eastAsia="宋体" w:cs="宋体"/>
                <w:kern w:val="0"/>
                <w:sz w:val="18"/>
                <w:szCs w:val="18"/>
                <w:lang w:bidi="en-US"/>
              </w:rPr>
              <w:t xml:space="preserve"> </w:t>
            </w:r>
            <w:r>
              <w:rPr>
                <w:rFonts w:hint="eastAsia" w:ascii="Times New Roman" w:hAnsi="宋体" w:eastAsia="宋体" w:cs="宋体"/>
                <w:kern w:val="0"/>
                <w:sz w:val="18"/>
                <w:szCs w:val="18"/>
                <w:lang w:bidi="en-US"/>
              </w:rPr>
              <w:t>建设用地土壤污染风险管控标准（试行）》（</w:t>
            </w:r>
            <w:r>
              <w:rPr>
                <w:rFonts w:ascii="Times New Roman" w:hAnsi="宋体" w:eastAsia="宋体" w:cs="宋体"/>
                <w:kern w:val="0"/>
                <w:sz w:val="18"/>
                <w:szCs w:val="18"/>
                <w:lang w:bidi="en-US"/>
              </w:rPr>
              <w:t>GB 36600-2018</w:t>
            </w:r>
            <w:r>
              <w:rPr>
                <w:rFonts w:hint="eastAsia" w:ascii="Times New Roman" w:hAnsi="宋体" w:eastAsia="宋体" w:cs="宋体"/>
                <w:kern w:val="0"/>
                <w:sz w:val="18"/>
                <w:szCs w:val="18"/>
                <w:lang w:bidi="en-US"/>
              </w:rPr>
              <w:t>）二类建设用地风险筛选值标准。</w:t>
            </w:r>
          </w:p>
        </w:tc>
        <w:tc>
          <w:tcPr>
            <w:tcW w:w="870" w:type="dxa"/>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2" w:hRule="atLeast"/>
          <w:jc w:val="center"/>
        </w:trPr>
        <w:tc>
          <w:tcPr>
            <w:tcW w:w="733" w:type="dxa"/>
            <w:vMerge w:val="restart"/>
            <w:tcBorders>
              <w:top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影响预测</w:t>
            </w:r>
          </w:p>
        </w:tc>
        <w:tc>
          <w:tcPr>
            <w:tcW w:w="137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预测因子</w:t>
            </w:r>
          </w:p>
        </w:tc>
        <w:tc>
          <w:tcPr>
            <w:tcW w:w="5631" w:type="dxa"/>
            <w:gridSpan w:val="7"/>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left="120" w:leftChars="50" w:firstLine="0" w:firstLineChars="0"/>
              <w:jc w:val="center"/>
              <w:textAlignment w:val="auto"/>
              <w:rPr>
                <w:rFonts w:hint="eastAsia" w:ascii="Times New Roman" w:hAnsi="宋体" w:eastAsia="宋体" w:cs="宋体"/>
                <w:kern w:val="0"/>
                <w:sz w:val="18"/>
                <w:szCs w:val="18"/>
                <w:lang w:eastAsia="zh-CN" w:bidi="en-US"/>
              </w:rPr>
            </w:pPr>
            <w:r>
              <w:rPr>
                <w:rFonts w:hint="eastAsia" w:ascii="Times New Roman" w:hAnsi="宋体" w:eastAsia="宋体" w:cs="宋体"/>
                <w:kern w:val="0"/>
                <w:sz w:val="18"/>
                <w:szCs w:val="18"/>
                <w:lang w:val="en-US" w:eastAsia="zh-CN" w:bidi="en-US"/>
              </w:rPr>
              <w:t>/</w:t>
            </w:r>
          </w:p>
        </w:tc>
        <w:tc>
          <w:tcPr>
            <w:tcW w:w="870" w:type="dxa"/>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37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预测方法</w:t>
            </w:r>
          </w:p>
        </w:tc>
        <w:tc>
          <w:tcPr>
            <w:tcW w:w="5631" w:type="dxa"/>
            <w:gridSpan w:val="7"/>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tabs>
                <w:tab w:val="left" w:pos="2930"/>
              </w:tabs>
              <w:kinsoku/>
              <w:wordWrap/>
              <w:overflowPunct/>
              <w:topLinePunct w:val="0"/>
              <w:autoSpaceDE w:val="0"/>
              <w:autoSpaceDN w:val="0"/>
              <w:bidi w:val="0"/>
              <w:adjustRightInd/>
              <w:snapToGrid/>
              <w:spacing w:line="360" w:lineRule="exact"/>
              <w:ind w:left="120" w:leftChars="50" w:firstLine="0" w:firstLineChars="0"/>
              <w:jc w:val="center"/>
              <w:textAlignment w:val="auto"/>
              <w:rPr>
                <w:rFonts w:ascii="宋体" w:hAnsi="宋体" w:eastAsia="宋体" w:cs="宋体"/>
                <w:kern w:val="0"/>
                <w:sz w:val="18"/>
                <w:szCs w:val="18"/>
                <w:lang w:bidi="en-US"/>
              </w:rPr>
            </w:pPr>
            <w:r>
              <w:rPr>
                <w:rFonts w:ascii="宋体" w:hAnsi="宋体" w:eastAsia="宋体" w:cs="宋体"/>
                <w:kern w:val="0"/>
                <w:sz w:val="18"/>
                <w:szCs w:val="18"/>
                <w:lang w:bidi="en-US"/>
              </w:rPr>
              <w:t>附录</w:t>
            </w:r>
            <w:r>
              <w:rPr>
                <w:rFonts w:ascii="宋体" w:hAnsi="宋体" w:eastAsia="宋体" w:cs="宋体"/>
                <w:spacing w:val="-46"/>
                <w:kern w:val="0"/>
                <w:sz w:val="18"/>
                <w:szCs w:val="18"/>
                <w:lang w:bidi="en-US"/>
              </w:rPr>
              <w:t xml:space="preserve"> </w:t>
            </w:r>
            <w:r>
              <w:rPr>
                <w:rFonts w:ascii="Times New Roman" w:hAnsi="Times New Roman" w:eastAsia="Times New Roman" w:cs="宋体"/>
                <w:kern w:val="0"/>
                <w:sz w:val="18"/>
                <w:szCs w:val="18"/>
                <w:lang w:bidi="en-US"/>
              </w:rPr>
              <w:t>E</w:t>
            </w:r>
            <w:r>
              <w:rPr>
                <w:rFonts w:ascii="宋体" w:hAnsi="宋体" w:eastAsia="宋体" w:cs="宋体"/>
                <w:kern w:val="0"/>
                <w:sz w:val="18"/>
                <w:szCs w:val="18"/>
                <w:lang w:bidi="en-US"/>
              </w:rPr>
              <w:t>□；附录</w:t>
            </w:r>
            <w:r>
              <w:rPr>
                <w:rFonts w:ascii="宋体" w:hAnsi="宋体" w:eastAsia="宋体" w:cs="宋体"/>
                <w:spacing w:val="-45"/>
                <w:kern w:val="0"/>
                <w:sz w:val="18"/>
                <w:szCs w:val="18"/>
                <w:lang w:bidi="en-US"/>
              </w:rPr>
              <w:t xml:space="preserve"> </w:t>
            </w:r>
            <w:r>
              <w:rPr>
                <w:rFonts w:ascii="Times New Roman" w:hAnsi="Times New Roman" w:eastAsia="Times New Roman" w:cs="宋体"/>
                <w:kern w:val="0"/>
                <w:sz w:val="18"/>
                <w:szCs w:val="18"/>
                <w:lang w:bidi="en-US"/>
              </w:rPr>
              <w:t>F</w:t>
            </w:r>
            <w:r>
              <w:rPr>
                <w:rFonts w:ascii="宋体" w:hAnsi="宋体" w:eastAsia="宋体" w:cs="宋体"/>
                <w:kern w:val="0"/>
                <w:sz w:val="18"/>
                <w:szCs w:val="18"/>
                <w:lang w:bidi="en-US"/>
              </w:rPr>
              <w:t>□；其他（</w:t>
            </w:r>
            <w:r>
              <w:rPr>
                <w:rFonts w:hint="eastAsia" w:ascii="宋体" w:hAnsi="宋体" w:eastAsia="宋体" w:cs="宋体"/>
                <w:kern w:val="0"/>
                <w:sz w:val="18"/>
                <w:szCs w:val="18"/>
                <w:lang w:eastAsia="zh-CN" w:bidi="en-US"/>
              </w:rPr>
              <w:t>定性分析</w:t>
            </w:r>
            <w:r>
              <w:rPr>
                <w:rFonts w:ascii="宋体" w:hAnsi="宋体" w:eastAsia="宋体" w:cs="宋体"/>
                <w:kern w:val="0"/>
                <w:sz w:val="18"/>
                <w:szCs w:val="18"/>
                <w:lang w:bidi="en-US"/>
              </w:rPr>
              <w:t>）</w:t>
            </w:r>
          </w:p>
        </w:tc>
        <w:tc>
          <w:tcPr>
            <w:tcW w:w="870" w:type="dxa"/>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bidi="en-US"/>
              </w:rPr>
            </w:pPr>
          </w:p>
        </w:tc>
        <w:tc>
          <w:tcPr>
            <w:tcW w:w="137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预测分析内容</w:t>
            </w:r>
          </w:p>
        </w:tc>
        <w:tc>
          <w:tcPr>
            <w:tcW w:w="5631" w:type="dxa"/>
            <w:gridSpan w:val="7"/>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tabs>
                <w:tab w:val="left" w:pos="1639"/>
              </w:tabs>
              <w:kinsoku/>
              <w:wordWrap/>
              <w:overflowPunct/>
              <w:topLinePunct w:val="0"/>
              <w:autoSpaceDE w:val="0"/>
              <w:autoSpaceDN w:val="0"/>
              <w:bidi w:val="0"/>
              <w:adjustRightInd/>
              <w:snapToGrid/>
              <w:spacing w:line="360" w:lineRule="exact"/>
              <w:ind w:left="120" w:leftChars="50" w:firstLine="0" w:firstLineChars="0"/>
              <w:jc w:val="center"/>
              <w:textAlignment w:val="auto"/>
              <w:rPr>
                <w:rFonts w:ascii="宋体" w:hAnsi="宋体" w:eastAsia="宋体" w:cs="宋体"/>
                <w:kern w:val="0"/>
                <w:sz w:val="18"/>
                <w:szCs w:val="18"/>
                <w:lang w:bidi="en-US"/>
              </w:rPr>
            </w:pPr>
            <w:r>
              <w:rPr>
                <w:rFonts w:ascii="宋体" w:hAnsi="宋体" w:eastAsia="宋体" w:cs="宋体"/>
                <w:kern w:val="0"/>
                <w:sz w:val="18"/>
                <w:szCs w:val="18"/>
                <w:lang w:bidi="en-US"/>
              </w:rPr>
              <w:t>影响范围（</w:t>
            </w:r>
            <w:r>
              <w:rPr>
                <w:rFonts w:hint="eastAsia" w:ascii="宋体" w:hAnsi="宋体" w:eastAsia="宋体" w:cs="宋体"/>
                <w:kern w:val="0"/>
                <w:sz w:val="18"/>
                <w:szCs w:val="18"/>
                <w:lang w:bidi="en-US"/>
              </w:rPr>
              <w:t>项目占地范围内及占地</w:t>
            </w:r>
            <w:r>
              <w:rPr>
                <w:rFonts w:hint="eastAsia" w:ascii="宋体" w:hAnsi="宋体" w:eastAsia="宋体" w:cs="宋体"/>
                <w:kern w:val="0"/>
                <w:sz w:val="18"/>
                <w:szCs w:val="18"/>
                <w:lang w:val="en-US" w:eastAsia="zh-CN" w:bidi="en-US"/>
              </w:rPr>
              <w:t>50</w:t>
            </w:r>
            <w:r>
              <w:rPr>
                <w:rFonts w:ascii="宋体" w:hAnsi="宋体" w:eastAsia="宋体" w:cs="宋体"/>
                <w:kern w:val="0"/>
                <w:sz w:val="18"/>
                <w:szCs w:val="18"/>
                <w:lang w:bidi="en-US"/>
              </w:rPr>
              <w:t>m</w:t>
            </w:r>
            <w:r>
              <w:rPr>
                <w:rFonts w:hint="eastAsia" w:ascii="宋体" w:hAnsi="宋体" w:eastAsia="宋体" w:cs="宋体"/>
                <w:kern w:val="0"/>
                <w:sz w:val="18"/>
                <w:szCs w:val="18"/>
                <w:lang w:bidi="en-US"/>
              </w:rPr>
              <w:t>外</w:t>
            </w:r>
            <w:r>
              <w:rPr>
                <w:rFonts w:ascii="宋体" w:hAnsi="宋体" w:eastAsia="宋体" w:cs="宋体"/>
                <w:kern w:val="0"/>
                <w:sz w:val="18"/>
                <w:szCs w:val="18"/>
                <w:lang w:bidi="en-US"/>
              </w:rPr>
              <w:tab/>
            </w:r>
            <w:r>
              <w:rPr>
                <w:rFonts w:ascii="宋体" w:hAnsi="宋体" w:eastAsia="宋体" w:cs="宋体"/>
                <w:kern w:val="0"/>
                <w:sz w:val="18"/>
                <w:szCs w:val="18"/>
                <w:lang w:bidi="en-US"/>
              </w:rPr>
              <w:t>）</w:t>
            </w:r>
          </w:p>
          <w:p>
            <w:pPr>
              <w:keepNext w:val="0"/>
              <w:keepLines w:val="0"/>
              <w:pageBreakBefore w:val="0"/>
              <w:widowControl/>
              <w:tabs>
                <w:tab w:val="left" w:pos="1639"/>
              </w:tabs>
              <w:kinsoku/>
              <w:wordWrap/>
              <w:overflowPunct/>
              <w:topLinePunct w:val="0"/>
              <w:autoSpaceDE w:val="0"/>
              <w:autoSpaceDN w:val="0"/>
              <w:bidi w:val="0"/>
              <w:adjustRightInd/>
              <w:snapToGrid/>
              <w:spacing w:line="360" w:lineRule="exact"/>
              <w:ind w:left="120" w:leftChars="50" w:firstLine="0" w:firstLineChars="0"/>
              <w:jc w:val="center"/>
              <w:textAlignment w:val="auto"/>
              <w:rPr>
                <w:rFonts w:ascii="宋体" w:hAnsi="宋体" w:eastAsia="宋体" w:cs="宋体"/>
                <w:kern w:val="0"/>
                <w:sz w:val="18"/>
                <w:szCs w:val="18"/>
                <w:lang w:bidi="en-US"/>
              </w:rPr>
            </w:pPr>
            <w:r>
              <w:rPr>
                <w:rFonts w:ascii="宋体" w:hAnsi="宋体" w:eastAsia="宋体" w:cs="宋体"/>
                <w:kern w:val="0"/>
                <w:sz w:val="18"/>
                <w:szCs w:val="18"/>
                <w:lang w:bidi="en-US"/>
              </w:rPr>
              <w:t>影响程度（</w:t>
            </w:r>
            <w:r>
              <w:rPr>
                <w:rFonts w:ascii="宋体" w:hAnsi="宋体" w:eastAsia="宋体" w:cs="宋体"/>
                <w:kern w:val="0"/>
                <w:sz w:val="18"/>
                <w:szCs w:val="18"/>
                <w:lang w:bidi="en-US"/>
              </w:rPr>
              <w:tab/>
            </w:r>
            <w:r>
              <w:rPr>
                <w:rFonts w:ascii="宋体" w:hAnsi="宋体" w:eastAsia="宋体" w:cs="宋体"/>
                <w:kern w:val="0"/>
                <w:sz w:val="18"/>
                <w:szCs w:val="18"/>
                <w:lang w:bidi="en-US"/>
              </w:rPr>
              <w:t>）</w:t>
            </w:r>
          </w:p>
        </w:tc>
        <w:tc>
          <w:tcPr>
            <w:tcW w:w="870" w:type="dxa"/>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24"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bidi="en-US"/>
              </w:rPr>
            </w:pPr>
          </w:p>
        </w:tc>
        <w:tc>
          <w:tcPr>
            <w:tcW w:w="137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预测结论</w:t>
            </w:r>
          </w:p>
        </w:tc>
        <w:tc>
          <w:tcPr>
            <w:tcW w:w="5631" w:type="dxa"/>
            <w:gridSpan w:val="7"/>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ind w:left="120" w:leftChars="50" w:firstLine="0" w:firstLineChars="0"/>
              <w:jc w:val="center"/>
              <w:textAlignment w:val="auto"/>
              <w:rPr>
                <w:rFonts w:ascii="宋体" w:hAnsi="宋体" w:eastAsia="宋体" w:cs="宋体"/>
                <w:kern w:val="0"/>
                <w:sz w:val="18"/>
                <w:szCs w:val="18"/>
                <w:lang w:bidi="en-US"/>
              </w:rPr>
            </w:pPr>
            <w:r>
              <w:rPr>
                <w:rFonts w:ascii="宋体" w:hAnsi="宋体" w:eastAsia="宋体" w:cs="宋体"/>
                <w:kern w:val="0"/>
                <w:sz w:val="18"/>
                <w:szCs w:val="18"/>
                <w:lang w:bidi="en-US"/>
              </w:rPr>
              <w:t>达标结论：</w:t>
            </w:r>
            <w:r>
              <w:rPr>
                <w:rFonts w:ascii="Times New Roman" w:hAnsi="Times New Roman" w:eastAsia="Times New Roman" w:cs="宋体"/>
                <w:kern w:val="0"/>
                <w:sz w:val="18"/>
                <w:szCs w:val="18"/>
                <w:lang w:bidi="en-US"/>
              </w:rPr>
              <w:t>a</w:t>
            </w:r>
            <w:r>
              <w:rPr>
                <w:rFonts w:ascii="宋体" w:hAnsi="宋体" w:eastAsia="宋体" w:cs="宋体"/>
                <w:kern w:val="0"/>
                <w:sz w:val="18"/>
                <w:szCs w:val="18"/>
                <w:lang w:bidi="en-US"/>
              </w:rPr>
              <w:t>）□；</w:t>
            </w:r>
            <w:r>
              <w:rPr>
                <w:rFonts w:ascii="Times New Roman" w:hAnsi="Times New Roman" w:eastAsia="Times New Roman" w:cs="宋体"/>
                <w:kern w:val="0"/>
                <w:sz w:val="18"/>
                <w:szCs w:val="18"/>
                <w:lang w:bidi="en-US"/>
              </w:rPr>
              <w:t>b</w:t>
            </w:r>
            <w:r>
              <w:rPr>
                <w:rFonts w:ascii="宋体" w:hAnsi="宋体" w:eastAsia="宋体" w:cs="宋体"/>
                <w:kern w:val="0"/>
                <w:sz w:val="18"/>
                <w:szCs w:val="18"/>
                <w:lang w:bidi="en-US"/>
              </w:rPr>
              <w:t>）□；</w:t>
            </w:r>
            <w:r>
              <w:rPr>
                <w:rFonts w:ascii="Times New Roman" w:hAnsi="Times New Roman" w:eastAsia="Times New Roman" w:cs="宋体"/>
                <w:kern w:val="0"/>
                <w:sz w:val="18"/>
                <w:szCs w:val="18"/>
                <w:lang w:bidi="en-US"/>
              </w:rPr>
              <w:t>c</w:t>
            </w:r>
            <w:r>
              <w:rPr>
                <w:rFonts w:ascii="宋体" w:hAnsi="宋体" w:eastAsia="宋体" w:cs="宋体"/>
                <w:kern w:val="0"/>
                <w:sz w:val="18"/>
                <w:szCs w:val="18"/>
                <w:lang w:bidi="en-US"/>
              </w:rPr>
              <w:t>）□</w:t>
            </w:r>
          </w:p>
          <w:p>
            <w:pPr>
              <w:keepNext w:val="0"/>
              <w:keepLines w:val="0"/>
              <w:pageBreakBefore w:val="0"/>
              <w:widowControl/>
              <w:kinsoku/>
              <w:wordWrap/>
              <w:overflowPunct/>
              <w:topLinePunct w:val="0"/>
              <w:autoSpaceDE w:val="0"/>
              <w:autoSpaceDN w:val="0"/>
              <w:bidi w:val="0"/>
              <w:adjustRightInd/>
              <w:snapToGrid/>
              <w:ind w:left="120" w:leftChars="50" w:firstLine="0" w:firstLineChars="0"/>
              <w:jc w:val="center"/>
              <w:textAlignment w:val="auto"/>
              <w:rPr>
                <w:rFonts w:ascii="宋体" w:hAnsi="宋体" w:eastAsia="宋体" w:cs="宋体"/>
                <w:kern w:val="0"/>
                <w:sz w:val="18"/>
                <w:szCs w:val="18"/>
                <w:lang w:bidi="en-US"/>
              </w:rPr>
            </w:pPr>
            <w:r>
              <w:rPr>
                <w:rFonts w:ascii="宋体" w:hAnsi="宋体" w:eastAsia="宋体" w:cs="宋体"/>
                <w:kern w:val="0"/>
                <w:sz w:val="18"/>
                <w:szCs w:val="18"/>
                <w:lang w:bidi="en-US"/>
              </w:rPr>
              <w:t>不达标结论：</w:t>
            </w:r>
            <w:r>
              <w:rPr>
                <w:rFonts w:ascii="Times New Roman" w:hAnsi="Times New Roman" w:eastAsia="Times New Roman" w:cs="宋体"/>
                <w:kern w:val="0"/>
                <w:sz w:val="18"/>
                <w:szCs w:val="18"/>
                <w:lang w:bidi="en-US"/>
              </w:rPr>
              <w:t>a</w:t>
            </w:r>
            <w:r>
              <w:rPr>
                <w:rFonts w:ascii="宋体" w:hAnsi="宋体" w:eastAsia="宋体" w:cs="宋体"/>
                <w:kern w:val="0"/>
                <w:sz w:val="18"/>
                <w:szCs w:val="18"/>
                <w:lang w:bidi="en-US"/>
              </w:rPr>
              <w:t>）□；</w:t>
            </w:r>
            <w:r>
              <w:rPr>
                <w:rFonts w:ascii="Times New Roman" w:hAnsi="Times New Roman" w:eastAsia="Times New Roman" w:cs="宋体"/>
                <w:kern w:val="0"/>
                <w:sz w:val="18"/>
                <w:szCs w:val="18"/>
                <w:lang w:bidi="en-US"/>
              </w:rPr>
              <w:t>b</w:t>
            </w:r>
            <w:r>
              <w:rPr>
                <w:rFonts w:ascii="宋体" w:hAnsi="宋体" w:eastAsia="宋体" w:cs="宋体"/>
                <w:kern w:val="0"/>
                <w:sz w:val="18"/>
                <w:szCs w:val="18"/>
                <w:lang w:bidi="en-US"/>
              </w:rPr>
              <w:t>）□</w:t>
            </w:r>
          </w:p>
        </w:tc>
        <w:tc>
          <w:tcPr>
            <w:tcW w:w="870" w:type="dxa"/>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8" w:hRule="atLeast"/>
          <w:jc w:val="center"/>
        </w:trPr>
        <w:tc>
          <w:tcPr>
            <w:tcW w:w="733" w:type="dxa"/>
            <w:vMerge w:val="restart"/>
            <w:tcBorders>
              <w:top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防治措</w:t>
            </w:r>
          </w:p>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施</w:t>
            </w:r>
          </w:p>
        </w:tc>
        <w:tc>
          <w:tcPr>
            <w:tcW w:w="137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防控措施</w:t>
            </w:r>
          </w:p>
        </w:tc>
        <w:tc>
          <w:tcPr>
            <w:tcW w:w="5033" w:type="dxa"/>
            <w:gridSpan w:val="5"/>
            <w:tcBorders>
              <w:top w:val="single" w:color="000000" w:sz="6" w:space="0"/>
              <w:left w:val="single" w:color="000000" w:sz="6" w:space="0"/>
              <w:bottom w:val="single" w:color="000000" w:sz="6" w:space="0"/>
              <w:right w:val="nil"/>
            </w:tcBorders>
            <w:noWrap w:val="0"/>
            <w:vAlign w:val="center"/>
          </w:tcPr>
          <w:p>
            <w:pPr>
              <w:keepNext w:val="0"/>
              <w:keepLines w:val="0"/>
              <w:pageBreakBefore w:val="0"/>
              <w:widowControl/>
              <w:kinsoku/>
              <w:wordWrap/>
              <w:overflowPunct/>
              <w:topLinePunct w:val="0"/>
              <w:autoSpaceDE w:val="0"/>
              <w:autoSpaceDN w:val="0"/>
              <w:bidi w:val="0"/>
              <w:adjustRightInd/>
              <w:snapToGrid/>
              <w:ind w:left="120" w:leftChars="50" w:firstLine="0" w:firstLineChars="0"/>
              <w:jc w:val="center"/>
              <w:textAlignment w:val="auto"/>
              <w:rPr>
                <w:rFonts w:ascii="宋体" w:hAnsi="宋体" w:eastAsia="宋体" w:cs="宋体"/>
                <w:kern w:val="0"/>
                <w:sz w:val="18"/>
                <w:szCs w:val="18"/>
                <w:lang w:bidi="en-US"/>
              </w:rPr>
            </w:pPr>
            <w:r>
              <w:rPr>
                <w:rFonts w:ascii="宋体" w:hAnsi="宋体" w:eastAsia="宋体" w:cs="宋体"/>
                <w:kern w:val="0"/>
                <w:sz w:val="18"/>
                <w:szCs w:val="18"/>
                <w:lang w:bidi="en-US"/>
              </w:rPr>
              <w:t>土壤环境质量现状保障□；源头控制</w:t>
            </w:r>
            <w:r>
              <w:rPr>
                <w:rFonts w:ascii="宋体" w:hAnsi="宋体" w:eastAsia="宋体" w:cs="宋体"/>
                <w:kern w:val="0"/>
                <w:sz w:val="18"/>
                <w:szCs w:val="18"/>
                <w:lang w:bidi="en-US"/>
              </w:rPr>
              <w:sym w:font="Wingdings 2" w:char="0052"/>
            </w:r>
            <w:r>
              <w:rPr>
                <w:rFonts w:ascii="宋体" w:hAnsi="宋体" w:eastAsia="宋体" w:cs="宋体"/>
                <w:kern w:val="0"/>
                <w:sz w:val="18"/>
                <w:szCs w:val="18"/>
                <w:lang w:bidi="en-US"/>
              </w:rPr>
              <w:t>；过程防控</w:t>
            </w:r>
            <w:r>
              <w:rPr>
                <w:rFonts w:ascii="宋体" w:hAnsi="宋体" w:eastAsia="宋体" w:cs="宋体"/>
                <w:kern w:val="0"/>
                <w:sz w:val="18"/>
                <w:szCs w:val="18"/>
                <w:lang w:bidi="en-US"/>
              </w:rPr>
              <w:sym w:font="Wingdings 2" w:char="0052"/>
            </w:r>
            <w:r>
              <w:rPr>
                <w:rFonts w:ascii="宋体" w:hAnsi="宋体" w:eastAsia="宋体" w:cs="宋体"/>
                <w:kern w:val="0"/>
                <w:sz w:val="18"/>
                <w:szCs w:val="18"/>
                <w:lang w:bidi="en-US"/>
              </w:rPr>
              <w:t>；其他（</w:t>
            </w:r>
          </w:p>
        </w:tc>
        <w:tc>
          <w:tcPr>
            <w:tcW w:w="430" w:type="dxa"/>
            <w:tcBorders>
              <w:top w:val="single" w:color="000000" w:sz="6" w:space="0"/>
              <w:left w:val="nil"/>
              <w:bottom w:val="single" w:color="000000" w:sz="6" w:space="0"/>
              <w:right w:val="nil"/>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bidi="en-US"/>
              </w:rPr>
            </w:pPr>
          </w:p>
        </w:tc>
        <w:tc>
          <w:tcPr>
            <w:tcW w:w="168" w:type="dxa"/>
            <w:tcBorders>
              <w:top w:val="single" w:color="000000" w:sz="6" w:space="0"/>
              <w:left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w:t>
            </w:r>
          </w:p>
        </w:tc>
        <w:tc>
          <w:tcPr>
            <w:tcW w:w="870" w:type="dxa"/>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372" w:type="dxa"/>
            <w:vMerge w:val="restart"/>
            <w:tcBorders>
              <w:top w:val="single" w:color="000000" w:sz="6" w:space="0"/>
              <w:left w:val="single" w:color="000000" w:sz="6" w:space="0"/>
              <w:bottom w:val="single" w:color="000000" w:sz="4"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跟踪监测</w:t>
            </w:r>
          </w:p>
        </w:tc>
        <w:tc>
          <w:tcPr>
            <w:tcW w:w="2951" w:type="dxa"/>
            <w:gridSpan w:val="2"/>
            <w:tcBorders>
              <w:top w:val="single" w:color="000000" w:sz="6" w:space="0"/>
              <w:left w:val="single" w:color="000000" w:sz="6" w:space="0"/>
              <w:bottom w:val="single" w:color="000000" w:sz="6"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监测点数</w:t>
            </w:r>
          </w:p>
        </w:tc>
        <w:tc>
          <w:tcPr>
            <w:tcW w:w="1625" w:type="dxa"/>
            <w:tcBorders>
              <w:top w:val="single" w:color="000000" w:sz="6" w:space="0"/>
              <w:left w:val="single" w:color="000000" w:sz="4" w:space="0"/>
              <w:bottom w:val="single" w:color="000000" w:sz="6"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监测指标</w:t>
            </w:r>
          </w:p>
        </w:tc>
        <w:tc>
          <w:tcPr>
            <w:tcW w:w="1055" w:type="dxa"/>
            <w:gridSpan w:val="4"/>
            <w:tcBorders>
              <w:top w:val="single" w:color="000000" w:sz="6" w:space="0"/>
              <w:left w:val="single" w:color="000000" w:sz="4"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监测频次</w:t>
            </w:r>
          </w:p>
        </w:tc>
        <w:tc>
          <w:tcPr>
            <w:tcW w:w="870" w:type="dxa"/>
            <w:vMerge w:val="restart"/>
            <w:tcBorders>
              <w:top w:val="single" w:color="000000" w:sz="6" w:space="0"/>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372" w:type="dxa"/>
            <w:vMerge w:val="continue"/>
            <w:tcBorders>
              <w:top w:val="nil"/>
              <w:left w:val="single" w:color="000000" w:sz="6" w:space="0"/>
              <w:bottom w:val="single" w:color="000000" w:sz="4"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2951" w:type="dxa"/>
            <w:gridSpan w:val="2"/>
            <w:tcBorders>
              <w:top w:val="single" w:color="000000" w:sz="6" w:space="0"/>
              <w:left w:val="single" w:color="000000" w:sz="6"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宋体" w:eastAsia="宋体" w:cs="宋体"/>
                <w:kern w:val="0"/>
                <w:sz w:val="18"/>
                <w:szCs w:val="18"/>
                <w:lang w:bidi="en-US"/>
              </w:rPr>
            </w:pPr>
          </w:p>
        </w:tc>
        <w:tc>
          <w:tcPr>
            <w:tcW w:w="1625" w:type="dxa"/>
            <w:tcBorders>
              <w:top w:val="single" w:color="000000" w:sz="6"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ascii="Times New Roman" w:hAnsi="宋体" w:eastAsia="宋体" w:cs="宋体"/>
                <w:kern w:val="0"/>
                <w:sz w:val="18"/>
                <w:szCs w:val="18"/>
                <w:lang w:bidi="en-US"/>
              </w:rPr>
            </w:pPr>
          </w:p>
        </w:tc>
        <w:tc>
          <w:tcPr>
            <w:tcW w:w="1055" w:type="dxa"/>
            <w:gridSpan w:val="4"/>
            <w:tcBorders>
              <w:top w:val="single" w:color="000000" w:sz="6" w:space="0"/>
              <w:left w:val="single" w:color="000000" w:sz="4" w:space="0"/>
              <w:bottom w:val="single" w:color="000000" w:sz="4"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ascii="Times New Roman" w:hAnsi="宋体" w:eastAsia="宋体" w:cs="宋体"/>
                <w:kern w:val="0"/>
                <w:sz w:val="18"/>
                <w:szCs w:val="18"/>
                <w:lang w:bidi="en-US"/>
              </w:rPr>
            </w:pPr>
          </w:p>
        </w:tc>
        <w:tc>
          <w:tcPr>
            <w:tcW w:w="870" w:type="dxa"/>
            <w:vMerge w:val="continue"/>
            <w:tcBorders>
              <w:top w:val="nil"/>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3" w:hRule="atLeast"/>
          <w:jc w:val="center"/>
        </w:trPr>
        <w:tc>
          <w:tcPr>
            <w:tcW w:w="733" w:type="dxa"/>
            <w:vMerge w:val="continue"/>
            <w:tcBorders>
              <w:top w:val="nil"/>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c>
          <w:tcPr>
            <w:tcW w:w="1372" w:type="dxa"/>
            <w:tcBorders>
              <w:top w:val="single" w:color="000000" w:sz="4"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信息公开指标</w:t>
            </w:r>
          </w:p>
        </w:tc>
        <w:tc>
          <w:tcPr>
            <w:tcW w:w="5631" w:type="dxa"/>
            <w:gridSpan w:val="7"/>
            <w:tcBorders>
              <w:top w:val="single" w:color="000000" w:sz="4" w:space="0"/>
              <w:left w:val="single" w:color="000000" w:sz="6" w:space="0"/>
              <w:bottom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c>
          <w:tcPr>
            <w:tcW w:w="870" w:type="dxa"/>
            <w:vMerge w:val="continue"/>
            <w:tcBorders>
              <w:top w:val="nil"/>
              <w:left w:val="single" w:color="000000" w:sz="6" w:space="0"/>
              <w:bottom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jc w:val="center"/>
        </w:trPr>
        <w:tc>
          <w:tcPr>
            <w:tcW w:w="2105" w:type="dxa"/>
            <w:gridSpan w:val="2"/>
            <w:tcBorders>
              <w:top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eastAsia="en-US" w:bidi="en-US"/>
              </w:rPr>
            </w:pPr>
            <w:r>
              <w:rPr>
                <w:rFonts w:ascii="宋体" w:hAnsi="宋体" w:eastAsia="宋体" w:cs="宋体"/>
                <w:kern w:val="0"/>
                <w:sz w:val="18"/>
                <w:szCs w:val="18"/>
                <w:lang w:eastAsia="en-US" w:bidi="en-US"/>
              </w:rPr>
              <w:t>评价结论</w:t>
            </w:r>
          </w:p>
        </w:tc>
        <w:tc>
          <w:tcPr>
            <w:tcW w:w="5631" w:type="dxa"/>
            <w:gridSpan w:val="7"/>
            <w:tcBorders>
              <w:top w:val="single" w:color="000000" w:sz="6" w:space="0"/>
              <w:left w:val="single" w:color="000000" w:sz="6" w:space="0"/>
              <w:righ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r>
              <w:rPr>
                <w:rFonts w:hint="eastAsia" w:ascii="Times New Roman" w:hAnsi="宋体" w:eastAsia="宋体" w:cs="宋体"/>
                <w:kern w:val="0"/>
                <w:sz w:val="18"/>
                <w:szCs w:val="18"/>
                <w:lang w:eastAsia="en-US" w:bidi="en-US"/>
              </w:rPr>
              <w:t>根据本项目建设特点，经采用源头控制、分区防渗、加强运营期的管理等措施，在采取以上措施后，建设项目对土壤环境的影响较小。</w:t>
            </w:r>
          </w:p>
        </w:tc>
        <w:tc>
          <w:tcPr>
            <w:tcW w:w="870" w:type="dxa"/>
            <w:tcBorders>
              <w:top w:val="single" w:color="000000" w:sz="6" w:space="0"/>
              <w:left w:val="single" w:color="000000" w:sz="6" w:space="0"/>
            </w:tcBorders>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Times New Roman" w:hAnsi="宋体" w:eastAsia="宋体" w:cs="宋体"/>
                <w:kern w:val="0"/>
                <w:sz w:val="18"/>
                <w:szCs w:val="18"/>
                <w:lang w:eastAsia="en-US" w:bidi="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jc w:val="center"/>
        </w:trPr>
        <w:tc>
          <w:tcPr>
            <w:tcW w:w="8606" w:type="dxa"/>
            <w:gridSpan w:val="10"/>
            <w:noWrap w:val="0"/>
            <w:vAlign w:val="center"/>
          </w:tcPr>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bidi="en-US"/>
              </w:rPr>
            </w:pPr>
            <w:r>
              <w:rPr>
                <w:rFonts w:ascii="宋体" w:hAnsi="宋体" w:eastAsia="宋体" w:cs="宋体"/>
                <w:kern w:val="0"/>
                <w:sz w:val="18"/>
                <w:szCs w:val="18"/>
                <w:lang w:bidi="en-US"/>
              </w:rPr>
              <w:t xml:space="preserve">注 </w:t>
            </w:r>
            <w:r>
              <w:rPr>
                <w:rFonts w:ascii="Times New Roman" w:hAnsi="Times New Roman" w:eastAsia="Times New Roman" w:cs="宋体"/>
                <w:kern w:val="0"/>
                <w:sz w:val="18"/>
                <w:szCs w:val="18"/>
                <w:lang w:bidi="en-US"/>
              </w:rPr>
              <w:t>1</w:t>
            </w:r>
            <w:r>
              <w:rPr>
                <w:rFonts w:ascii="宋体" w:hAnsi="宋体" w:eastAsia="宋体" w:cs="宋体"/>
                <w:kern w:val="0"/>
                <w:sz w:val="18"/>
                <w:szCs w:val="18"/>
                <w:lang w:bidi="en-US"/>
              </w:rPr>
              <w:t>：“□”为勾选项，可√；“（ ）”为内容填写项；“备注”为其他补充内容。</w:t>
            </w:r>
          </w:p>
          <w:p>
            <w:pPr>
              <w:keepNext w:val="0"/>
              <w:keepLines w:val="0"/>
              <w:pageBreakBefore w:val="0"/>
              <w:widowControl/>
              <w:kinsoku/>
              <w:wordWrap/>
              <w:overflowPunct/>
              <w:topLinePunct w:val="0"/>
              <w:autoSpaceDE w:val="0"/>
              <w:autoSpaceDN w:val="0"/>
              <w:bidi w:val="0"/>
              <w:adjustRightInd/>
              <w:snapToGrid/>
              <w:spacing w:line="360" w:lineRule="exact"/>
              <w:ind w:firstLine="0" w:firstLineChars="0"/>
              <w:jc w:val="center"/>
              <w:textAlignment w:val="auto"/>
              <w:rPr>
                <w:rFonts w:ascii="宋体" w:hAnsi="宋体" w:eastAsia="宋体" w:cs="宋体"/>
                <w:kern w:val="0"/>
                <w:sz w:val="18"/>
                <w:szCs w:val="18"/>
                <w:lang w:bidi="en-US"/>
              </w:rPr>
            </w:pPr>
            <w:r>
              <w:rPr>
                <w:rFonts w:ascii="宋体" w:hAnsi="宋体" w:eastAsia="宋体" w:cs="宋体"/>
                <w:kern w:val="0"/>
                <w:sz w:val="18"/>
                <w:szCs w:val="18"/>
                <w:lang w:bidi="en-US"/>
              </w:rPr>
              <w:t xml:space="preserve">注 </w:t>
            </w:r>
            <w:r>
              <w:rPr>
                <w:rFonts w:ascii="Times New Roman" w:hAnsi="宋体" w:eastAsia="Times New Roman" w:cs="宋体"/>
                <w:kern w:val="0"/>
                <w:sz w:val="18"/>
                <w:szCs w:val="18"/>
                <w:lang w:bidi="en-US"/>
              </w:rPr>
              <w:t>2</w:t>
            </w:r>
            <w:r>
              <w:rPr>
                <w:rFonts w:ascii="宋体" w:hAnsi="宋体" w:eastAsia="宋体" w:cs="宋体"/>
                <w:kern w:val="0"/>
                <w:sz w:val="18"/>
                <w:szCs w:val="18"/>
                <w:lang w:bidi="en-US"/>
              </w:rPr>
              <w:t>：需要分别开展土壤环境影响评级工作的，分别填写自查表。</w:t>
            </w:r>
          </w:p>
        </w:tc>
      </w:tr>
    </w:tbl>
    <w:p>
      <w:pPr>
        <w:keepNext/>
        <w:keepLines/>
        <w:widowControl w:val="0"/>
        <w:adjustRightInd w:val="0"/>
        <w:snapToGrid w:val="0"/>
        <w:spacing w:before="120" w:beforeLines="50"/>
        <w:ind w:firstLine="0" w:firstLineChars="0"/>
        <w:outlineLvl w:val="1"/>
        <w:rPr>
          <w:rFonts w:hint="eastAsia" w:ascii="Times New Roman" w:hAnsi="Times New Roman" w:eastAsia="宋体" w:cs="Times New Roman"/>
          <w:b/>
          <w:color w:val="000000"/>
          <w:sz w:val="28"/>
          <w:szCs w:val="32"/>
          <w:lang w:eastAsia="zh-CN"/>
        </w:rPr>
      </w:pPr>
      <w:bookmarkStart w:id="275" w:name="_Toc29308670"/>
      <w:r>
        <w:rPr>
          <w:rFonts w:hint="eastAsia" w:ascii="Times New Roman" w:hAnsi="Times New Roman" w:eastAsia="宋体" w:cs="Times New Roman"/>
          <w:b/>
          <w:color w:val="000000"/>
          <w:sz w:val="28"/>
          <w:szCs w:val="32"/>
          <w:lang w:val="en-US" w:eastAsia="zh-CN"/>
        </w:rPr>
        <w:t>4.2.7</w:t>
      </w:r>
      <w:r>
        <w:rPr>
          <w:rFonts w:hint="eastAsia" w:ascii="Times New Roman" w:hAnsi="Times New Roman" w:eastAsia="宋体" w:cs="Times New Roman"/>
          <w:b/>
          <w:color w:val="000000"/>
          <w:sz w:val="28"/>
          <w:szCs w:val="32"/>
          <w:lang w:eastAsia="zh-CN"/>
        </w:rPr>
        <w:t>生态环境影响分析</w:t>
      </w:r>
    </w:p>
    <w:p>
      <w:pPr>
        <w:rPr>
          <w:rFonts w:hint="eastAsia" w:ascii="Times New Roman" w:hAnsi="Times New Roman" w:eastAsia="宋体" w:cs="Times New Roman"/>
          <w:color w:val="000000"/>
          <w:u w:val="single"/>
          <w:lang w:eastAsia="zh-CN"/>
        </w:rPr>
      </w:pPr>
      <w:r>
        <w:rPr>
          <w:rFonts w:hint="eastAsia" w:ascii="Times New Roman" w:hAnsi="Times New Roman" w:eastAsia="宋体" w:cs="Times New Roman"/>
          <w:color w:val="000000"/>
          <w:u w:val="single"/>
          <w:lang w:eastAsia="zh-CN"/>
        </w:rPr>
        <w:t>（1）占地影响分析</w:t>
      </w:r>
    </w:p>
    <w:p>
      <w:pPr>
        <w:rPr>
          <w:rFonts w:hint="eastAsia" w:ascii="Times New Roman" w:hAnsi="Times New Roman" w:eastAsia="宋体" w:cs="Times New Roman"/>
          <w:color w:val="000000"/>
          <w:u w:val="single"/>
          <w:lang w:eastAsia="zh-CN"/>
        </w:rPr>
      </w:pPr>
      <w:r>
        <w:rPr>
          <w:rFonts w:hint="eastAsia" w:ascii="Times New Roman" w:hAnsi="Times New Roman" w:eastAsia="宋体" w:cs="Times New Roman"/>
          <w:color w:val="000000"/>
          <w:u w:val="single"/>
          <w:lang w:eastAsia="zh-CN"/>
        </w:rPr>
        <w:t>①永久占地影响分析</w:t>
      </w:r>
    </w:p>
    <w:p>
      <w:pPr>
        <w:rPr>
          <w:rFonts w:hint="eastAsia" w:ascii="Times New Roman" w:hAnsi="Times New Roman" w:eastAsia="宋体" w:cs="Times New Roman"/>
          <w:color w:val="000000"/>
          <w:u w:val="single"/>
          <w:lang w:eastAsia="zh-CN"/>
        </w:rPr>
      </w:pPr>
      <w:r>
        <w:rPr>
          <w:rFonts w:hint="eastAsia" w:ascii="Times New Roman" w:hAnsi="Times New Roman" w:eastAsia="宋体" w:cs="Times New Roman"/>
          <w:color w:val="000000"/>
          <w:u w:val="single"/>
          <w:lang w:eastAsia="zh-CN"/>
        </w:rPr>
        <w:t>项目的建设已改变了土地利用现状，一定程度上存在植被遭到破坏、水土流失等生态问题。但后期通过种植绿化，在一定程度上补偿了工程占地导致的植被损失，正在逐步恢复。</w:t>
      </w:r>
    </w:p>
    <w:p>
      <w:pPr>
        <w:rPr>
          <w:rFonts w:hint="eastAsia" w:ascii="Times New Roman" w:hAnsi="Times New Roman" w:eastAsia="宋体" w:cs="Times New Roman"/>
          <w:color w:val="000000"/>
          <w:u w:val="single"/>
          <w:lang w:eastAsia="zh-CN"/>
        </w:rPr>
      </w:pPr>
      <w:r>
        <w:rPr>
          <w:rFonts w:hint="eastAsia" w:ascii="Times New Roman" w:hAnsi="Times New Roman" w:eastAsia="宋体" w:cs="Times New Roman"/>
          <w:color w:val="000000"/>
          <w:u w:val="single"/>
          <w:lang w:eastAsia="zh-CN"/>
        </w:rPr>
        <w:t>（2）水土流失环境影响评价</w:t>
      </w:r>
    </w:p>
    <w:p>
      <w:pPr>
        <w:rPr>
          <w:rFonts w:hint="eastAsia" w:ascii="Times New Roman" w:hAnsi="Times New Roman" w:eastAsia="宋体" w:cs="Times New Roman"/>
          <w:color w:val="000000"/>
          <w:u w:val="single"/>
          <w:lang w:eastAsia="zh-CN"/>
        </w:rPr>
      </w:pPr>
      <w:r>
        <w:rPr>
          <w:rFonts w:hint="eastAsia" w:ascii="Times New Roman" w:hAnsi="Times New Roman" w:eastAsia="宋体" w:cs="Times New Roman"/>
          <w:color w:val="000000"/>
          <w:u w:val="single"/>
          <w:lang w:eastAsia="zh-CN"/>
        </w:rPr>
        <w:t>项目建成后已形成混凝土地面，并在空地和场界四周已植树种草，通过加强绿化，降低地表径流流量和流速，增强地表的固土能力，减轻地表侵蚀，有效减少水土流失。项目因地制宜地采取一系列防治措施，有效地减低水土流失。</w:t>
      </w:r>
    </w:p>
    <w:p>
      <w:pPr>
        <w:rPr>
          <w:rFonts w:hint="eastAsia" w:ascii="Times New Roman" w:hAnsi="Times New Roman" w:eastAsia="宋体" w:cs="Times New Roman"/>
          <w:color w:val="000000"/>
          <w:u w:val="single"/>
          <w:lang w:eastAsia="zh-CN"/>
        </w:rPr>
      </w:pPr>
      <w:r>
        <w:rPr>
          <w:rFonts w:hint="eastAsia" w:ascii="Times New Roman" w:hAnsi="Times New Roman" w:eastAsia="宋体" w:cs="Times New Roman"/>
          <w:color w:val="000000"/>
          <w:u w:val="single"/>
          <w:lang w:eastAsia="zh-CN"/>
        </w:rPr>
        <w:t>（3）动植物生态环境影响评价</w:t>
      </w:r>
    </w:p>
    <w:p>
      <w:pPr>
        <w:rPr>
          <w:rFonts w:hint="eastAsia" w:ascii="Times New Roman" w:hAnsi="Times New Roman" w:eastAsia="宋体" w:cs="Times New Roman"/>
          <w:color w:val="000000"/>
          <w:u w:val="single"/>
          <w:lang w:eastAsia="zh-CN"/>
        </w:rPr>
      </w:pPr>
      <w:r>
        <w:rPr>
          <w:rFonts w:hint="eastAsia" w:ascii="Times New Roman" w:hAnsi="Times New Roman" w:eastAsia="宋体" w:cs="Times New Roman"/>
          <w:color w:val="000000"/>
          <w:u w:val="single"/>
          <w:lang w:eastAsia="zh-CN"/>
        </w:rPr>
        <w:t>本项目建成后通过采用多种绿化形式，实施后对当地植物生态环境有较大改善作用。本项目所在地野生动物少，本项目建设运行对当地动物影响较小</w:t>
      </w:r>
    </w:p>
    <w:p>
      <w:pPr>
        <w:pStyle w:val="129"/>
        <w:bidi w:val="0"/>
        <w:rPr>
          <w:rFonts w:hint="eastAsia"/>
          <w:u w:val="single"/>
          <w:lang w:val="en-US" w:eastAsia="zh-CN"/>
        </w:rPr>
      </w:pPr>
      <w:r>
        <w:rPr>
          <w:rFonts w:hint="eastAsia"/>
          <w:u w:val="single"/>
          <w:lang w:val="en-US" w:eastAsia="zh-CN"/>
        </w:rPr>
        <w:t>表4.2.7-1生态影响评价自查表</w:t>
      </w:r>
    </w:p>
    <w:tbl>
      <w:tblPr>
        <w:tblStyle w:val="38"/>
        <w:tblW w:w="83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320"/>
        <w:gridCol w:w="6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gridSpan w:val="2"/>
            <w:noWrap w:val="0"/>
            <w:vAlign w:val="top"/>
          </w:tcPr>
          <w:p>
            <w:pPr>
              <w:pStyle w:val="142"/>
              <w:bidi w:val="0"/>
              <w:rPr>
                <w:rFonts w:hint="default"/>
                <w:u w:val="single"/>
                <w:lang w:val="en-US" w:eastAsia="zh-CN"/>
              </w:rPr>
            </w:pPr>
            <w:r>
              <w:rPr>
                <w:rFonts w:hint="eastAsia"/>
                <w:u w:val="single"/>
                <w:lang w:val="en-US" w:eastAsia="zh-CN"/>
              </w:rPr>
              <w:t>工作内容</w:t>
            </w:r>
          </w:p>
        </w:tc>
        <w:tc>
          <w:tcPr>
            <w:tcW w:w="6315" w:type="dxa"/>
            <w:noWrap w:val="0"/>
            <w:vAlign w:val="top"/>
          </w:tcPr>
          <w:p>
            <w:pPr>
              <w:pStyle w:val="142"/>
              <w:bidi w:val="0"/>
              <w:rPr>
                <w:rFonts w:hint="default"/>
                <w:u w:val="single"/>
                <w:lang w:val="en-US" w:eastAsia="zh-CN"/>
              </w:rPr>
            </w:pPr>
            <w:r>
              <w:rPr>
                <w:rFonts w:hint="eastAsia"/>
                <w:u w:val="single"/>
                <w:lang w:val="en-US" w:eastAsia="zh-CN"/>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noWrap w:val="0"/>
            <w:vAlign w:val="center"/>
          </w:tcPr>
          <w:p>
            <w:pPr>
              <w:pStyle w:val="142"/>
              <w:bidi w:val="0"/>
              <w:jc w:val="center"/>
              <w:rPr>
                <w:rFonts w:hint="default"/>
                <w:u w:val="single"/>
                <w:lang w:val="en-US" w:eastAsia="zh-CN"/>
              </w:rPr>
            </w:pPr>
            <w:r>
              <w:rPr>
                <w:rFonts w:hint="eastAsia"/>
                <w:u w:val="single"/>
                <w:lang w:val="en-US" w:eastAsia="zh-CN"/>
              </w:rPr>
              <w:t>生态影响识别</w:t>
            </w:r>
          </w:p>
        </w:tc>
        <w:tc>
          <w:tcPr>
            <w:tcW w:w="1320" w:type="dxa"/>
            <w:noWrap w:val="0"/>
            <w:vAlign w:val="center"/>
          </w:tcPr>
          <w:p>
            <w:pPr>
              <w:pStyle w:val="142"/>
              <w:bidi w:val="0"/>
              <w:jc w:val="center"/>
              <w:rPr>
                <w:rFonts w:hint="default"/>
                <w:u w:val="single"/>
                <w:lang w:val="en-US" w:eastAsia="zh-CN"/>
              </w:rPr>
            </w:pPr>
            <w:r>
              <w:rPr>
                <w:rFonts w:hint="eastAsia"/>
                <w:u w:val="single"/>
                <w:lang w:val="en-US" w:eastAsia="zh-CN"/>
              </w:rPr>
              <w:t>生态保护红线</w:t>
            </w:r>
          </w:p>
        </w:tc>
        <w:tc>
          <w:tcPr>
            <w:tcW w:w="6315" w:type="dxa"/>
            <w:noWrap w:val="0"/>
            <w:vAlign w:val="top"/>
          </w:tcPr>
          <w:p>
            <w:pPr>
              <w:pStyle w:val="142"/>
              <w:bidi w:val="0"/>
              <w:rPr>
                <w:rFonts w:hint="default"/>
                <w:u w:val="single"/>
                <w:lang w:val="en-US" w:eastAsia="zh-CN"/>
              </w:rPr>
            </w:pPr>
            <w:r>
              <w:rPr>
                <w:rFonts w:hint="eastAsia"/>
                <w:u w:val="single"/>
                <w:lang w:val="en-US" w:eastAsia="zh-CN"/>
              </w:rPr>
              <w:t>重要物种</w:t>
            </w:r>
            <w:r>
              <w:rPr>
                <w:rFonts w:hint="eastAsia"/>
                <w:u w:val="single"/>
                <w:lang w:val="en-US" w:eastAsia="zh-CN"/>
              </w:rPr>
              <w:sym w:font="Wingdings" w:char="00A8"/>
            </w:r>
            <w:r>
              <w:rPr>
                <w:rFonts w:hint="eastAsia"/>
                <w:u w:val="single"/>
                <w:lang w:val="en-US" w:eastAsia="zh-CN"/>
              </w:rPr>
              <w:t>；国家公园</w:t>
            </w:r>
            <w:r>
              <w:rPr>
                <w:rFonts w:hint="eastAsia"/>
                <w:u w:val="single"/>
                <w:lang w:val="en-US" w:eastAsia="zh-CN"/>
              </w:rPr>
              <w:sym w:font="Wingdings" w:char="00A8"/>
            </w:r>
            <w:r>
              <w:rPr>
                <w:rFonts w:hint="eastAsia"/>
                <w:u w:val="single"/>
                <w:lang w:val="en-US" w:eastAsia="zh-CN"/>
              </w:rPr>
              <w:t>；自然保护区</w:t>
            </w:r>
            <w:r>
              <w:rPr>
                <w:rFonts w:hint="eastAsia"/>
                <w:u w:val="single"/>
                <w:lang w:val="en-US" w:eastAsia="zh-CN"/>
              </w:rPr>
              <w:sym w:font="Wingdings" w:char="00A8"/>
            </w:r>
            <w:r>
              <w:rPr>
                <w:rFonts w:hint="eastAsia"/>
                <w:u w:val="single"/>
                <w:lang w:val="en-US" w:eastAsia="zh-CN"/>
              </w:rPr>
              <w:t>；自然公园</w:t>
            </w:r>
            <w:r>
              <w:rPr>
                <w:rFonts w:hint="eastAsia"/>
                <w:u w:val="single"/>
                <w:lang w:val="en-US" w:eastAsia="zh-CN"/>
              </w:rPr>
              <w:sym w:font="Wingdings" w:char="00A8"/>
            </w:r>
            <w:r>
              <w:rPr>
                <w:rFonts w:hint="eastAsia"/>
                <w:u w:val="single"/>
                <w:lang w:val="en-US" w:eastAsia="zh-CN"/>
              </w:rPr>
              <w:t>；；世界自然遗产</w:t>
            </w:r>
            <w:r>
              <w:rPr>
                <w:rFonts w:hint="eastAsia"/>
                <w:u w:val="single"/>
                <w:lang w:val="en-US" w:eastAsia="zh-CN"/>
              </w:rPr>
              <w:sym w:font="Wingdings" w:char="00A8"/>
            </w:r>
            <w:r>
              <w:rPr>
                <w:rFonts w:hint="eastAsia"/>
                <w:u w:val="single"/>
                <w:lang w:val="en-US" w:eastAsia="zh-CN"/>
              </w:rPr>
              <w:t>；生态保护红线</w:t>
            </w:r>
            <w:r>
              <w:rPr>
                <w:rFonts w:hint="eastAsia"/>
                <w:u w:val="single"/>
                <w:lang w:val="en-US" w:eastAsia="zh-CN"/>
              </w:rPr>
              <w:sym w:font="Wingdings" w:char="00A8"/>
            </w:r>
            <w:r>
              <w:rPr>
                <w:rFonts w:hint="eastAsia"/>
                <w:u w:val="single"/>
                <w:lang w:val="en-US" w:eastAsia="zh-CN"/>
              </w:rPr>
              <w:t>；重要生境</w:t>
            </w:r>
            <w:r>
              <w:rPr>
                <w:rFonts w:hint="eastAsia"/>
                <w:u w:val="single"/>
                <w:lang w:val="en-US" w:eastAsia="zh-CN"/>
              </w:rPr>
              <w:sym w:font="Wingdings" w:char="00A8"/>
            </w:r>
            <w:r>
              <w:rPr>
                <w:rFonts w:hint="eastAsia"/>
                <w:u w:val="single"/>
                <w:lang w:val="en-US" w:eastAsia="zh-CN"/>
              </w:rPr>
              <w:t>；其他具有重要生态功能、对保护生物多样性具有重要意义的区域</w:t>
            </w:r>
            <w:r>
              <w:rPr>
                <w:rFonts w:hint="eastAsia"/>
                <w:u w:val="single"/>
                <w:lang w:val="en-US" w:eastAsia="zh-CN"/>
              </w:rPr>
              <w:sym w:font="Wingdings" w:char="00A8"/>
            </w:r>
            <w:r>
              <w:rPr>
                <w:rFonts w:hint="eastAsia"/>
                <w:u w:val="single"/>
                <w:lang w:val="en-US" w:eastAsia="zh-CN"/>
              </w:rPr>
              <w:t>；其他</w:t>
            </w:r>
            <w:r>
              <w:rPr>
                <w:rFonts w:hint="eastAsia"/>
                <w:u w:val="single"/>
                <w:lang w:val="en-US" w:eastAsia="zh-CN"/>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pPr>
              <w:pStyle w:val="142"/>
              <w:bidi w:val="0"/>
              <w:jc w:val="center"/>
              <w:rPr>
                <w:rFonts w:hint="default"/>
                <w:u w:val="single"/>
                <w:lang w:val="en-US" w:eastAsia="zh-CN"/>
              </w:rPr>
            </w:pPr>
          </w:p>
        </w:tc>
        <w:tc>
          <w:tcPr>
            <w:tcW w:w="1320" w:type="dxa"/>
            <w:noWrap w:val="0"/>
            <w:vAlign w:val="center"/>
          </w:tcPr>
          <w:p>
            <w:pPr>
              <w:pStyle w:val="142"/>
              <w:bidi w:val="0"/>
              <w:jc w:val="center"/>
              <w:rPr>
                <w:rFonts w:hint="default"/>
                <w:u w:val="single"/>
                <w:lang w:val="en-US" w:eastAsia="zh-CN"/>
              </w:rPr>
            </w:pPr>
            <w:r>
              <w:rPr>
                <w:rFonts w:hint="eastAsia"/>
                <w:u w:val="single"/>
                <w:lang w:val="en-US" w:eastAsia="zh-CN"/>
              </w:rPr>
              <w:t>影响方式</w:t>
            </w:r>
          </w:p>
        </w:tc>
        <w:tc>
          <w:tcPr>
            <w:tcW w:w="6315" w:type="dxa"/>
            <w:noWrap w:val="0"/>
            <w:vAlign w:val="top"/>
          </w:tcPr>
          <w:p>
            <w:pPr>
              <w:pStyle w:val="142"/>
              <w:bidi w:val="0"/>
              <w:rPr>
                <w:rFonts w:hint="default"/>
                <w:u w:val="single"/>
                <w:lang w:val="en-US" w:eastAsia="zh-CN"/>
              </w:rPr>
            </w:pPr>
            <w:r>
              <w:rPr>
                <w:rFonts w:hint="eastAsia"/>
                <w:u w:val="single"/>
                <w:lang w:val="en-US" w:eastAsia="zh-CN"/>
              </w:rPr>
              <w:t>工程占用</w:t>
            </w:r>
            <w:r>
              <w:rPr>
                <w:rFonts w:hint="eastAsia"/>
                <w:u w:val="single"/>
                <w:lang w:val="en-US" w:eastAsia="zh-CN"/>
              </w:rPr>
              <w:sym w:font="Wingdings" w:char="00FE"/>
            </w:r>
            <w:r>
              <w:rPr>
                <w:rFonts w:hint="eastAsia"/>
                <w:u w:val="single"/>
                <w:lang w:val="en-US" w:eastAsia="zh-CN"/>
              </w:rPr>
              <w:t>；施工活动干扰</w:t>
            </w:r>
            <w:r>
              <w:rPr>
                <w:rFonts w:hint="eastAsia"/>
                <w:u w:val="single"/>
                <w:lang w:val="en-US" w:eastAsia="zh-CN"/>
              </w:rPr>
              <w:sym w:font="Wingdings" w:char="00FE"/>
            </w:r>
            <w:r>
              <w:rPr>
                <w:rFonts w:hint="eastAsia"/>
                <w:u w:val="single"/>
                <w:lang w:val="en-US" w:eastAsia="zh-CN"/>
              </w:rPr>
              <w:t>；改变环境条件</w:t>
            </w:r>
            <w:r>
              <w:rPr>
                <w:rFonts w:hint="eastAsia"/>
                <w:u w:val="single"/>
                <w:lang w:val="en-US" w:eastAsia="zh-CN"/>
              </w:rPr>
              <w:sym w:font="Wingdings" w:char="00A8"/>
            </w:r>
            <w:r>
              <w:rPr>
                <w:rFonts w:hint="eastAsia"/>
                <w:u w:val="single"/>
                <w:lang w:val="en-US" w:eastAsia="zh-CN"/>
              </w:rPr>
              <w:t>；其他</w:t>
            </w:r>
            <w:r>
              <w:rPr>
                <w:rFonts w:hint="eastAsia"/>
                <w:u w:val="singl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vMerge w:val="continue"/>
            <w:noWrap w:val="0"/>
            <w:vAlign w:val="center"/>
          </w:tcPr>
          <w:p>
            <w:pPr>
              <w:pStyle w:val="142"/>
              <w:bidi w:val="0"/>
              <w:jc w:val="center"/>
              <w:rPr>
                <w:rFonts w:hint="default"/>
                <w:u w:val="single"/>
                <w:lang w:val="en-US" w:eastAsia="zh-CN"/>
              </w:rPr>
            </w:pPr>
          </w:p>
        </w:tc>
        <w:tc>
          <w:tcPr>
            <w:tcW w:w="1320" w:type="dxa"/>
            <w:noWrap w:val="0"/>
            <w:vAlign w:val="center"/>
          </w:tcPr>
          <w:p>
            <w:pPr>
              <w:pStyle w:val="142"/>
              <w:bidi w:val="0"/>
              <w:jc w:val="center"/>
              <w:rPr>
                <w:rFonts w:hint="default"/>
                <w:u w:val="single"/>
                <w:lang w:val="en-US" w:eastAsia="zh-CN"/>
              </w:rPr>
            </w:pPr>
            <w:r>
              <w:rPr>
                <w:rFonts w:hint="eastAsia"/>
                <w:u w:val="single"/>
                <w:lang w:val="en-US" w:eastAsia="zh-CN"/>
              </w:rPr>
              <w:t>评价因子</w:t>
            </w:r>
          </w:p>
        </w:tc>
        <w:tc>
          <w:tcPr>
            <w:tcW w:w="6315" w:type="dxa"/>
            <w:noWrap w:val="0"/>
            <w:vAlign w:val="top"/>
          </w:tcPr>
          <w:p>
            <w:pPr>
              <w:pStyle w:val="142"/>
              <w:bidi w:val="0"/>
              <w:jc w:val="left"/>
              <w:rPr>
                <w:rFonts w:hint="eastAsia"/>
                <w:u w:val="single"/>
                <w:lang w:val="en-US" w:eastAsia="zh-CN"/>
              </w:rPr>
            </w:pPr>
            <w:r>
              <w:rPr>
                <w:rFonts w:hint="eastAsia"/>
                <w:u w:val="single"/>
                <w:lang w:val="en-US" w:eastAsia="zh-CN"/>
              </w:rPr>
              <w:t>物种</w:t>
            </w:r>
            <w:r>
              <w:rPr>
                <w:rFonts w:hint="eastAsia"/>
                <w:u w:val="single"/>
                <w:lang w:val="en-US" w:eastAsia="zh-CN"/>
              </w:rPr>
              <w:sym w:font="Wingdings" w:char="00FE"/>
            </w:r>
          </w:p>
          <w:p>
            <w:pPr>
              <w:pStyle w:val="142"/>
              <w:bidi w:val="0"/>
              <w:jc w:val="left"/>
              <w:rPr>
                <w:rFonts w:hint="eastAsia"/>
                <w:u w:val="single"/>
                <w:lang w:val="en-US" w:eastAsia="zh-CN"/>
              </w:rPr>
            </w:pPr>
            <w:r>
              <w:rPr>
                <w:rFonts w:hint="eastAsia"/>
                <w:u w:val="single"/>
                <w:lang w:val="en-US" w:eastAsia="zh-CN"/>
              </w:rPr>
              <w:t>生境</w:t>
            </w:r>
            <w:r>
              <w:rPr>
                <w:rFonts w:hint="eastAsia"/>
                <w:u w:val="single"/>
                <w:lang w:val="en-US" w:eastAsia="zh-CN"/>
              </w:rPr>
              <w:sym w:font="Wingdings" w:char="00FE"/>
            </w:r>
          </w:p>
          <w:p>
            <w:pPr>
              <w:pStyle w:val="142"/>
              <w:bidi w:val="0"/>
              <w:jc w:val="left"/>
              <w:rPr>
                <w:rFonts w:hint="eastAsia"/>
                <w:u w:val="single"/>
                <w:lang w:val="en-US" w:eastAsia="zh-CN"/>
              </w:rPr>
            </w:pPr>
            <w:r>
              <w:rPr>
                <w:rFonts w:hint="eastAsia"/>
                <w:u w:val="single"/>
                <w:lang w:val="en-US" w:eastAsia="zh-CN"/>
              </w:rPr>
              <w:t>生物群落</w:t>
            </w:r>
            <w:r>
              <w:rPr>
                <w:rFonts w:hint="eastAsia"/>
                <w:u w:val="single"/>
                <w:lang w:val="en-US" w:eastAsia="zh-CN"/>
              </w:rPr>
              <w:sym w:font="Wingdings" w:char="00FE"/>
            </w:r>
          </w:p>
          <w:p>
            <w:pPr>
              <w:pStyle w:val="142"/>
              <w:bidi w:val="0"/>
              <w:jc w:val="left"/>
              <w:rPr>
                <w:rFonts w:hint="eastAsia"/>
                <w:u w:val="single"/>
                <w:lang w:val="en-US" w:eastAsia="zh-CN"/>
              </w:rPr>
            </w:pPr>
            <w:r>
              <w:rPr>
                <w:rFonts w:hint="eastAsia"/>
                <w:u w:val="single"/>
                <w:lang w:val="en-US" w:eastAsia="zh-CN"/>
              </w:rPr>
              <w:t>生态系统</w:t>
            </w:r>
            <w:r>
              <w:rPr>
                <w:rFonts w:hint="eastAsia"/>
                <w:u w:val="single"/>
                <w:lang w:val="en-US" w:eastAsia="zh-CN"/>
              </w:rPr>
              <w:sym w:font="Wingdings" w:char="00FE"/>
            </w:r>
          </w:p>
          <w:p>
            <w:pPr>
              <w:pStyle w:val="142"/>
              <w:bidi w:val="0"/>
              <w:jc w:val="left"/>
              <w:rPr>
                <w:rFonts w:hint="eastAsia"/>
                <w:u w:val="single"/>
                <w:lang w:val="en-US" w:eastAsia="zh-CN"/>
              </w:rPr>
            </w:pPr>
            <w:r>
              <w:rPr>
                <w:rFonts w:hint="eastAsia"/>
                <w:u w:val="single"/>
                <w:lang w:val="en-US" w:eastAsia="zh-CN"/>
              </w:rPr>
              <w:t>生物多样性</w:t>
            </w:r>
            <w:r>
              <w:rPr>
                <w:rFonts w:hint="eastAsia"/>
                <w:u w:val="single"/>
                <w:lang w:val="en-US" w:eastAsia="zh-CN"/>
              </w:rPr>
              <w:sym w:font="Wingdings" w:char="00FE"/>
            </w:r>
          </w:p>
          <w:p>
            <w:pPr>
              <w:pStyle w:val="142"/>
              <w:bidi w:val="0"/>
              <w:jc w:val="left"/>
              <w:rPr>
                <w:rFonts w:hint="eastAsia"/>
                <w:u w:val="single"/>
                <w:lang w:val="en-US" w:eastAsia="zh-CN"/>
              </w:rPr>
            </w:pPr>
            <w:r>
              <w:rPr>
                <w:rFonts w:hint="eastAsia"/>
                <w:u w:val="single"/>
                <w:lang w:val="en-US" w:eastAsia="zh-CN"/>
              </w:rPr>
              <w:t>生态敏感区</w:t>
            </w:r>
            <w:r>
              <w:rPr>
                <w:rFonts w:hint="eastAsia"/>
                <w:u w:val="single"/>
                <w:lang w:val="en-US" w:eastAsia="zh-CN"/>
              </w:rPr>
              <w:sym w:font="Wingdings" w:char="00A8"/>
            </w:r>
          </w:p>
          <w:p>
            <w:pPr>
              <w:pStyle w:val="142"/>
              <w:bidi w:val="0"/>
              <w:jc w:val="left"/>
              <w:rPr>
                <w:rFonts w:hint="eastAsia"/>
                <w:u w:val="single"/>
                <w:lang w:val="en-US" w:eastAsia="zh-CN"/>
              </w:rPr>
            </w:pPr>
            <w:r>
              <w:rPr>
                <w:rFonts w:hint="eastAsia"/>
                <w:u w:val="single"/>
                <w:lang w:val="en-US" w:eastAsia="zh-CN"/>
              </w:rPr>
              <w:t>自然景观</w:t>
            </w:r>
            <w:r>
              <w:rPr>
                <w:rFonts w:hint="eastAsia"/>
                <w:u w:val="single"/>
                <w:lang w:val="en-US" w:eastAsia="zh-CN"/>
              </w:rPr>
              <w:sym w:font="Wingdings" w:char="00A8"/>
            </w:r>
          </w:p>
          <w:p>
            <w:pPr>
              <w:pStyle w:val="142"/>
              <w:bidi w:val="0"/>
              <w:jc w:val="left"/>
              <w:rPr>
                <w:rFonts w:hint="eastAsia"/>
                <w:u w:val="single"/>
                <w:lang w:val="en-US" w:eastAsia="zh-CN"/>
              </w:rPr>
            </w:pPr>
            <w:r>
              <w:rPr>
                <w:rFonts w:hint="eastAsia"/>
                <w:u w:val="single"/>
                <w:lang w:val="en-US" w:eastAsia="zh-CN"/>
              </w:rPr>
              <w:t>自然遗迹</w:t>
            </w:r>
            <w:r>
              <w:rPr>
                <w:rFonts w:hint="eastAsia"/>
                <w:u w:val="single"/>
                <w:lang w:val="en-US" w:eastAsia="zh-CN"/>
              </w:rPr>
              <w:sym w:font="Wingdings" w:char="00A8"/>
            </w:r>
          </w:p>
          <w:p>
            <w:pPr>
              <w:pStyle w:val="142"/>
              <w:bidi w:val="0"/>
              <w:jc w:val="left"/>
              <w:rPr>
                <w:rFonts w:hint="default"/>
                <w:u w:val="single"/>
                <w:lang w:val="en-US" w:eastAsia="zh-CN"/>
              </w:rPr>
            </w:pPr>
            <w:r>
              <w:rPr>
                <w:rFonts w:hint="eastAsia"/>
                <w:u w:val="single"/>
                <w:lang w:val="en-US" w:eastAsia="zh-CN"/>
              </w:rPr>
              <w:t>其他</w:t>
            </w:r>
            <w:r>
              <w:rPr>
                <w:rFonts w:hint="eastAsia"/>
                <w:u w:val="singl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gridSpan w:val="2"/>
            <w:noWrap w:val="0"/>
            <w:vAlign w:val="top"/>
          </w:tcPr>
          <w:p>
            <w:pPr>
              <w:pStyle w:val="142"/>
              <w:bidi w:val="0"/>
              <w:rPr>
                <w:rFonts w:hint="default"/>
                <w:u w:val="single"/>
                <w:lang w:val="en-US" w:eastAsia="zh-CN"/>
              </w:rPr>
            </w:pPr>
            <w:r>
              <w:rPr>
                <w:rFonts w:hint="eastAsia"/>
                <w:u w:val="single"/>
                <w:lang w:val="en-US" w:eastAsia="zh-CN"/>
              </w:rPr>
              <w:t>评价等级</w:t>
            </w:r>
          </w:p>
        </w:tc>
        <w:tc>
          <w:tcPr>
            <w:tcW w:w="6315" w:type="dxa"/>
            <w:noWrap w:val="0"/>
            <w:vAlign w:val="top"/>
          </w:tcPr>
          <w:p>
            <w:pPr>
              <w:pStyle w:val="142"/>
              <w:bidi w:val="0"/>
              <w:rPr>
                <w:rFonts w:hint="default"/>
                <w:u w:val="single"/>
                <w:lang w:val="en-US" w:eastAsia="zh-CN"/>
              </w:rPr>
            </w:pPr>
            <w:r>
              <w:rPr>
                <w:rFonts w:hint="eastAsia"/>
                <w:u w:val="single"/>
                <w:lang w:val="en-US" w:eastAsia="zh-CN"/>
              </w:rPr>
              <w:t>一级</w:t>
            </w:r>
            <w:r>
              <w:rPr>
                <w:rFonts w:hint="eastAsia"/>
                <w:u w:val="single"/>
                <w:lang w:val="en-US" w:eastAsia="zh-CN"/>
              </w:rPr>
              <w:sym w:font="Wingdings" w:char="00A8"/>
            </w:r>
            <w:r>
              <w:rPr>
                <w:rFonts w:hint="eastAsia"/>
                <w:u w:val="single"/>
                <w:lang w:val="en-US" w:eastAsia="zh-CN"/>
              </w:rPr>
              <w:t xml:space="preserve">   二级</w:t>
            </w:r>
            <w:r>
              <w:rPr>
                <w:rFonts w:hint="eastAsia"/>
                <w:u w:val="single"/>
                <w:lang w:val="en-US" w:eastAsia="zh-CN"/>
              </w:rPr>
              <w:sym w:font="Wingdings" w:char="00A8"/>
            </w:r>
            <w:r>
              <w:rPr>
                <w:rFonts w:hint="eastAsia"/>
                <w:u w:val="single"/>
                <w:lang w:val="en-US" w:eastAsia="zh-CN"/>
              </w:rPr>
              <w:t xml:space="preserve">   三级</w:t>
            </w:r>
            <w:r>
              <w:rPr>
                <w:rFonts w:hint="eastAsia"/>
                <w:u w:val="single"/>
                <w:lang w:val="en-US" w:eastAsia="zh-CN"/>
              </w:rPr>
              <w:sym w:font="Wingdings" w:char="00A8"/>
            </w:r>
            <w:r>
              <w:rPr>
                <w:rFonts w:hint="eastAsia"/>
                <w:u w:val="single"/>
                <w:lang w:val="en-US" w:eastAsia="zh-CN"/>
              </w:rPr>
              <w:t xml:space="preserve">   生态影响简单分析</w:t>
            </w:r>
            <w:r>
              <w:rPr>
                <w:rFonts w:hint="eastAsia"/>
                <w:u w:val="single"/>
                <w:lang w:val="en-US" w:eastAsia="zh-CN"/>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gridSpan w:val="2"/>
            <w:noWrap w:val="0"/>
            <w:vAlign w:val="top"/>
          </w:tcPr>
          <w:p>
            <w:pPr>
              <w:pStyle w:val="142"/>
              <w:bidi w:val="0"/>
              <w:rPr>
                <w:rFonts w:hint="eastAsia"/>
                <w:u w:val="single"/>
                <w:lang w:val="en-US" w:eastAsia="zh-CN"/>
              </w:rPr>
            </w:pPr>
            <w:r>
              <w:rPr>
                <w:rFonts w:hint="eastAsia"/>
                <w:u w:val="single"/>
                <w:lang w:val="en-US" w:eastAsia="zh-CN"/>
              </w:rPr>
              <w:t>评价范围</w:t>
            </w:r>
          </w:p>
        </w:tc>
        <w:tc>
          <w:tcPr>
            <w:tcW w:w="6315" w:type="dxa"/>
            <w:noWrap w:val="0"/>
            <w:vAlign w:val="top"/>
          </w:tcPr>
          <w:p>
            <w:pPr>
              <w:pStyle w:val="142"/>
              <w:bidi w:val="0"/>
              <w:rPr>
                <w:rFonts w:hint="default"/>
                <w:u w:val="single"/>
                <w:vertAlign w:val="baseline"/>
                <w:lang w:val="en-US" w:eastAsia="zh-CN"/>
              </w:rPr>
            </w:pPr>
            <w:r>
              <w:rPr>
                <w:rFonts w:hint="eastAsia"/>
                <w:u w:val="single"/>
                <w:lang w:val="en-US" w:eastAsia="zh-CN"/>
              </w:rPr>
              <w:t>陆域面积：（0.04）km</w:t>
            </w:r>
            <w:r>
              <w:rPr>
                <w:rFonts w:hint="eastAsia"/>
                <w:u w:val="single"/>
                <w:vertAlign w:val="superscript"/>
                <w:lang w:val="en-US" w:eastAsia="zh-CN"/>
              </w:rPr>
              <w:t>2</w:t>
            </w:r>
            <w:r>
              <w:rPr>
                <w:rFonts w:hint="eastAsia"/>
                <w:u w:val="single"/>
                <w:vertAlign w:val="baseline"/>
                <w:lang w:val="en-US" w:eastAsia="zh-CN"/>
              </w:rPr>
              <w:t xml:space="preserve">；  </w:t>
            </w:r>
            <w:r>
              <w:rPr>
                <w:rFonts w:hint="eastAsia"/>
                <w:u w:val="single"/>
                <w:lang w:val="en-US" w:eastAsia="zh-CN"/>
              </w:rPr>
              <w:t>水域面积：（）km</w:t>
            </w:r>
            <w:r>
              <w:rPr>
                <w:rFonts w:hint="eastAsia"/>
                <w:u w:val="singl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noWrap w:val="0"/>
            <w:vAlign w:val="center"/>
          </w:tcPr>
          <w:p>
            <w:pPr>
              <w:pStyle w:val="142"/>
              <w:bidi w:val="0"/>
              <w:jc w:val="center"/>
              <w:rPr>
                <w:rFonts w:hint="eastAsia"/>
                <w:u w:val="single"/>
                <w:lang w:val="en-US" w:eastAsia="zh-CN"/>
              </w:rPr>
            </w:pPr>
            <w:r>
              <w:rPr>
                <w:rFonts w:hint="eastAsia"/>
                <w:u w:val="single"/>
                <w:lang w:val="en-US" w:eastAsia="zh-CN"/>
              </w:rPr>
              <w:t>生态现状调查与评价</w:t>
            </w:r>
          </w:p>
        </w:tc>
        <w:tc>
          <w:tcPr>
            <w:tcW w:w="1320" w:type="dxa"/>
            <w:noWrap w:val="0"/>
            <w:vAlign w:val="center"/>
          </w:tcPr>
          <w:p>
            <w:pPr>
              <w:pStyle w:val="142"/>
              <w:bidi w:val="0"/>
              <w:jc w:val="center"/>
              <w:rPr>
                <w:rFonts w:hint="eastAsia"/>
                <w:u w:val="single"/>
                <w:lang w:val="en-US" w:eastAsia="zh-CN"/>
              </w:rPr>
            </w:pPr>
            <w:r>
              <w:rPr>
                <w:rFonts w:hint="eastAsia"/>
                <w:u w:val="single"/>
                <w:lang w:val="en-US" w:eastAsia="zh-CN"/>
              </w:rPr>
              <w:t>调查方法</w:t>
            </w:r>
          </w:p>
        </w:tc>
        <w:tc>
          <w:tcPr>
            <w:tcW w:w="6315" w:type="dxa"/>
            <w:noWrap w:val="0"/>
            <w:vAlign w:val="top"/>
          </w:tcPr>
          <w:p>
            <w:pPr>
              <w:pStyle w:val="142"/>
              <w:bidi w:val="0"/>
              <w:rPr>
                <w:rFonts w:hint="default"/>
                <w:u w:val="single"/>
                <w:lang w:val="en-US" w:eastAsia="zh-CN"/>
              </w:rPr>
            </w:pPr>
            <w:r>
              <w:rPr>
                <w:rFonts w:hint="eastAsia"/>
                <w:u w:val="single"/>
                <w:lang w:val="en-US" w:eastAsia="zh-CN"/>
              </w:rPr>
              <w:t>资料收集</w:t>
            </w:r>
            <w:r>
              <w:rPr>
                <w:rFonts w:hint="eastAsia"/>
                <w:u w:val="single"/>
                <w:lang w:val="en-US" w:eastAsia="zh-CN"/>
              </w:rPr>
              <w:sym w:font="Wingdings" w:char="00FE"/>
            </w:r>
            <w:r>
              <w:rPr>
                <w:rFonts w:hint="eastAsia"/>
                <w:u w:val="single"/>
                <w:lang w:val="en-US" w:eastAsia="zh-CN"/>
              </w:rPr>
              <w:t>；遥感调查</w:t>
            </w:r>
            <w:r>
              <w:rPr>
                <w:rFonts w:hint="eastAsia"/>
                <w:u w:val="single"/>
                <w:lang w:val="en-US" w:eastAsia="zh-CN"/>
              </w:rPr>
              <w:sym w:font="Wingdings" w:char="00A8"/>
            </w:r>
            <w:r>
              <w:rPr>
                <w:rFonts w:hint="eastAsia"/>
                <w:u w:val="single"/>
                <w:lang w:val="en-US" w:eastAsia="zh-CN"/>
              </w:rPr>
              <w:t>；调查方法、样线</w:t>
            </w:r>
            <w:r>
              <w:rPr>
                <w:rFonts w:hint="eastAsia"/>
                <w:u w:val="single"/>
                <w:lang w:val="en-US" w:eastAsia="zh-CN"/>
              </w:rPr>
              <w:sym w:font="Wingdings" w:char="00A8"/>
            </w:r>
            <w:r>
              <w:rPr>
                <w:rFonts w:hint="eastAsia"/>
                <w:u w:val="single"/>
                <w:lang w:val="en-US" w:eastAsia="zh-CN"/>
              </w:rPr>
              <w:t>；调查点位、断面</w:t>
            </w:r>
            <w:r>
              <w:rPr>
                <w:rFonts w:hint="eastAsia"/>
                <w:u w:val="single"/>
                <w:lang w:val="en-US" w:eastAsia="zh-CN"/>
              </w:rPr>
              <w:sym w:font="Wingdings" w:char="00A8"/>
            </w:r>
            <w:r>
              <w:rPr>
                <w:rFonts w:hint="eastAsia"/>
                <w:u w:val="single"/>
                <w:lang w:val="en-US" w:eastAsia="zh-CN"/>
              </w:rPr>
              <w:t>；专家和公众咨询法</w:t>
            </w:r>
            <w:r>
              <w:rPr>
                <w:rFonts w:hint="eastAsia"/>
                <w:u w:val="single"/>
                <w:lang w:val="en-US" w:eastAsia="zh-CN"/>
              </w:rPr>
              <w:sym w:font="Wingdings" w:char="00A8"/>
            </w:r>
            <w:r>
              <w:rPr>
                <w:rFonts w:hint="eastAsia"/>
                <w:u w:val="single"/>
                <w:lang w:val="en-US" w:eastAsia="zh-CN"/>
              </w:rPr>
              <w:t>；其他</w:t>
            </w:r>
            <w:r>
              <w:rPr>
                <w:rFonts w:hint="eastAsia"/>
                <w:u w:val="single"/>
                <w:lang w:val="en-US" w:eastAsia="zh-CN"/>
              </w:rPr>
              <w:sym w:font="Wingdings" w:char="00FE"/>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vMerge w:val="continue"/>
            <w:noWrap w:val="0"/>
            <w:vAlign w:val="center"/>
          </w:tcPr>
          <w:p>
            <w:pPr>
              <w:pStyle w:val="142"/>
              <w:bidi w:val="0"/>
              <w:jc w:val="center"/>
              <w:rPr>
                <w:rFonts w:hint="eastAsia"/>
                <w:u w:val="single"/>
                <w:lang w:val="en-US" w:eastAsia="zh-CN"/>
              </w:rPr>
            </w:pPr>
          </w:p>
        </w:tc>
        <w:tc>
          <w:tcPr>
            <w:tcW w:w="1320" w:type="dxa"/>
            <w:noWrap w:val="0"/>
            <w:vAlign w:val="center"/>
          </w:tcPr>
          <w:p>
            <w:pPr>
              <w:pStyle w:val="142"/>
              <w:bidi w:val="0"/>
              <w:jc w:val="center"/>
              <w:rPr>
                <w:rFonts w:hint="eastAsia"/>
                <w:u w:val="single"/>
                <w:lang w:val="en-US" w:eastAsia="zh-CN"/>
              </w:rPr>
            </w:pPr>
            <w:r>
              <w:rPr>
                <w:rFonts w:hint="eastAsia"/>
                <w:u w:val="single"/>
                <w:lang w:val="en-US" w:eastAsia="zh-CN"/>
              </w:rPr>
              <w:t>调查时间</w:t>
            </w:r>
          </w:p>
        </w:tc>
        <w:tc>
          <w:tcPr>
            <w:tcW w:w="6315" w:type="dxa"/>
            <w:noWrap w:val="0"/>
            <w:vAlign w:val="top"/>
          </w:tcPr>
          <w:p>
            <w:pPr>
              <w:pStyle w:val="142"/>
              <w:bidi w:val="0"/>
              <w:rPr>
                <w:rFonts w:hint="eastAsia"/>
                <w:u w:val="single"/>
                <w:lang w:val="en-US" w:eastAsia="zh-CN"/>
              </w:rPr>
            </w:pPr>
            <w:r>
              <w:rPr>
                <w:rFonts w:hint="eastAsia"/>
                <w:u w:val="single"/>
                <w:lang w:val="en-US" w:eastAsia="zh-CN"/>
              </w:rPr>
              <w:t>春季</w:t>
            </w:r>
            <w:r>
              <w:rPr>
                <w:rFonts w:hint="eastAsia"/>
                <w:u w:val="single"/>
                <w:lang w:val="en-US" w:eastAsia="zh-CN"/>
              </w:rPr>
              <w:sym w:font="Wingdings" w:char="00FE"/>
            </w:r>
            <w:r>
              <w:rPr>
                <w:rFonts w:hint="eastAsia"/>
                <w:u w:val="single"/>
                <w:lang w:val="en-US" w:eastAsia="zh-CN"/>
              </w:rPr>
              <w:t>；夏季</w:t>
            </w:r>
            <w:r>
              <w:rPr>
                <w:rFonts w:hint="eastAsia"/>
                <w:u w:val="single"/>
                <w:lang w:val="en-US" w:eastAsia="zh-CN"/>
              </w:rPr>
              <w:sym w:font="Wingdings" w:char="00A8"/>
            </w:r>
            <w:r>
              <w:rPr>
                <w:rFonts w:hint="eastAsia"/>
                <w:u w:val="single"/>
                <w:lang w:val="en-US" w:eastAsia="zh-CN"/>
              </w:rPr>
              <w:t>；秋季</w:t>
            </w:r>
            <w:r>
              <w:rPr>
                <w:rFonts w:hint="eastAsia"/>
                <w:u w:val="single"/>
                <w:lang w:val="en-US" w:eastAsia="zh-CN"/>
              </w:rPr>
              <w:sym w:font="Wingdings" w:char="00A8"/>
            </w:r>
            <w:r>
              <w:rPr>
                <w:rFonts w:hint="eastAsia"/>
                <w:u w:val="single"/>
                <w:lang w:val="en-US" w:eastAsia="zh-CN"/>
              </w:rPr>
              <w:t>；冬季</w:t>
            </w:r>
            <w:r>
              <w:rPr>
                <w:rFonts w:hint="eastAsia"/>
                <w:u w:val="single"/>
                <w:lang w:val="en-US" w:eastAsia="zh-CN"/>
              </w:rPr>
              <w:sym w:font="Wingdings" w:char="00A8"/>
            </w:r>
          </w:p>
          <w:p>
            <w:pPr>
              <w:pStyle w:val="142"/>
              <w:bidi w:val="0"/>
              <w:rPr>
                <w:rFonts w:hint="default"/>
                <w:u w:val="single"/>
                <w:lang w:val="en-US" w:eastAsia="zh-CN"/>
              </w:rPr>
            </w:pPr>
            <w:r>
              <w:rPr>
                <w:rFonts w:hint="eastAsia"/>
                <w:u w:val="single"/>
                <w:lang w:val="en-US" w:eastAsia="zh-CN"/>
              </w:rPr>
              <w:t>丰水期</w:t>
            </w:r>
            <w:r>
              <w:rPr>
                <w:rFonts w:hint="eastAsia"/>
                <w:u w:val="single"/>
                <w:lang w:val="en-US" w:eastAsia="zh-CN"/>
              </w:rPr>
              <w:sym w:font="Wingdings" w:char="00A8"/>
            </w:r>
            <w:r>
              <w:rPr>
                <w:rFonts w:hint="eastAsia"/>
                <w:u w:val="single"/>
                <w:lang w:val="en-US" w:eastAsia="zh-CN"/>
              </w:rPr>
              <w:t>；枯水期</w:t>
            </w:r>
            <w:r>
              <w:rPr>
                <w:rFonts w:hint="eastAsia"/>
                <w:u w:val="single"/>
                <w:lang w:val="en-US" w:eastAsia="zh-CN"/>
              </w:rPr>
              <w:sym w:font="Wingdings" w:char="00A8"/>
            </w:r>
            <w:r>
              <w:rPr>
                <w:rFonts w:hint="eastAsia"/>
                <w:u w:val="single"/>
                <w:lang w:val="en-US" w:eastAsia="zh-CN"/>
              </w:rPr>
              <w:t>；平水期</w:t>
            </w:r>
            <w:r>
              <w:rPr>
                <w:rFonts w:hint="eastAsia"/>
                <w:u w:val="singl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pPr>
              <w:pStyle w:val="142"/>
              <w:bidi w:val="0"/>
              <w:jc w:val="center"/>
              <w:rPr>
                <w:rFonts w:hint="eastAsia"/>
                <w:u w:val="single"/>
                <w:lang w:val="en-US" w:eastAsia="zh-CN"/>
              </w:rPr>
            </w:pPr>
          </w:p>
        </w:tc>
        <w:tc>
          <w:tcPr>
            <w:tcW w:w="1320" w:type="dxa"/>
            <w:noWrap w:val="0"/>
            <w:vAlign w:val="center"/>
          </w:tcPr>
          <w:p>
            <w:pPr>
              <w:pStyle w:val="142"/>
              <w:bidi w:val="0"/>
              <w:jc w:val="center"/>
              <w:rPr>
                <w:rFonts w:hint="eastAsia"/>
                <w:u w:val="single"/>
                <w:lang w:val="en-US" w:eastAsia="zh-CN"/>
              </w:rPr>
            </w:pPr>
            <w:r>
              <w:rPr>
                <w:rFonts w:hint="eastAsia"/>
                <w:u w:val="single"/>
                <w:lang w:val="en-US" w:eastAsia="zh-CN"/>
              </w:rPr>
              <w:t>所在区域的生态问题</w:t>
            </w:r>
          </w:p>
        </w:tc>
        <w:tc>
          <w:tcPr>
            <w:tcW w:w="6315" w:type="dxa"/>
            <w:noWrap w:val="0"/>
            <w:vAlign w:val="top"/>
          </w:tcPr>
          <w:p>
            <w:pPr>
              <w:pStyle w:val="142"/>
              <w:bidi w:val="0"/>
              <w:rPr>
                <w:rFonts w:hint="default"/>
                <w:u w:val="single"/>
                <w:lang w:val="en-US" w:eastAsia="zh-CN"/>
              </w:rPr>
            </w:pPr>
            <w:r>
              <w:rPr>
                <w:rFonts w:hint="eastAsia"/>
                <w:u w:val="single"/>
                <w:lang w:val="en-US" w:eastAsia="zh-CN"/>
              </w:rPr>
              <w:t>水土流失</w:t>
            </w:r>
            <w:r>
              <w:rPr>
                <w:rFonts w:hint="eastAsia"/>
                <w:u w:val="single"/>
                <w:lang w:val="en-US" w:eastAsia="zh-CN"/>
              </w:rPr>
              <w:sym w:font="Wingdings" w:char="00FE"/>
            </w:r>
            <w:r>
              <w:rPr>
                <w:rFonts w:hint="eastAsia"/>
                <w:u w:val="single"/>
                <w:lang w:val="en-US" w:eastAsia="zh-CN"/>
              </w:rPr>
              <w:t>；沙漠化</w:t>
            </w:r>
            <w:r>
              <w:rPr>
                <w:rFonts w:hint="eastAsia"/>
                <w:u w:val="single"/>
                <w:lang w:val="en-US" w:eastAsia="zh-CN"/>
              </w:rPr>
              <w:sym w:font="Wingdings" w:char="00A8"/>
            </w:r>
            <w:r>
              <w:rPr>
                <w:rFonts w:hint="eastAsia"/>
                <w:u w:val="single"/>
                <w:lang w:val="en-US" w:eastAsia="zh-CN"/>
              </w:rPr>
              <w:t>；石漠化</w:t>
            </w:r>
            <w:r>
              <w:rPr>
                <w:rFonts w:hint="eastAsia"/>
                <w:u w:val="single"/>
                <w:lang w:val="en-US" w:eastAsia="zh-CN"/>
              </w:rPr>
              <w:sym w:font="Wingdings" w:char="00A8"/>
            </w:r>
            <w:r>
              <w:rPr>
                <w:rFonts w:hint="eastAsia"/>
                <w:u w:val="single"/>
                <w:lang w:val="en-US" w:eastAsia="zh-CN"/>
              </w:rPr>
              <w:t>；盐渍化</w:t>
            </w:r>
            <w:r>
              <w:rPr>
                <w:rFonts w:hint="eastAsia"/>
                <w:u w:val="single"/>
                <w:lang w:val="en-US" w:eastAsia="zh-CN"/>
              </w:rPr>
              <w:sym w:font="Wingdings" w:char="00A8"/>
            </w:r>
            <w:r>
              <w:rPr>
                <w:rFonts w:hint="eastAsia"/>
                <w:u w:val="single"/>
                <w:lang w:val="en-US" w:eastAsia="zh-CN"/>
              </w:rPr>
              <w:t>；生物入侵</w:t>
            </w:r>
            <w:r>
              <w:rPr>
                <w:rFonts w:hint="eastAsia"/>
                <w:u w:val="single"/>
                <w:lang w:val="en-US" w:eastAsia="zh-CN"/>
              </w:rPr>
              <w:sym w:font="Wingdings" w:char="00A8"/>
            </w:r>
            <w:r>
              <w:rPr>
                <w:rFonts w:hint="eastAsia"/>
                <w:u w:val="single"/>
                <w:lang w:val="en-US" w:eastAsia="zh-CN"/>
              </w:rPr>
              <w:t>；污染危害</w:t>
            </w:r>
            <w:r>
              <w:rPr>
                <w:rFonts w:hint="eastAsia"/>
                <w:u w:val="single"/>
                <w:lang w:val="en-US" w:eastAsia="zh-CN"/>
              </w:rPr>
              <w:sym w:font="Wingdings" w:char="00A8"/>
            </w:r>
            <w:r>
              <w:rPr>
                <w:rFonts w:hint="eastAsia"/>
                <w:u w:val="single"/>
                <w:lang w:val="en-US" w:eastAsia="zh-CN"/>
              </w:rPr>
              <w:t>；其他</w:t>
            </w:r>
            <w:r>
              <w:rPr>
                <w:rFonts w:hint="eastAsia"/>
                <w:u w:val="singl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pPr>
              <w:pStyle w:val="142"/>
              <w:bidi w:val="0"/>
              <w:jc w:val="center"/>
              <w:rPr>
                <w:rFonts w:hint="eastAsia"/>
                <w:u w:val="single"/>
                <w:lang w:val="en-US" w:eastAsia="zh-CN"/>
              </w:rPr>
            </w:pPr>
          </w:p>
        </w:tc>
        <w:tc>
          <w:tcPr>
            <w:tcW w:w="1320" w:type="dxa"/>
            <w:noWrap w:val="0"/>
            <w:vAlign w:val="center"/>
          </w:tcPr>
          <w:p>
            <w:pPr>
              <w:pStyle w:val="142"/>
              <w:bidi w:val="0"/>
              <w:jc w:val="center"/>
              <w:rPr>
                <w:rFonts w:hint="eastAsia"/>
                <w:u w:val="single"/>
                <w:lang w:val="en-US" w:eastAsia="zh-CN"/>
              </w:rPr>
            </w:pPr>
            <w:r>
              <w:rPr>
                <w:rFonts w:hint="eastAsia"/>
                <w:u w:val="single"/>
                <w:lang w:val="en-US" w:eastAsia="zh-CN"/>
              </w:rPr>
              <w:t>评价内容</w:t>
            </w:r>
          </w:p>
        </w:tc>
        <w:tc>
          <w:tcPr>
            <w:tcW w:w="6315" w:type="dxa"/>
            <w:noWrap w:val="0"/>
            <w:vAlign w:val="center"/>
          </w:tcPr>
          <w:p>
            <w:pPr>
              <w:pStyle w:val="142"/>
              <w:bidi w:val="0"/>
              <w:jc w:val="center"/>
              <w:rPr>
                <w:rFonts w:hint="default"/>
                <w:u w:val="single"/>
                <w:lang w:val="en-US" w:eastAsia="zh-CN"/>
              </w:rPr>
            </w:pPr>
            <w:r>
              <w:rPr>
                <w:rFonts w:hint="eastAsia"/>
                <w:u w:val="single"/>
                <w:lang w:val="en-US" w:eastAsia="zh-CN"/>
              </w:rPr>
              <w:t>植被/植物群落</w:t>
            </w:r>
            <w:r>
              <w:rPr>
                <w:rFonts w:hint="eastAsia"/>
                <w:u w:val="single"/>
                <w:lang w:val="en-US" w:eastAsia="zh-CN"/>
              </w:rPr>
              <w:sym w:font="Wingdings" w:char="00FE"/>
            </w:r>
            <w:r>
              <w:rPr>
                <w:rFonts w:hint="eastAsia"/>
                <w:u w:val="single"/>
                <w:lang w:val="en-US" w:eastAsia="zh-CN"/>
              </w:rPr>
              <w:t>；土地利用</w:t>
            </w:r>
            <w:r>
              <w:rPr>
                <w:rFonts w:hint="eastAsia"/>
                <w:u w:val="single"/>
                <w:lang w:val="en-US" w:eastAsia="zh-CN"/>
              </w:rPr>
              <w:sym w:font="Wingdings" w:char="00FE"/>
            </w:r>
            <w:r>
              <w:rPr>
                <w:rFonts w:hint="eastAsia"/>
                <w:u w:val="single"/>
                <w:lang w:val="en-US" w:eastAsia="zh-CN"/>
              </w:rPr>
              <w:t>；生态系统</w:t>
            </w:r>
            <w:r>
              <w:rPr>
                <w:rFonts w:hint="eastAsia"/>
                <w:u w:val="single"/>
                <w:lang w:val="en-US" w:eastAsia="zh-CN"/>
              </w:rPr>
              <w:sym w:font="Wingdings" w:char="00FE"/>
            </w:r>
            <w:r>
              <w:rPr>
                <w:rFonts w:hint="eastAsia"/>
                <w:u w:val="single"/>
                <w:lang w:val="en-US" w:eastAsia="zh-CN"/>
              </w:rPr>
              <w:t>；生物多样性</w:t>
            </w:r>
            <w:r>
              <w:rPr>
                <w:rFonts w:hint="eastAsia"/>
                <w:u w:val="single"/>
                <w:lang w:val="en-US" w:eastAsia="zh-CN"/>
              </w:rPr>
              <w:sym w:font="Wingdings" w:char="00FE"/>
            </w:r>
            <w:r>
              <w:rPr>
                <w:rFonts w:hint="eastAsia"/>
                <w:u w:val="single"/>
                <w:lang w:val="en-US" w:eastAsia="zh-CN"/>
              </w:rPr>
              <w:t>；重要物种</w:t>
            </w:r>
            <w:r>
              <w:rPr>
                <w:rFonts w:hint="eastAsia"/>
                <w:u w:val="single"/>
                <w:lang w:val="en-US" w:eastAsia="zh-CN"/>
              </w:rPr>
              <w:sym w:font="Wingdings" w:char="00A8"/>
            </w:r>
            <w:r>
              <w:rPr>
                <w:rFonts w:hint="eastAsia"/>
                <w:u w:val="single"/>
                <w:lang w:val="en-US" w:eastAsia="zh-CN"/>
              </w:rPr>
              <w:t>；生态敏感区</w:t>
            </w:r>
            <w:r>
              <w:rPr>
                <w:rFonts w:hint="eastAsia"/>
                <w:u w:val="single"/>
                <w:lang w:val="en-US" w:eastAsia="zh-CN"/>
              </w:rPr>
              <w:sym w:font="Wingdings" w:char="00A8"/>
            </w:r>
            <w:r>
              <w:rPr>
                <w:rFonts w:hint="eastAsia"/>
                <w:u w:val="single"/>
                <w:lang w:val="en-US" w:eastAsia="zh-CN"/>
              </w:rPr>
              <w:t>；其他</w:t>
            </w:r>
            <w:r>
              <w:rPr>
                <w:rFonts w:hint="eastAsia"/>
                <w:u w:val="singl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noWrap w:val="0"/>
            <w:vAlign w:val="center"/>
          </w:tcPr>
          <w:p>
            <w:pPr>
              <w:pStyle w:val="142"/>
              <w:bidi w:val="0"/>
              <w:jc w:val="center"/>
              <w:rPr>
                <w:rFonts w:hint="eastAsia"/>
                <w:u w:val="single"/>
                <w:lang w:val="en-US" w:eastAsia="zh-CN"/>
              </w:rPr>
            </w:pPr>
            <w:r>
              <w:rPr>
                <w:rFonts w:hint="eastAsia"/>
                <w:u w:val="single"/>
                <w:lang w:val="en-US" w:eastAsia="zh-CN"/>
              </w:rPr>
              <w:t>生态影响预测与评价</w:t>
            </w:r>
          </w:p>
        </w:tc>
        <w:tc>
          <w:tcPr>
            <w:tcW w:w="1320" w:type="dxa"/>
            <w:noWrap w:val="0"/>
            <w:vAlign w:val="center"/>
          </w:tcPr>
          <w:p>
            <w:pPr>
              <w:pStyle w:val="142"/>
              <w:bidi w:val="0"/>
              <w:jc w:val="center"/>
              <w:rPr>
                <w:rFonts w:hint="eastAsia"/>
                <w:u w:val="single"/>
                <w:lang w:val="en-US" w:eastAsia="zh-CN"/>
              </w:rPr>
            </w:pPr>
            <w:r>
              <w:rPr>
                <w:rFonts w:hint="eastAsia"/>
                <w:u w:val="single"/>
                <w:lang w:val="en-US" w:eastAsia="zh-CN"/>
              </w:rPr>
              <w:t>评价方法</w:t>
            </w:r>
          </w:p>
        </w:tc>
        <w:tc>
          <w:tcPr>
            <w:tcW w:w="6315" w:type="dxa"/>
            <w:noWrap w:val="0"/>
            <w:vAlign w:val="top"/>
          </w:tcPr>
          <w:p>
            <w:pPr>
              <w:pStyle w:val="142"/>
              <w:bidi w:val="0"/>
              <w:rPr>
                <w:rFonts w:hint="default"/>
                <w:u w:val="single"/>
                <w:lang w:val="en-US" w:eastAsia="zh-CN"/>
              </w:rPr>
            </w:pPr>
            <w:r>
              <w:rPr>
                <w:rFonts w:hint="eastAsia"/>
                <w:u w:val="single"/>
                <w:lang w:val="en-US" w:eastAsia="zh-CN"/>
              </w:rPr>
              <w:t>定性</w:t>
            </w:r>
            <w:r>
              <w:rPr>
                <w:rFonts w:hint="eastAsia"/>
                <w:u w:val="single"/>
                <w:lang w:val="en-US" w:eastAsia="zh-CN"/>
              </w:rPr>
              <w:sym w:font="Wingdings" w:char="00FE"/>
            </w:r>
            <w:r>
              <w:rPr>
                <w:rFonts w:hint="eastAsia"/>
                <w:u w:val="single"/>
                <w:lang w:val="en-US" w:eastAsia="zh-CN"/>
              </w:rPr>
              <w:t>；定性定量</w:t>
            </w:r>
            <w:r>
              <w:rPr>
                <w:rFonts w:hint="eastAsia"/>
                <w:u w:val="singl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vMerge w:val="continue"/>
            <w:noWrap w:val="0"/>
            <w:vAlign w:val="center"/>
          </w:tcPr>
          <w:p>
            <w:pPr>
              <w:pStyle w:val="142"/>
              <w:bidi w:val="0"/>
              <w:jc w:val="center"/>
              <w:rPr>
                <w:rFonts w:hint="eastAsia"/>
                <w:u w:val="single"/>
                <w:lang w:val="en-US" w:eastAsia="zh-CN"/>
              </w:rPr>
            </w:pPr>
          </w:p>
        </w:tc>
        <w:tc>
          <w:tcPr>
            <w:tcW w:w="1320" w:type="dxa"/>
            <w:noWrap w:val="0"/>
            <w:vAlign w:val="center"/>
          </w:tcPr>
          <w:p>
            <w:pPr>
              <w:pStyle w:val="142"/>
              <w:bidi w:val="0"/>
              <w:jc w:val="center"/>
              <w:rPr>
                <w:rFonts w:hint="eastAsia"/>
                <w:u w:val="single"/>
                <w:lang w:val="en-US" w:eastAsia="zh-CN"/>
              </w:rPr>
            </w:pPr>
            <w:r>
              <w:rPr>
                <w:rFonts w:hint="eastAsia"/>
                <w:u w:val="single"/>
                <w:lang w:val="en-US" w:eastAsia="zh-CN"/>
              </w:rPr>
              <w:t>评价内容</w:t>
            </w:r>
          </w:p>
        </w:tc>
        <w:tc>
          <w:tcPr>
            <w:tcW w:w="6315" w:type="dxa"/>
            <w:noWrap w:val="0"/>
            <w:vAlign w:val="center"/>
          </w:tcPr>
          <w:p>
            <w:pPr>
              <w:pStyle w:val="142"/>
              <w:bidi w:val="0"/>
              <w:jc w:val="center"/>
              <w:rPr>
                <w:rFonts w:hint="default"/>
                <w:u w:val="single"/>
                <w:lang w:val="en-US" w:eastAsia="zh-CN"/>
              </w:rPr>
            </w:pPr>
            <w:r>
              <w:rPr>
                <w:rFonts w:hint="eastAsia"/>
                <w:u w:val="single"/>
                <w:lang w:val="en-US" w:eastAsia="zh-CN"/>
              </w:rPr>
              <w:t>植被/植物群落</w:t>
            </w:r>
            <w:r>
              <w:rPr>
                <w:rFonts w:hint="eastAsia"/>
                <w:u w:val="single"/>
                <w:lang w:val="en-US" w:eastAsia="zh-CN"/>
              </w:rPr>
              <w:sym w:font="Wingdings" w:char="00FE"/>
            </w:r>
            <w:r>
              <w:rPr>
                <w:rFonts w:hint="eastAsia"/>
                <w:u w:val="single"/>
                <w:lang w:val="en-US" w:eastAsia="zh-CN"/>
              </w:rPr>
              <w:t>；土地利用</w:t>
            </w:r>
            <w:r>
              <w:rPr>
                <w:rFonts w:hint="eastAsia"/>
                <w:u w:val="single"/>
                <w:lang w:val="en-US" w:eastAsia="zh-CN"/>
              </w:rPr>
              <w:sym w:font="Wingdings" w:char="00FE"/>
            </w:r>
            <w:r>
              <w:rPr>
                <w:rFonts w:hint="eastAsia"/>
                <w:u w:val="single"/>
                <w:lang w:val="en-US" w:eastAsia="zh-CN"/>
              </w:rPr>
              <w:t>；生态系统</w:t>
            </w:r>
            <w:r>
              <w:rPr>
                <w:rFonts w:hint="eastAsia"/>
                <w:u w:val="single"/>
                <w:lang w:val="en-US" w:eastAsia="zh-CN"/>
              </w:rPr>
              <w:sym w:font="Wingdings" w:char="00FE"/>
            </w:r>
            <w:r>
              <w:rPr>
                <w:rFonts w:hint="eastAsia"/>
                <w:u w:val="single"/>
                <w:lang w:val="en-US" w:eastAsia="zh-CN"/>
              </w:rPr>
              <w:t>；生物多样性</w:t>
            </w:r>
            <w:r>
              <w:rPr>
                <w:rFonts w:hint="eastAsia"/>
                <w:u w:val="single"/>
                <w:lang w:val="en-US" w:eastAsia="zh-CN"/>
              </w:rPr>
              <w:sym w:font="Wingdings" w:char="00FE"/>
            </w:r>
            <w:r>
              <w:rPr>
                <w:rFonts w:hint="eastAsia"/>
                <w:u w:val="single"/>
                <w:lang w:val="en-US" w:eastAsia="zh-CN"/>
              </w:rPr>
              <w:t>；重要物种</w:t>
            </w:r>
            <w:r>
              <w:rPr>
                <w:rFonts w:hint="eastAsia"/>
                <w:u w:val="single"/>
                <w:lang w:val="en-US" w:eastAsia="zh-CN"/>
              </w:rPr>
              <w:sym w:font="Wingdings" w:char="00A8"/>
            </w:r>
            <w:r>
              <w:rPr>
                <w:rFonts w:hint="eastAsia"/>
                <w:u w:val="single"/>
                <w:lang w:val="en-US" w:eastAsia="zh-CN"/>
              </w:rPr>
              <w:t>；生态敏感区</w:t>
            </w:r>
            <w:r>
              <w:rPr>
                <w:rFonts w:hint="eastAsia"/>
                <w:u w:val="single"/>
                <w:lang w:val="en-US" w:eastAsia="zh-CN"/>
              </w:rPr>
              <w:sym w:font="Wingdings" w:char="00A8"/>
            </w:r>
            <w:r>
              <w:rPr>
                <w:rFonts w:hint="eastAsia"/>
                <w:u w:val="single"/>
                <w:lang w:val="en-US" w:eastAsia="zh-CN"/>
              </w:rPr>
              <w:t>；生物入侵风险</w:t>
            </w:r>
            <w:r>
              <w:rPr>
                <w:rFonts w:hint="eastAsia"/>
                <w:u w:val="single"/>
                <w:lang w:val="en-US" w:eastAsia="zh-CN"/>
              </w:rPr>
              <w:sym w:font="Wingdings" w:char="00A8"/>
            </w:r>
            <w:r>
              <w:rPr>
                <w:rFonts w:hint="eastAsia"/>
                <w:u w:val="single"/>
                <w:lang w:val="en-US" w:eastAsia="zh-CN"/>
              </w:rPr>
              <w:t>；其他</w:t>
            </w:r>
            <w:r>
              <w:rPr>
                <w:rFonts w:hint="eastAsia"/>
                <w:u w:val="singl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noWrap w:val="0"/>
            <w:vAlign w:val="center"/>
          </w:tcPr>
          <w:p>
            <w:pPr>
              <w:pStyle w:val="142"/>
              <w:bidi w:val="0"/>
              <w:jc w:val="center"/>
              <w:rPr>
                <w:rFonts w:hint="eastAsia"/>
                <w:u w:val="single"/>
                <w:lang w:val="en-US" w:eastAsia="zh-CN"/>
              </w:rPr>
            </w:pPr>
            <w:r>
              <w:rPr>
                <w:rFonts w:hint="eastAsia"/>
                <w:u w:val="single"/>
                <w:lang w:val="en-US" w:eastAsia="zh-CN"/>
              </w:rPr>
              <w:t>生态保护对策措施</w:t>
            </w:r>
          </w:p>
        </w:tc>
        <w:tc>
          <w:tcPr>
            <w:tcW w:w="1320" w:type="dxa"/>
            <w:noWrap w:val="0"/>
            <w:vAlign w:val="center"/>
          </w:tcPr>
          <w:p>
            <w:pPr>
              <w:pStyle w:val="142"/>
              <w:bidi w:val="0"/>
              <w:jc w:val="center"/>
              <w:rPr>
                <w:rFonts w:hint="default"/>
                <w:u w:val="single"/>
                <w:lang w:val="en-US" w:eastAsia="zh-CN"/>
              </w:rPr>
            </w:pPr>
            <w:r>
              <w:rPr>
                <w:rFonts w:hint="eastAsia"/>
                <w:u w:val="single"/>
                <w:lang w:val="en-US" w:eastAsia="zh-CN"/>
              </w:rPr>
              <w:t>对策措施</w:t>
            </w:r>
          </w:p>
        </w:tc>
        <w:tc>
          <w:tcPr>
            <w:tcW w:w="6315" w:type="dxa"/>
            <w:noWrap w:val="0"/>
            <w:vAlign w:val="top"/>
          </w:tcPr>
          <w:p>
            <w:pPr>
              <w:pStyle w:val="142"/>
              <w:bidi w:val="0"/>
              <w:rPr>
                <w:rFonts w:hint="default"/>
                <w:u w:val="single"/>
                <w:lang w:val="en-US" w:eastAsia="zh-CN"/>
              </w:rPr>
            </w:pPr>
            <w:r>
              <w:rPr>
                <w:rFonts w:hint="eastAsia"/>
                <w:u w:val="single"/>
                <w:lang w:val="en-US" w:eastAsia="zh-CN"/>
              </w:rPr>
              <w:t>避让</w:t>
            </w:r>
            <w:r>
              <w:rPr>
                <w:rFonts w:hint="eastAsia"/>
                <w:u w:val="single"/>
                <w:lang w:val="en-US" w:eastAsia="zh-CN"/>
              </w:rPr>
              <w:sym w:font="Wingdings" w:char="00A8"/>
            </w:r>
            <w:r>
              <w:rPr>
                <w:rFonts w:hint="eastAsia"/>
                <w:u w:val="single"/>
                <w:lang w:val="en-US" w:eastAsia="zh-CN"/>
              </w:rPr>
              <w:t>；减缓</w:t>
            </w:r>
            <w:r>
              <w:rPr>
                <w:rFonts w:hint="eastAsia"/>
                <w:u w:val="single"/>
                <w:lang w:val="en-US" w:eastAsia="zh-CN"/>
              </w:rPr>
              <w:sym w:font="Wingdings" w:char="00FE"/>
            </w:r>
            <w:r>
              <w:rPr>
                <w:rFonts w:hint="eastAsia"/>
                <w:u w:val="single"/>
                <w:lang w:val="en-US" w:eastAsia="zh-CN"/>
              </w:rPr>
              <w:t>；生态修复</w:t>
            </w:r>
            <w:r>
              <w:rPr>
                <w:rFonts w:hint="eastAsia"/>
                <w:u w:val="single"/>
                <w:lang w:val="en-US" w:eastAsia="zh-CN"/>
              </w:rPr>
              <w:sym w:font="Wingdings" w:char="00A8"/>
            </w:r>
            <w:r>
              <w:rPr>
                <w:rFonts w:hint="eastAsia"/>
                <w:u w:val="single"/>
                <w:lang w:val="en-US" w:eastAsia="zh-CN"/>
              </w:rPr>
              <w:t>；生态补偿</w:t>
            </w:r>
            <w:r>
              <w:rPr>
                <w:rFonts w:hint="eastAsia"/>
                <w:u w:val="single"/>
                <w:lang w:val="en-US" w:eastAsia="zh-CN"/>
              </w:rPr>
              <w:sym w:font="Wingdings" w:char="00A8"/>
            </w:r>
            <w:r>
              <w:rPr>
                <w:rFonts w:hint="eastAsia"/>
                <w:u w:val="single"/>
                <w:lang w:val="en-US" w:eastAsia="zh-CN"/>
              </w:rPr>
              <w:t>；科研</w:t>
            </w:r>
            <w:r>
              <w:rPr>
                <w:rFonts w:hint="eastAsia"/>
                <w:u w:val="single"/>
                <w:lang w:val="en-US" w:eastAsia="zh-CN"/>
              </w:rPr>
              <w:sym w:font="Wingdings" w:char="00A8"/>
            </w:r>
            <w:r>
              <w:rPr>
                <w:rFonts w:hint="eastAsia"/>
                <w:u w:val="single"/>
                <w:lang w:val="en-US" w:eastAsia="zh-CN"/>
              </w:rPr>
              <w:t>；其他</w:t>
            </w:r>
            <w:r>
              <w:rPr>
                <w:rFonts w:hint="eastAsia"/>
                <w:u w:val="singl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pPr>
              <w:pStyle w:val="142"/>
              <w:bidi w:val="0"/>
              <w:jc w:val="center"/>
              <w:rPr>
                <w:rFonts w:hint="eastAsia"/>
                <w:u w:val="single"/>
                <w:lang w:val="en-US" w:eastAsia="zh-CN"/>
              </w:rPr>
            </w:pPr>
          </w:p>
        </w:tc>
        <w:tc>
          <w:tcPr>
            <w:tcW w:w="1320" w:type="dxa"/>
            <w:noWrap w:val="0"/>
            <w:vAlign w:val="center"/>
          </w:tcPr>
          <w:p>
            <w:pPr>
              <w:pStyle w:val="142"/>
              <w:bidi w:val="0"/>
              <w:jc w:val="center"/>
              <w:rPr>
                <w:rFonts w:hint="eastAsia"/>
                <w:u w:val="single"/>
                <w:lang w:val="en-US" w:eastAsia="zh-CN"/>
              </w:rPr>
            </w:pPr>
            <w:r>
              <w:rPr>
                <w:rFonts w:hint="eastAsia"/>
                <w:u w:val="single"/>
                <w:lang w:val="en-US" w:eastAsia="zh-CN"/>
              </w:rPr>
              <w:t>生态检测计划</w:t>
            </w:r>
          </w:p>
        </w:tc>
        <w:tc>
          <w:tcPr>
            <w:tcW w:w="6315" w:type="dxa"/>
            <w:noWrap w:val="0"/>
            <w:vAlign w:val="center"/>
          </w:tcPr>
          <w:p>
            <w:pPr>
              <w:pStyle w:val="142"/>
              <w:bidi w:val="0"/>
              <w:jc w:val="center"/>
              <w:rPr>
                <w:rFonts w:hint="default"/>
                <w:u w:val="single"/>
                <w:lang w:val="en-US" w:eastAsia="zh-CN"/>
              </w:rPr>
            </w:pPr>
            <w:r>
              <w:rPr>
                <w:rFonts w:hint="eastAsia"/>
                <w:u w:val="single"/>
                <w:lang w:val="en-US" w:eastAsia="zh-CN"/>
              </w:rPr>
              <w:t>全生命周期</w:t>
            </w:r>
            <w:r>
              <w:rPr>
                <w:rFonts w:hint="eastAsia"/>
                <w:u w:val="single"/>
                <w:lang w:val="en-US" w:eastAsia="zh-CN"/>
              </w:rPr>
              <w:sym w:font="Wingdings" w:char="00A8"/>
            </w:r>
            <w:r>
              <w:rPr>
                <w:rFonts w:hint="eastAsia"/>
                <w:u w:val="single"/>
                <w:lang w:val="en-US" w:eastAsia="zh-CN"/>
              </w:rPr>
              <w:t>；长期跟踪</w:t>
            </w:r>
            <w:r>
              <w:rPr>
                <w:rFonts w:hint="eastAsia"/>
                <w:u w:val="single"/>
                <w:lang w:val="en-US" w:eastAsia="zh-CN"/>
              </w:rPr>
              <w:sym w:font="Wingdings" w:char="00A8"/>
            </w:r>
            <w:r>
              <w:rPr>
                <w:rFonts w:hint="eastAsia"/>
                <w:u w:val="single"/>
                <w:lang w:val="en-US" w:eastAsia="zh-CN"/>
              </w:rPr>
              <w:t>；常规</w:t>
            </w:r>
            <w:r>
              <w:rPr>
                <w:rFonts w:hint="eastAsia"/>
                <w:u w:val="single"/>
                <w:lang w:val="en-US" w:eastAsia="zh-CN"/>
              </w:rPr>
              <w:sym w:font="Wingdings" w:char="00A8"/>
            </w:r>
            <w:r>
              <w:rPr>
                <w:rFonts w:hint="eastAsia"/>
                <w:u w:val="single"/>
                <w:lang w:val="en-US" w:eastAsia="zh-CN"/>
              </w:rPr>
              <w:t>；常规</w:t>
            </w:r>
            <w:r>
              <w:rPr>
                <w:rFonts w:hint="eastAsia"/>
                <w:u w:val="single"/>
                <w:lang w:val="en-US" w:eastAsia="zh-CN"/>
              </w:rPr>
              <w:sym w:font="Wingdings" w:char="00A8"/>
            </w:r>
            <w:r>
              <w:rPr>
                <w:rFonts w:hint="eastAsia"/>
                <w:u w:val="single"/>
                <w:lang w:val="en-US" w:eastAsia="zh-CN"/>
              </w:rPr>
              <w:t>；其他</w:t>
            </w:r>
            <w:r>
              <w:rPr>
                <w:rFonts w:hint="eastAsia"/>
                <w:u w:val="singl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pPr>
              <w:pStyle w:val="142"/>
              <w:bidi w:val="0"/>
              <w:jc w:val="center"/>
              <w:rPr>
                <w:rFonts w:hint="eastAsia"/>
                <w:u w:val="single"/>
                <w:lang w:val="en-US" w:eastAsia="zh-CN"/>
              </w:rPr>
            </w:pPr>
          </w:p>
        </w:tc>
        <w:tc>
          <w:tcPr>
            <w:tcW w:w="1320" w:type="dxa"/>
            <w:noWrap w:val="0"/>
            <w:vAlign w:val="center"/>
          </w:tcPr>
          <w:p>
            <w:pPr>
              <w:pStyle w:val="142"/>
              <w:bidi w:val="0"/>
              <w:jc w:val="center"/>
              <w:rPr>
                <w:rFonts w:hint="eastAsia"/>
                <w:u w:val="single"/>
                <w:lang w:val="en-US" w:eastAsia="zh-CN"/>
              </w:rPr>
            </w:pPr>
            <w:r>
              <w:rPr>
                <w:rFonts w:hint="eastAsia"/>
                <w:u w:val="single"/>
                <w:lang w:val="en-US" w:eastAsia="zh-CN"/>
              </w:rPr>
              <w:t>环境管理</w:t>
            </w:r>
          </w:p>
        </w:tc>
        <w:tc>
          <w:tcPr>
            <w:tcW w:w="6315" w:type="dxa"/>
            <w:noWrap w:val="0"/>
            <w:vAlign w:val="center"/>
          </w:tcPr>
          <w:p>
            <w:pPr>
              <w:pStyle w:val="142"/>
              <w:bidi w:val="0"/>
              <w:jc w:val="center"/>
              <w:rPr>
                <w:rFonts w:hint="default"/>
                <w:u w:val="single"/>
                <w:lang w:val="en-US" w:eastAsia="zh-CN"/>
              </w:rPr>
            </w:pPr>
            <w:r>
              <w:rPr>
                <w:rFonts w:hint="eastAsia"/>
                <w:u w:val="single"/>
                <w:lang w:val="en-US" w:eastAsia="zh-CN"/>
              </w:rPr>
              <w:t>环境监理</w:t>
            </w:r>
            <w:r>
              <w:rPr>
                <w:rFonts w:hint="eastAsia"/>
                <w:u w:val="single"/>
                <w:lang w:val="en-US" w:eastAsia="zh-CN"/>
              </w:rPr>
              <w:sym w:font="Wingdings" w:char="00A8"/>
            </w:r>
            <w:r>
              <w:rPr>
                <w:rFonts w:hint="eastAsia"/>
                <w:u w:val="single"/>
                <w:lang w:val="en-US" w:eastAsia="zh-CN"/>
              </w:rPr>
              <w:t>；环境影响后评价</w:t>
            </w:r>
            <w:r>
              <w:rPr>
                <w:rFonts w:hint="eastAsia"/>
                <w:u w:val="single"/>
                <w:lang w:val="en-US" w:eastAsia="zh-CN"/>
              </w:rPr>
              <w:sym w:font="Wingdings" w:char="00A8"/>
            </w:r>
            <w:r>
              <w:rPr>
                <w:rFonts w:hint="eastAsia"/>
                <w:u w:val="single"/>
                <w:lang w:val="en-US" w:eastAsia="zh-CN"/>
              </w:rPr>
              <w:t>；其他</w:t>
            </w:r>
            <w:r>
              <w:rPr>
                <w:rFonts w:hint="eastAsia"/>
                <w:u w:val="singl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noWrap w:val="0"/>
            <w:vAlign w:val="top"/>
          </w:tcPr>
          <w:p>
            <w:pPr>
              <w:pStyle w:val="142"/>
              <w:bidi w:val="0"/>
              <w:rPr>
                <w:rFonts w:hint="eastAsia"/>
                <w:u w:val="single"/>
                <w:lang w:val="en-US" w:eastAsia="zh-CN"/>
              </w:rPr>
            </w:pPr>
            <w:r>
              <w:rPr>
                <w:rFonts w:hint="eastAsia"/>
                <w:u w:val="single"/>
                <w:lang w:val="en-US" w:eastAsia="zh-CN"/>
              </w:rPr>
              <w:t>评价结论</w:t>
            </w:r>
          </w:p>
        </w:tc>
        <w:tc>
          <w:tcPr>
            <w:tcW w:w="1320" w:type="dxa"/>
            <w:noWrap w:val="0"/>
            <w:vAlign w:val="center"/>
          </w:tcPr>
          <w:p>
            <w:pPr>
              <w:pStyle w:val="142"/>
              <w:bidi w:val="0"/>
              <w:jc w:val="center"/>
              <w:rPr>
                <w:rFonts w:hint="eastAsia"/>
                <w:u w:val="single"/>
                <w:lang w:val="en-US" w:eastAsia="zh-CN"/>
              </w:rPr>
            </w:pPr>
            <w:r>
              <w:rPr>
                <w:rFonts w:hint="eastAsia"/>
                <w:u w:val="single"/>
                <w:lang w:val="en-US" w:eastAsia="zh-CN"/>
              </w:rPr>
              <w:t>生态影响</w:t>
            </w:r>
          </w:p>
        </w:tc>
        <w:tc>
          <w:tcPr>
            <w:tcW w:w="6315" w:type="dxa"/>
            <w:noWrap w:val="0"/>
            <w:vAlign w:val="center"/>
          </w:tcPr>
          <w:p>
            <w:pPr>
              <w:pStyle w:val="142"/>
              <w:bidi w:val="0"/>
              <w:jc w:val="center"/>
              <w:rPr>
                <w:rFonts w:hint="default"/>
                <w:u w:val="single"/>
                <w:lang w:val="en-US" w:eastAsia="zh-CN"/>
              </w:rPr>
            </w:pPr>
            <w:r>
              <w:rPr>
                <w:rFonts w:hint="eastAsia"/>
                <w:u w:val="single"/>
                <w:lang w:val="en-US" w:eastAsia="zh-CN"/>
              </w:rPr>
              <w:t>可行</w:t>
            </w:r>
            <w:r>
              <w:rPr>
                <w:rFonts w:hint="eastAsia"/>
                <w:u w:val="single"/>
                <w:lang w:val="en-US" w:eastAsia="zh-CN"/>
              </w:rPr>
              <w:sym w:font="Wingdings" w:char="00FE"/>
            </w:r>
            <w:r>
              <w:rPr>
                <w:rFonts w:hint="eastAsia"/>
                <w:u w:val="single"/>
                <w:lang w:val="en-US" w:eastAsia="zh-CN"/>
              </w:rPr>
              <w:t>；不可行</w:t>
            </w:r>
            <w:r>
              <w:rPr>
                <w:rFonts w:hint="eastAsia"/>
                <w:u w:val="single"/>
                <w:lang w:val="en-US" w:eastAsia="zh-CN"/>
              </w:rPr>
              <w:sym w:font="Wingdings" w:char="00A8"/>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0" w:type="dxa"/>
            <w:gridSpan w:val="3"/>
            <w:noWrap w:val="0"/>
            <w:vAlign w:val="top"/>
          </w:tcPr>
          <w:p>
            <w:pPr>
              <w:pStyle w:val="142"/>
              <w:bidi w:val="0"/>
              <w:jc w:val="left"/>
              <w:rPr>
                <w:rFonts w:hint="default"/>
                <w:u w:val="single"/>
                <w:lang w:val="en-US" w:eastAsia="zh-CN"/>
              </w:rPr>
            </w:pPr>
            <w:r>
              <w:rPr>
                <w:rFonts w:hint="eastAsia"/>
                <w:u w:val="single"/>
                <w:lang w:val="en-US" w:eastAsia="zh-CN"/>
              </w:rPr>
              <w:t>注：“</w:t>
            </w:r>
            <w:r>
              <w:rPr>
                <w:rFonts w:hint="eastAsia"/>
                <w:u w:val="single"/>
                <w:lang w:val="en-US" w:eastAsia="zh-CN"/>
              </w:rPr>
              <w:sym w:font="Wingdings" w:char="00A8"/>
            </w:r>
            <w:r>
              <w:rPr>
                <w:rFonts w:hint="eastAsia"/>
                <w:u w:val="single"/>
                <w:lang w:val="en-US" w:eastAsia="zh-CN"/>
              </w:rPr>
              <w:t>”为勾选项，可</w:t>
            </w:r>
            <w:r>
              <w:rPr>
                <w:rFonts w:hint="default" w:ascii="Arial" w:hAnsi="Arial" w:cs="Arial"/>
                <w:u w:val="single"/>
                <w:lang w:val="en-US" w:eastAsia="zh-CN"/>
              </w:rPr>
              <w:t>√</w:t>
            </w:r>
            <w:r>
              <w:rPr>
                <w:rFonts w:hint="eastAsia"/>
                <w:u w:val="single"/>
                <w:lang w:val="en-US" w:eastAsia="zh-CN"/>
              </w:rPr>
              <w:t>；“（）”为内容填写项</w:t>
            </w:r>
          </w:p>
        </w:tc>
      </w:tr>
    </w:tbl>
    <w:p>
      <w:pPr>
        <w:pStyle w:val="86"/>
        <w:spacing w:before="120" w:after="120"/>
      </w:pPr>
      <w:bookmarkStart w:id="276" w:name="_Toc2342"/>
      <w:r>
        <w:t>4.3</w:t>
      </w:r>
      <w:r>
        <w:rPr>
          <w:rFonts w:hint="eastAsia"/>
        </w:rPr>
        <w:t>环境风险评价</w:t>
      </w:r>
      <w:bookmarkEnd w:id="275"/>
      <w:bookmarkEnd w:id="276"/>
    </w:p>
    <w:p>
      <w:pPr>
        <w:pStyle w:val="81"/>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4.3.1评价等级判定</w:t>
      </w:r>
    </w:p>
    <w:p>
      <w:pPr>
        <w:rPr>
          <w:rFonts w:hint="eastAsia"/>
          <w:color w:val="000000"/>
          <w:lang w:eastAsia="zh-CN"/>
        </w:rPr>
      </w:pPr>
      <w:r>
        <w:rPr>
          <w:rFonts w:hint="eastAsia"/>
          <w:color w:val="000000"/>
          <w:lang w:eastAsia="zh-CN"/>
        </w:rPr>
        <w:t>根据前文分析，本项目本项目Q﹤1，因此风险潜势为Ⅰ，只需进行简单分析即可。</w:t>
      </w:r>
    </w:p>
    <w:p>
      <w:pPr>
        <w:pStyle w:val="81"/>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4.3.2 评价范围</w:t>
      </w:r>
    </w:p>
    <w:p>
      <w:pPr>
        <w:rPr>
          <w:rFonts w:hint="eastAsia"/>
          <w:lang w:eastAsia="zh-CN"/>
        </w:rPr>
      </w:pPr>
      <w:r>
        <w:rPr>
          <w:rFonts w:hint="eastAsia"/>
          <w:lang w:eastAsia="zh-CN"/>
        </w:rPr>
        <w:t>项目不设置大气环境风险评价范围，水环境评价范围为花垣县工业集中区污水处理厂尾水入花垣河上游500m至尾水入花垣河下游1000m。</w:t>
      </w:r>
    </w:p>
    <w:p>
      <w:pPr>
        <w:pStyle w:val="81"/>
        <w:rPr>
          <w:rFonts w:hint="eastAsia" w:ascii="Times New Roman" w:hAnsi="Times New Roman" w:eastAsia="宋体" w:cs="Times New Roman"/>
          <w:b/>
          <w:bCs/>
          <w:color w:val="000000"/>
          <w:kern w:val="2"/>
          <w:sz w:val="24"/>
          <w:szCs w:val="24"/>
          <w:lang w:val="en-US" w:eastAsia="zh-CN" w:bidi="ar-SA"/>
        </w:rPr>
      </w:pPr>
      <w:r>
        <w:rPr>
          <w:rFonts w:hint="eastAsia" w:eastAsia="宋体" w:cs="Times New Roman"/>
          <w:b/>
          <w:bCs/>
          <w:color w:val="000000"/>
          <w:kern w:val="2"/>
          <w:sz w:val="24"/>
          <w:szCs w:val="24"/>
          <w:lang w:val="en-US" w:eastAsia="zh-CN" w:bidi="ar-SA"/>
        </w:rPr>
        <w:t>4.3.3</w:t>
      </w:r>
      <w:r>
        <w:rPr>
          <w:rFonts w:hint="eastAsia" w:ascii="Times New Roman" w:hAnsi="Times New Roman" w:eastAsia="宋体" w:cs="Times New Roman"/>
          <w:b/>
          <w:bCs/>
          <w:color w:val="000000"/>
          <w:kern w:val="2"/>
          <w:sz w:val="24"/>
          <w:szCs w:val="24"/>
          <w:lang w:val="en-US" w:eastAsia="zh-CN" w:bidi="ar-SA"/>
        </w:rPr>
        <w:t xml:space="preserve">  风险识别</w:t>
      </w:r>
    </w:p>
    <w:p>
      <w:pPr>
        <w:pStyle w:val="81"/>
        <w:rPr>
          <w:color w:val="000000"/>
        </w:rPr>
      </w:pPr>
      <w:r>
        <w:rPr>
          <w:rFonts w:hint="eastAsia"/>
          <w:color w:val="000000"/>
        </w:rPr>
        <w:t>（1）物质危险性识别</w:t>
      </w:r>
    </w:p>
    <w:p>
      <w:pPr>
        <w:ind w:firstLine="480"/>
        <w:rPr>
          <w:rFonts w:hint="eastAsia" w:ascii="Times New Roman" w:hAnsi="Times New Roman" w:eastAsia="宋体" w:cs="Times New Roman"/>
          <w:color w:val="000000"/>
        </w:rPr>
      </w:pPr>
      <w:r>
        <w:rPr>
          <w:rFonts w:hint="eastAsia" w:ascii="Times New Roman" w:hAnsi="Times New Roman" w:eastAsia="宋体" w:cs="Times New Roman"/>
          <w:color w:val="000000"/>
        </w:rPr>
        <w:t>本项目运营过程中原辅料主要为聚丙烯酰胺（PAM）、碱式氯化铝（PAC）、重金属补集-生物制剂、片碱、盐酸，查阅《建设项目环境风险评价技术导则》（HJ169－2018）附录B中重点关注的危险物质及临界量表B.1 突发环境事件风险物质及临界量，本项目涉及的风险物质主要是盐酸，以及项目涉及的含重金属废水（铬、钒、锰、锌、铅）。本项目设置处理规模为3000t/d，废水经处理后通过管道排污花垣县产业开发区污水处理厂，本项目厂区最大废水暂存量按照调节池最大可容纳废水量进行核算，本项目调节池设计规模为1000m</w:t>
      </w:r>
      <w:r>
        <w:rPr>
          <w:rFonts w:hint="eastAsia" w:ascii="Times New Roman" w:hAnsi="Times New Roman" w:eastAsia="宋体" w:cs="Times New Roman"/>
          <w:color w:val="000000"/>
          <w:vertAlign w:val="superscript"/>
        </w:rPr>
        <w:t>3</w:t>
      </w:r>
      <w:r>
        <w:rPr>
          <w:rFonts w:hint="eastAsia" w:ascii="Times New Roman" w:hAnsi="Times New Roman" w:eastAsia="宋体" w:cs="Times New Roman"/>
          <w:color w:val="000000"/>
        </w:rPr>
        <w:t>，则项目废水最大暂存量为1000t。</w:t>
      </w:r>
    </w:p>
    <w:p>
      <w:pPr>
        <w:adjustRightInd w:val="0"/>
        <w:snapToGrid w:val="0"/>
        <w:jc w:val="center"/>
        <w:rPr>
          <w:rStyle w:val="87"/>
          <w:rFonts w:hint="default"/>
          <w:lang w:val="en-US"/>
        </w:rPr>
      </w:pPr>
      <w:r>
        <w:rPr>
          <w:rStyle w:val="87"/>
        </w:rPr>
        <w:t>表</w:t>
      </w:r>
      <w:r>
        <w:rPr>
          <w:rStyle w:val="87"/>
          <w:rFonts w:hint="eastAsia"/>
          <w:lang w:val="en-US"/>
        </w:rPr>
        <w:t>4.3-1</w:t>
      </w:r>
      <w:r>
        <w:rPr>
          <w:rStyle w:val="87"/>
        </w:rPr>
        <w:t>本项目涉及的危险物质</w:t>
      </w:r>
      <w:r>
        <w:rPr>
          <w:rStyle w:val="87"/>
          <w:rFonts w:hint="eastAsia"/>
        </w:rPr>
        <w:t>与临界量比值</w:t>
      </w:r>
    </w:p>
    <w:tbl>
      <w:tblPr>
        <w:tblStyle w:val="37"/>
        <w:tblW w:w="844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0"/>
        <w:gridCol w:w="969"/>
        <w:gridCol w:w="1485"/>
        <w:gridCol w:w="1419"/>
        <w:gridCol w:w="870"/>
        <w:gridCol w:w="1731"/>
        <w:gridCol w:w="11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03" w:hRule="atLeast"/>
          <w:jc w:val="center"/>
        </w:trPr>
        <w:tc>
          <w:tcPr>
            <w:tcW w:w="780" w:type="dxa"/>
            <w:noWrap w:val="0"/>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序号</w:t>
            </w:r>
          </w:p>
        </w:tc>
        <w:tc>
          <w:tcPr>
            <w:tcW w:w="969" w:type="dxa"/>
            <w:noWrap w:val="0"/>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名称</w:t>
            </w:r>
          </w:p>
        </w:tc>
        <w:tc>
          <w:tcPr>
            <w:tcW w:w="1485" w:type="dxa"/>
            <w:noWrap w:val="0"/>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最大存储量t</w:t>
            </w:r>
          </w:p>
        </w:tc>
        <w:tc>
          <w:tcPr>
            <w:tcW w:w="1419" w:type="dxa"/>
            <w:noWrap w:val="0"/>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储存方式</w:t>
            </w:r>
          </w:p>
        </w:tc>
        <w:tc>
          <w:tcPr>
            <w:tcW w:w="870"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临界量</w:t>
            </w:r>
          </w:p>
        </w:tc>
        <w:tc>
          <w:tcPr>
            <w:tcW w:w="1731"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临界量来源</w:t>
            </w:r>
          </w:p>
        </w:tc>
        <w:tc>
          <w:tcPr>
            <w:tcW w:w="1189" w:type="dxa"/>
            <w:noWrap w:val="0"/>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3" w:hRule="atLeast"/>
          <w:jc w:val="center"/>
        </w:trPr>
        <w:tc>
          <w:tcPr>
            <w:tcW w:w="780" w:type="dxa"/>
            <w:noWrap w:val="0"/>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969"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盐酸</w:t>
            </w:r>
          </w:p>
        </w:tc>
        <w:tc>
          <w:tcPr>
            <w:tcW w:w="148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p>
        </w:tc>
        <w:tc>
          <w:tcPr>
            <w:tcW w:w="1419"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储药房、桶装</w:t>
            </w:r>
          </w:p>
        </w:tc>
        <w:tc>
          <w:tcPr>
            <w:tcW w:w="870"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w:t>
            </w:r>
          </w:p>
        </w:tc>
        <w:tc>
          <w:tcPr>
            <w:tcW w:w="1731" w:type="dxa"/>
            <w:vMerge w:val="restart"/>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（HJ169－2018）附录B表</w:t>
            </w:r>
            <w:r>
              <w:rPr>
                <w:rFonts w:hint="eastAsia" w:ascii="Times New Roman" w:hAnsi="Times New Roman" w:eastAsia="宋体" w:cs="Times New Roman"/>
                <w:sz w:val="21"/>
                <w:szCs w:val="21"/>
                <w:lang w:val="en-US" w:eastAsia="zh-CN"/>
              </w:rPr>
              <w:t>B.1</w:t>
            </w:r>
          </w:p>
        </w:tc>
        <w:tc>
          <w:tcPr>
            <w:tcW w:w="1189"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3" w:hRule="atLeast"/>
          <w:jc w:val="center"/>
        </w:trPr>
        <w:tc>
          <w:tcPr>
            <w:tcW w:w="780" w:type="dxa"/>
            <w:noWrap w:val="0"/>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969"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铬</w:t>
            </w:r>
          </w:p>
        </w:tc>
        <w:tc>
          <w:tcPr>
            <w:tcW w:w="148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0.002</w:t>
            </w:r>
          </w:p>
        </w:tc>
        <w:tc>
          <w:tcPr>
            <w:tcW w:w="1419" w:type="dxa"/>
            <w:vMerge w:val="restart"/>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调节池</w:t>
            </w:r>
          </w:p>
        </w:tc>
        <w:tc>
          <w:tcPr>
            <w:tcW w:w="870"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w:t>
            </w:r>
          </w:p>
        </w:tc>
        <w:tc>
          <w:tcPr>
            <w:tcW w:w="1731" w:type="dxa"/>
            <w:vMerge w:val="continue"/>
            <w:noWrap w:val="0"/>
            <w:vAlign w:val="center"/>
          </w:tcPr>
          <w:p>
            <w:pPr>
              <w:spacing w:line="240" w:lineRule="auto"/>
              <w:ind w:firstLine="0" w:firstLineChars="0"/>
              <w:jc w:val="center"/>
              <w:rPr>
                <w:rFonts w:ascii="Times New Roman" w:hAnsi="Times New Roman" w:eastAsia="宋体" w:cs="Times New Roman"/>
                <w:sz w:val="21"/>
                <w:szCs w:val="21"/>
              </w:rPr>
            </w:pPr>
          </w:p>
        </w:tc>
        <w:tc>
          <w:tcPr>
            <w:tcW w:w="1189"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3" w:hRule="atLeast"/>
          <w:jc w:val="center"/>
        </w:trPr>
        <w:tc>
          <w:tcPr>
            <w:tcW w:w="780" w:type="dxa"/>
            <w:noWrap w:val="0"/>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p>
        </w:tc>
        <w:tc>
          <w:tcPr>
            <w:tcW w:w="969"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钒</w:t>
            </w:r>
          </w:p>
        </w:tc>
        <w:tc>
          <w:tcPr>
            <w:tcW w:w="148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0.004</w:t>
            </w:r>
          </w:p>
        </w:tc>
        <w:tc>
          <w:tcPr>
            <w:tcW w:w="1419" w:type="dxa"/>
            <w:vMerge w:val="continue"/>
            <w:noWrap w:val="0"/>
            <w:vAlign w:val="center"/>
          </w:tcPr>
          <w:p>
            <w:pPr>
              <w:spacing w:line="240" w:lineRule="auto"/>
              <w:ind w:firstLine="0" w:firstLineChars="0"/>
              <w:jc w:val="center"/>
              <w:rPr>
                <w:rFonts w:ascii="Times New Roman" w:hAnsi="Times New Roman" w:eastAsia="宋体" w:cs="Times New Roman"/>
                <w:sz w:val="21"/>
                <w:szCs w:val="21"/>
              </w:rPr>
            </w:pPr>
          </w:p>
        </w:tc>
        <w:tc>
          <w:tcPr>
            <w:tcW w:w="870"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w:t>
            </w:r>
          </w:p>
        </w:tc>
        <w:tc>
          <w:tcPr>
            <w:tcW w:w="1731" w:type="dxa"/>
            <w:vMerge w:val="continue"/>
            <w:noWrap w:val="0"/>
            <w:vAlign w:val="center"/>
          </w:tcPr>
          <w:p>
            <w:pPr>
              <w:spacing w:line="240" w:lineRule="auto"/>
              <w:ind w:firstLine="0" w:firstLineChars="0"/>
              <w:jc w:val="center"/>
              <w:rPr>
                <w:rFonts w:ascii="Times New Roman" w:hAnsi="Times New Roman" w:eastAsia="宋体" w:cs="Times New Roman"/>
                <w:sz w:val="21"/>
                <w:szCs w:val="21"/>
              </w:rPr>
            </w:pPr>
          </w:p>
        </w:tc>
        <w:tc>
          <w:tcPr>
            <w:tcW w:w="1189"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3" w:hRule="atLeast"/>
          <w:jc w:val="center"/>
        </w:trPr>
        <w:tc>
          <w:tcPr>
            <w:tcW w:w="780" w:type="dxa"/>
            <w:noWrap w:val="0"/>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p>
        </w:tc>
        <w:tc>
          <w:tcPr>
            <w:tcW w:w="969"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锰</w:t>
            </w:r>
          </w:p>
        </w:tc>
        <w:tc>
          <w:tcPr>
            <w:tcW w:w="148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0.025</w:t>
            </w:r>
          </w:p>
        </w:tc>
        <w:tc>
          <w:tcPr>
            <w:tcW w:w="1419" w:type="dxa"/>
            <w:vMerge w:val="continue"/>
            <w:noWrap w:val="0"/>
            <w:vAlign w:val="center"/>
          </w:tcPr>
          <w:p>
            <w:pPr>
              <w:spacing w:line="240" w:lineRule="auto"/>
              <w:ind w:firstLine="0" w:firstLineChars="0"/>
              <w:jc w:val="center"/>
              <w:rPr>
                <w:rFonts w:ascii="Times New Roman" w:hAnsi="Times New Roman" w:eastAsia="宋体" w:cs="Times New Roman"/>
                <w:sz w:val="21"/>
                <w:szCs w:val="21"/>
              </w:rPr>
            </w:pPr>
          </w:p>
        </w:tc>
        <w:tc>
          <w:tcPr>
            <w:tcW w:w="870"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w:t>
            </w:r>
          </w:p>
        </w:tc>
        <w:tc>
          <w:tcPr>
            <w:tcW w:w="1731" w:type="dxa"/>
            <w:vMerge w:val="continue"/>
            <w:noWrap w:val="0"/>
            <w:vAlign w:val="center"/>
          </w:tcPr>
          <w:p>
            <w:pPr>
              <w:spacing w:line="240" w:lineRule="auto"/>
              <w:ind w:firstLine="0" w:firstLineChars="0"/>
              <w:jc w:val="center"/>
              <w:rPr>
                <w:rFonts w:ascii="Times New Roman" w:hAnsi="Times New Roman" w:eastAsia="宋体" w:cs="Times New Roman"/>
                <w:sz w:val="21"/>
                <w:szCs w:val="21"/>
              </w:rPr>
            </w:pPr>
          </w:p>
        </w:tc>
        <w:tc>
          <w:tcPr>
            <w:tcW w:w="1189"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3" w:hRule="atLeast"/>
          <w:jc w:val="center"/>
        </w:trPr>
        <w:tc>
          <w:tcPr>
            <w:tcW w:w="780" w:type="dxa"/>
            <w:noWrap w:val="0"/>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969"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锌</w:t>
            </w:r>
          </w:p>
        </w:tc>
        <w:tc>
          <w:tcPr>
            <w:tcW w:w="148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0.005</w:t>
            </w:r>
          </w:p>
        </w:tc>
        <w:tc>
          <w:tcPr>
            <w:tcW w:w="1419" w:type="dxa"/>
            <w:vMerge w:val="continue"/>
            <w:noWrap w:val="0"/>
            <w:vAlign w:val="center"/>
          </w:tcPr>
          <w:p>
            <w:pPr>
              <w:spacing w:line="240" w:lineRule="auto"/>
              <w:ind w:firstLine="0" w:firstLineChars="0"/>
              <w:jc w:val="center"/>
              <w:rPr>
                <w:rFonts w:ascii="Times New Roman" w:hAnsi="Times New Roman" w:eastAsia="宋体" w:cs="Times New Roman"/>
                <w:sz w:val="21"/>
                <w:szCs w:val="21"/>
              </w:rPr>
            </w:pPr>
          </w:p>
        </w:tc>
        <w:tc>
          <w:tcPr>
            <w:tcW w:w="870"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c>
          <w:tcPr>
            <w:tcW w:w="1731" w:type="dxa"/>
            <w:vMerge w:val="restart"/>
            <w:noWrap w:val="0"/>
            <w:vAlign w:val="center"/>
          </w:tcPr>
          <w:p>
            <w:pPr>
              <w:spacing w:line="240" w:lineRule="auto"/>
              <w:ind w:firstLine="0" w:firstLineChars="0"/>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（HJ169－2018）附录B表</w:t>
            </w:r>
            <w:r>
              <w:rPr>
                <w:rFonts w:hint="eastAsia" w:ascii="Times New Roman" w:hAnsi="Times New Roman" w:eastAsia="宋体" w:cs="Times New Roman"/>
                <w:sz w:val="21"/>
                <w:szCs w:val="21"/>
                <w:lang w:val="en-US" w:eastAsia="zh-CN"/>
              </w:rPr>
              <w:t>B.2危害水环境物质</w:t>
            </w:r>
          </w:p>
        </w:tc>
        <w:tc>
          <w:tcPr>
            <w:tcW w:w="1189"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4" w:hRule="atLeast"/>
          <w:jc w:val="center"/>
        </w:trPr>
        <w:tc>
          <w:tcPr>
            <w:tcW w:w="780" w:type="dxa"/>
            <w:noWrap w:val="0"/>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969" w:type="dxa"/>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铅</w:t>
            </w:r>
          </w:p>
        </w:tc>
        <w:tc>
          <w:tcPr>
            <w:tcW w:w="148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0.001</w:t>
            </w:r>
          </w:p>
        </w:tc>
        <w:tc>
          <w:tcPr>
            <w:tcW w:w="1419" w:type="dxa"/>
            <w:vMerge w:val="continue"/>
            <w:noWrap w:val="0"/>
            <w:vAlign w:val="center"/>
          </w:tcPr>
          <w:p>
            <w:pPr>
              <w:spacing w:line="240" w:lineRule="auto"/>
              <w:ind w:firstLine="0" w:firstLineChars="0"/>
              <w:jc w:val="center"/>
              <w:rPr>
                <w:rFonts w:ascii="Times New Roman" w:hAnsi="Times New Roman" w:eastAsia="宋体" w:cs="Times New Roman"/>
                <w:sz w:val="21"/>
                <w:szCs w:val="21"/>
              </w:rPr>
            </w:pPr>
          </w:p>
        </w:tc>
        <w:tc>
          <w:tcPr>
            <w:tcW w:w="870"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w:t>
            </w:r>
          </w:p>
        </w:tc>
        <w:tc>
          <w:tcPr>
            <w:tcW w:w="1731" w:type="dxa"/>
            <w:vMerge w:val="continue"/>
            <w:noWrap w:val="0"/>
            <w:vAlign w:val="center"/>
          </w:tcPr>
          <w:p>
            <w:pPr>
              <w:spacing w:line="240" w:lineRule="auto"/>
              <w:ind w:firstLine="0" w:firstLineChars="0"/>
              <w:jc w:val="center"/>
              <w:rPr>
                <w:rFonts w:ascii="Times New Roman" w:hAnsi="Times New Roman" w:eastAsia="宋体" w:cs="Times New Roman"/>
                <w:sz w:val="21"/>
                <w:szCs w:val="21"/>
              </w:rPr>
            </w:pPr>
          </w:p>
        </w:tc>
        <w:tc>
          <w:tcPr>
            <w:tcW w:w="1189"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54" w:hRule="atLeast"/>
          <w:jc w:val="center"/>
        </w:trPr>
        <w:tc>
          <w:tcPr>
            <w:tcW w:w="7254" w:type="dxa"/>
            <w:gridSpan w:val="6"/>
            <w:noWrap w:val="0"/>
            <w:vAlign w:val="center"/>
          </w:tcPr>
          <w:p>
            <w:pPr>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合计</w:t>
            </w:r>
          </w:p>
        </w:tc>
        <w:tc>
          <w:tcPr>
            <w:tcW w:w="1189"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0.25406</w:t>
            </w:r>
          </w:p>
        </w:tc>
      </w:tr>
    </w:tbl>
    <w:p>
      <w:pPr>
        <w:adjustRightInd w:val="0"/>
        <w:snapToGrid w:val="0"/>
        <w:jc w:val="center"/>
        <w:rPr>
          <w:rStyle w:val="87"/>
          <w:rFonts w:ascii="Times New Roman" w:hAnsi="Times New Roman" w:eastAsia="宋体" w:cs="Times New Roman"/>
        </w:rPr>
      </w:pPr>
      <w:r>
        <w:rPr>
          <w:rStyle w:val="87"/>
          <w:rFonts w:ascii="Times New Roman" w:hAnsi="Times New Roman" w:eastAsia="宋体" w:cs="Times New Roman"/>
        </w:rPr>
        <w:t>表</w:t>
      </w:r>
      <w:r>
        <w:rPr>
          <w:rStyle w:val="87"/>
          <w:rFonts w:hint="eastAsia" w:eastAsia="宋体" w:cs="Times New Roman"/>
          <w:lang w:val="en-US"/>
        </w:rPr>
        <w:t>4.3</w:t>
      </w:r>
      <w:r>
        <w:rPr>
          <w:rStyle w:val="87"/>
          <w:rFonts w:ascii="Times New Roman" w:hAnsi="Times New Roman" w:eastAsia="宋体" w:cs="Times New Roman"/>
        </w:rPr>
        <w:t>-</w:t>
      </w:r>
      <w:r>
        <w:rPr>
          <w:rStyle w:val="87"/>
          <w:rFonts w:hint="eastAsia" w:ascii="Times New Roman" w:hAnsi="Times New Roman" w:eastAsia="宋体" w:cs="Times New Roman"/>
        </w:rPr>
        <w:t>2</w:t>
      </w:r>
      <w:r>
        <w:rPr>
          <w:rStyle w:val="87"/>
          <w:rFonts w:ascii="Times New Roman" w:hAnsi="Times New Roman" w:eastAsia="宋体" w:cs="Times New Roman"/>
        </w:rPr>
        <w:t xml:space="preserve"> 物质</w:t>
      </w:r>
      <w:r>
        <w:rPr>
          <w:rStyle w:val="87"/>
          <w:rFonts w:hint="eastAsia" w:ascii="Times New Roman" w:hAnsi="Times New Roman" w:eastAsia="宋体" w:cs="Times New Roman"/>
        </w:rPr>
        <w:t>理化性质</w:t>
      </w:r>
    </w:p>
    <w:tbl>
      <w:tblPr>
        <w:tblStyle w:val="37"/>
        <w:tblW w:w="8525" w:type="dxa"/>
        <w:jc w:val="center"/>
        <w:tblLayout w:type="fixed"/>
        <w:tblCellMar>
          <w:top w:w="0" w:type="dxa"/>
          <w:left w:w="0" w:type="dxa"/>
          <w:bottom w:w="0" w:type="dxa"/>
          <w:right w:w="0" w:type="dxa"/>
        </w:tblCellMar>
      </w:tblPr>
      <w:tblGrid>
        <w:gridCol w:w="1248"/>
        <w:gridCol w:w="1605"/>
        <w:gridCol w:w="1359"/>
        <w:gridCol w:w="1724"/>
        <w:gridCol w:w="1293"/>
        <w:gridCol w:w="1296"/>
      </w:tblGrid>
      <w:tr>
        <w:tblPrEx>
          <w:tblCellMar>
            <w:top w:w="0" w:type="dxa"/>
            <w:left w:w="0" w:type="dxa"/>
            <w:bottom w:w="0" w:type="dxa"/>
            <w:right w:w="0" w:type="dxa"/>
          </w:tblCellMar>
        </w:tblPrEx>
        <w:trPr>
          <w:trHeight w:val="292" w:hRule="exact"/>
          <w:jc w:val="center"/>
        </w:trPr>
        <w:tc>
          <w:tcPr>
            <w:tcW w:w="1248" w:type="dxa"/>
            <w:tcBorders>
              <w:top w:val="single" w:color="000000" w:sz="12" w:space="0"/>
              <w:left w:val="nil"/>
              <w:bottom w:val="single" w:color="000000" w:sz="8" w:space="0"/>
              <w:right w:val="single" w:color="000000" w:sz="8" w:space="0"/>
            </w:tcBorders>
            <w:noWrap w:val="0"/>
            <w:vAlign w:val="center"/>
          </w:tcPr>
          <w:p>
            <w:pPr>
              <w:pStyle w:val="79"/>
              <w:rPr>
                <w:rFonts w:hint="default" w:ascii="Times New Roman" w:hAnsi="Times New Roman" w:eastAsia="宋体" w:cs="Times New Roman"/>
              </w:rPr>
            </w:pPr>
            <w:r>
              <w:rPr>
                <w:rFonts w:hint="default" w:ascii="Times New Roman" w:hAnsi="Times New Roman" w:eastAsia="宋体" w:cs="Times New Roman"/>
              </w:rPr>
              <w:t>名称</w:t>
            </w:r>
          </w:p>
        </w:tc>
        <w:tc>
          <w:tcPr>
            <w:tcW w:w="1605" w:type="dxa"/>
            <w:tcBorders>
              <w:top w:val="single" w:color="000000" w:sz="12" w:space="0"/>
              <w:left w:val="single" w:color="000000" w:sz="8" w:space="0"/>
              <w:bottom w:val="single" w:color="000000" w:sz="8" w:space="0"/>
              <w:right w:val="single" w:color="000000" w:sz="8" w:space="0"/>
            </w:tcBorders>
            <w:noWrap w:val="0"/>
            <w:vAlign w:val="center"/>
          </w:tcPr>
          <w:p>
            <w:pPr>
              <w:pStyle w:val="79"/>
              <w:rPr>
                <w:rFonts w:hint="default" w:ascii="Times New Roman" w:hAnsi="Times New Roman" w:eastAsia="宋体" w:cs="Times New Roman"/>
              </w:rPr>
            </w:pPr>
            <w:r>
              <w:rPr>
                <w:rFonts w:hint="default" w:ascii="Times New Roman" w:hAnsi="Times New Roman" w:eastAsia="宋体" w:cs="Times New Roman"/>
              </w:rPr>
              <w:t>盐酸</w:t>
            </w:r>
          </w:p>
        </w:tc>
        <w:tc>
          <w:tcPr>
            <w:tcW w:w="1359" w:type="dxa"/>
            <w:tcBorders>
              <w:top w:val="single" w:color="000000" w:sz="12" w:space="0"/>
              <w:left w:val="single" w:color="000000" w:sz="8" w:space="0"/>
              <w:bottom w:val="single" w:color="000000" w:sz="8" w:space="0"/>
              <w:right w:val="single" w:color="000000" w:sz="8" w:space="0"/>
            </w:tcBorders>
            <w:noWrap w:val="0"/>
            <w:vAlign w:val="center"/>
          </w:tcPr>
          <w:p>
            <w:pPr>
              <w:pStyle w:val="79"/>
              <w:rPr>
                <w:rFonts w:hint="default" w:ascii="Times New Roman" w:hAnsi="Times New Roman" w:eastAsia="宋体" w:cs="Times New Roman"/>
              </w:rPr>
            </w:pPr>
            <w:r>
              <w:rPr>
                <w:rFonts w:hint="default" w:ascii="Times New Roman" w:hAnsi="Times New Roman" w:eastAsia="宋体" w:cs="Times New Roman"/>
              </w:rPr>
              <w:t>CAS 号</w:t>
            </w:r>
          </w:p>
        </w:tc>
        <w:tc>
          <w:tcPr>
            <w:tcW w:w="1724" w:type="dxa"/>
            <w:tcBorders>
              <w:top w:val="single" w:color="000000" w:sz="12" w:space="0"/>
              <w:left w:val="single" w:color="000000" w:sz="8" w:space="0"/>
              <w:bottom w:val="single" w:color="000000" w:sz="8" w:space="0"/>
              <w:right w:val="single" w:color="000000" w:sz="8" w:space="0"/>
            </w:tcBorders>
            <w:noWrap w:val="0"/>
            <w:vAlign w:val="center"/>
          </w:tcPr>
          <w:p>
            <w:pPr>
              <w:pStyle w:val="79"/>
              <w:rPr>
                <w:rFonts w:hint="default" w:ascii="Times New Roman" w:hAnsi="Times New Roman" w:eastAsia="宋体" w:cs="Times New Roman"/>
              </w:rPr>
            </w:pPr>
            <w:r>
              <w:rPr>
                <w:rFonts w:hint="default" w:ascii="Times New Roman" w:hAnsi="Times New Roman" w:eastAsia="宋体" w:cs="Times New Roman"/>
              </w:rPr>
              <w:t>7647-01-0</w:t>
            </w:r>
          </w:p>
        </w:tc>
        <w:tc>
          <w:tcPr>
            <w:tcW w:w="1293" w:type="dxa"/>
            <w:tcBorders>
              <w:top w:val="single" w:color="000000" w:sz="12" w:space="0"/>
              <w:left w:val="single" w:color="000000" w:sz="8" w:space="0"/>
              <w:bottom w:val="single" w:color="000000" w:sz="8" w:space="0"/>
              <w:right w:val="single" w:color="000000" w:sz="8" w:space="0"/>
            </w:tcBorders>
            <w:noWrap w:val="0"/>
            <w:vAlign w:val="center"/>
          </w:tcPr>
          <w:p>
            <w:pPr>
              <w:pStyle w:val="79"/>
              <w:rPr>
                <w:rFonts w:hint="default" w:ascii="Times New Roman" w:hAnsi="Times New Roman" w:eastAsia="宋体" w:cs="Times New Roman"/>
              </w:rPr>
            </w:pPr>
            <w:r>
              <w:rPr>
                <w:rFonts w:hint="default" w:ascii="Times New Roman" w:hAnsi="Times New Roman" w:eastAsia="宋体" w:cs="Times New Roman"/>
              </w:rPr>
              <w:t>化学方程式</w:t>
            </w:r>
          </w:p>
        </w:tc>
        <w:tc>
          <w:tcPr>
            <w:tcW w:w="1296" w:type="dxa"/>
            <w:tcBorders>
              <w:top w:val="single" w:color="000000" w:sz="12" w:space="0"/>
              <w:left w:val="single" w:color="000000" w:sz="8" w:space="0"/>
              <w:bottom w:val="single" w:color="000000" w:sz="8" w:space="0"/>
              <w:right w:val="nil"/>
            </w:tcBorders>
            <w:noWrap w:val="0"/>
            <w:vAlign w:val="center"/>
          </w:tcPr>
          <w:p>
            <w:pPr>
              <w:pStyle w:val="79"/>
              <w:rPr>
                <w:rFonts w:hint="default" w:ascii="Times New Roman" w:hAnsi="Times New Roman" w:eastAsia="宋体" w:cs="Times New Roman"/>
              </w:rPr>
            </w:pPr>
            <w:r>
              <w:rPr>
                <w:rFonts w:hint="default" w:ascii="Times New Roman" w:hAnsi="Times New Roman" w:eastAsia="宋体" w:cs="Times New Roman"/>
              </w:rPr>
              <w:t>HCl</w:t>
            </w:r>
          </w:p>
        </w:tc>
      </w:tr>
      <w:tr>
        <w:tblPrEx>
          <w:tblCellMar>
            <w:top w:w="0" w:type="dxa"/>
            <w:left w:w="0" w:type="dxa"/>
            <w:bottom w:w="0" w:type="dxa"/>
            <w:right w:w="0" w:type="dxa"/>
          </w:tblCellMar>
        </w:tblPrEx>
        <w:trPr>
          <w:trHeight w:val="381" w:hRule="exact"/>
          <w:jc w:val="center"/>
        </w:trPr>
        <w:tc>
          <w:tcPr>
            <w:tcW w:w="1248" w:type="dxa"/>
            <w:tcBorders>
              <w:top w:val="single" w:color="000000" w:sz="8" w:space="0"/>
              <w:left w:val="nil"/>
              <w:bottom w:val="single" w:color="000000" w:sz="8" w:space="0"/>
              <w:right w:val="single" w:color="000000" w:sz="8" w:space="0"/>
            </w:tcBorders>
            <w:noWrap w:val="0"/>
            <w:vAlign w:val="center"/>
          </w:tcPr>
          <w:p>
            <w:pPr>
              <w:pStyle w:val="79"/>
              <w:rPr>
                <w:rFonts w:hint="default" w:ascii="Times New Roman" w:hAnsi="Times New Roman" w:eastAsia="宋体" w:cs="Times New Roman"/>
                <w:lang w:eastAsia="zh-CN"/>
              </w:rPr>
            </w:pPr>
            <w:r>
              <w:rPr>
                <w:rFonts w:hint="default" w:ascii="Times New Roman" w:hAnsi="Times New Roman" w:eastAsia="宋体" w:cs="Times New Roman"/>
              </w:rPr>
              <w:t>危险类</w:t>
            </w:r>
            <w:r>
              <w:rPr>
                <w:rFonts w:hint="default" w:ascii="Times New Roman" w:hAnsi="Times New Roman" w:eastAsia="宋体" w:cs="Times New Roman"/>
                <w:lang w:eastAsia="zh-CN"/>
              </w:rPr>
              <w:t>别</w:t>
            </w:r>
          </w:p>
        </w:tc>
        <w:tc>
          <w:tcPr>
            <w:tcW w:w="1605" w:type="dxa"/>
            <w:tcBorders>
              <w:top w:val="single" w:color="000000" w:sz="8" w:space="0"/>
              <w:left w:val="single" w:color="000000" w:sz="8" w:space="0"/>
              <w:bottom w:val="single" w:color="000000" w:sz="8" w:space="0"/>
              <w:right w:val="single" w:color="000000" w:sz="8" w:space="0"/>
            </w:tcBorders>
            <w:noWrap w:val="0"/>
            <w:vAlign w:val="center"/>
          </w:tcPr>
          <w:p>
            <w:pPr>
              <w:pStyle w:val="79"/>
              <w:rPr>
                <w:rFonts w:hint="default" w:ascii="Times New Roman" w:hAnsi="Times New Roman" w:eastAsia="宋体" w:cs="Times New Roman"/>
              </w:rPr>
            </w:pPr>
            <w:r>
              <w:rPr>
                <w:rFonts w:hint="default" w:ascii="Times New Roman" w:hAnsi="Times New Roman" w:eastAsia="宋体" w:cs="Times New Roman"/>
              </w:rPr>
              <w:t>腐蚀品</w:t>
            </w:r>
          </w:p>
        </w:tc>
        <w:tc>
          <w:tcPr>
            <w:tcW w:w="1359" w:type="dxa"/>
            <w:tcBorders>
              <w:top w:val="single" w:color="000000" w:sz="8" w:space="0"/>
              <w:left w:val="single" w:color="000000" w:sz="8" w:space="0"/>
              <w:bottom w:val="single" w:color="000000" w:sz="8" w:space="0"/>
              <w:right w:val="single" w:color="000000" w:sz="8" w:space="0"/>
            </w:tcBorders>
            <w:noWrap w:val="0"/>
            <w:vAlign w:val="center"/>
          </w:tcPr>
          <w:p>
            <w:pPr>
              <w:pStyle w:val="79"/>
              <w:rPr>
                <w:rFonts w:hint="default" w:ascii="Times New Roman" w:hAnsi="Times New Roman" w:eastAsia="宋体" w:cs="Times New Roman"/>
              </w:rPr>
            </w:pPr>
            <w:r>
              <w:rPr>
                <w:rFonts w:hint="default" w:ascii="Times New Roman" w:hAnsi="Times New Roman" w:eastAsia="宋体" w:cs="Times New Roman"/>
              </w:rPr>
              <w:t>沸点</w:t>
            </w:r>
          </w:p>
        </w:tc>
        <w:tc>
          <w:tcPr>
            <w:tcW w:w="1724" w:type="dxa"/>
            <w:tcBorders>
              <w:top w:val="single" w:color="000000" w:sz="8" w:space="0"/>
              <w:left w:val="single" w:color="000000" w:sz="8" w:space="0"/>
              <w:bottom w:val="single" w:color="000000" w:sz="8" w:space="0"/>
              <w:right w:val="single" w:color="000000" w:sz="8" w:space="0"/>
            </w:tcBorders>
            <w:noWrap w:val="0"/>
            <w:vAlign w:val="center"/>
          </w:tcPr>
          <w:p>
            <w:pPr>
              <w:pStyle w:val="79"/>
              <w:rPr>
                <w:rFonts w:hint="default" w:ascii="Times New Roman" w:hAnsi="Times New Roman" w:eastAsia="宋体" w:cs="Times New Roman"/>
              </w:rPr>
            </w:pPr>
            <w:r>
              <w:rPr>
                <w:rFonts w:hint="default" w:ascii="Times New Roman" w:hAnsi="Times New Roman" w:eastAsia="宋体" w:cs="Times New Roman"/>
              </w:rPr>
              <w:t>110℃</w:t>
            </w:r>
          </w:p>
        </w:tc>
        <w:tc>
          <w:tcPr>
            <w:tcW w:w="1293" w:type="dxa"/>
            <w:tcBorders>
              <w:top w:val="single" w:color="000000" w:sz="8" w:space="0"/>
              <w:left w:val="single" w:color="000000" w:sz="8" w:space="0"/>
              <w:bottom w:val="single" w:color="000000" w:sz="8" w:space="0"/>
              <w:right w:val="single" w:color="000000" w:sz="8" w:space="0"/>
            </w:tcBorders>
            <w:noWrap w:val="0"/>
            <w:vAlign w:val="center"/>
          </w:tcPr>
          <w:p>
            <w:pPr>
              <w:pStyle w:val="79"/>
              <w:rPr>
                <w:rFonts w:hint="default" w:ascii="Times New Roman" w:hAnsi="Times New Roman" w:eastAsia="宋体" w:cs="Times New Roman"/>
              </w:rPr>
            </w:pPr>
            <w:r>
              <w:rPr>
                <w:rFonts w:hint="default" w:ascii="Times New Roman" w:hAnsi="Times New Roman" w:eastAsia="宋体" w:cs="Times New Roman"/>
              </w:rPr>
              <w:t>熔点</w:t>
            </w:r>
          </w:p>
        </w:tc>
        <w:tc>
          <w:tcPr>
            <w:tcW w:w="1296" w:type="dxa"/>
            <w:tcBorders>
              <w:top w:val="single" w:color="000000" w:sz="8" w:space="0"/>
              <w:left w:val="single" w:color="000000" w:sz="8" w:space="0"/>
              <w:bottom w:val="single" w:color="000000" w:sz="8" w:space="0"/>
              <w:right w:val="nil"/>
            </w:tcBorders>
            <w:noWrap w:val="0"/>
            <w:vAlign w:val="center"/>
          </w:tcPr>
          <w:p>
            <w:pPr>
              <w:pStyle w:val="79"/>
              <w:rPr>
                <w:rFonts w:hint="default" w:ascii="Times New Roman" w:hAnsi="Times New Roman" w:eastAsia="宋体" w:cs="Times New Roman"/>
              </w:rPr>
            </w:pPr>
            <w:r>
              <w:rPr>
                <w:rFonts w:hint="default" w:ascii="Times New Roman" w:hAnsi="Times New Roman" w:eastAsia="宋体" w:cs="Times New Roman"/>
              </w:rPr>
              <w:t>-27.32℃</w:t>
            </w:r>
          </w:p>
        </w:tc>
      </w:tr>
      <w:tr>
        <w:trPr>
          <w:trHeight w:val="1160" w:hRule="exact"/>
          <w:jc w:val="center"/>
        </w:trPr>
        <w:tc>
          <w:tcPr>
            <w:tcW w:w="1248" w:type="dxa"/>
            <w:tcBorders>
              <w:top w:val="single" w:color="000000" w:sz="8" w:space="0"/>
              <w:left w:val="nil"/>
              <w:bottom w:val="single" w:color="000000" w:sz="8" w:space="0"/>
              <w:right w:val="single" w:color="000000" w:sz="8" w:space="0"/>
            </w:tcBorders>
            <w:noWrap w:val="0"/>
            <w:vAlign w:val="center"/>
          </w:tcPr>
          <w:p>
            <w:pPr>
              <w:pStyle w:val="79"/>
              <w:rPr>
                <w:rFonts w:hint="default" w:ascii="宋体" w:eastAsia="宋体" w:cs="Times New Roman"/>
              </w:rPr>
            </w:pPr>
            <w:r>
              <w:rPr>
                <w:rFonts w:hint="default" w:ascii="宋体" w:eastAsia="宋体" w:cs="Times New Roman"/>
              </w:rPr>
              <w:t>性质</w:t>
            </w:r>
          </w:p>
        </w:tc>
        <w:tc>
          <w:tcPr>
            <w:tcW w:w="7277" w:type="dxa"/>
            <w:gridSpan w:val="5"/>
            <w:tcBorders>
              <w:top w:val="single" w:color="000000" w:sz="8" w:space="0"/>
              <w:left w:val="single" w:color="000000" w:sz="8" w:space="0"/>
              <w:bottom w:val="single" w:color="000000" w:sz="8" w:space="0"/>
              <w:right w:val="nil"/>
            </w:tcBorders>
            <w:noWrap w:val="0"/>
            <w:vAlign w:val="center"/>
          </w:tcPr>
          <w:p>
            <w:pPr>
              <w:pStyle w:val="79"/>
              <w:rPr>
                <w:rFonts w:hint="default" w:ascii="宋体" w:eastAsia="宋体" w:cs="Times New Roman"/>
              </w:rPr>
            </w:pPr>
            <w:r>
              <w:rPr>
                <w:rFonts w:hint="default" w:ascii="宋体" w:eastAsia="宋体" w:cs="Times New Roman"/>
              </w:rPr>
              <w:t>盐酸是无色液体（工业用盐酸会因有杂质三价铁盐而略显黄色），为</w:t>
            </w:r>
            <w:r>
              <w:rPr>
                <w:rFonts w:hint="default" w:ascii="宋体" w:eastAsia="宋体" w:cs="Times New Roman"/>
              </w:rPr>
              <w:fldChar w:fldCharType="begin"/>
            </w:r>
            <w:r>
              <w:rPr>
                <w:rFonts w:hint="default" w:ascii="宋体" w:eastAsia="宋体" w:cs="Times New Roman"/>
              </w:rPr>
              <w:instrText xml:space="preserve"> HYPERLINK "https://baike.baidu.com/item/%E6%B0%AF%E5%8C%96%E6%B0%A2" \h </w:instrText>
            </w:r>
            <w:r>
              <w:rPr>
                <w:rFonts w:hint="default" w:ascii="宋体" w:eastAsia="宋体" w:cs="Times New Roman"/>
              </w:rPr>
              <w:fldChar w:fldCharType="separate"/>
            </w:r>
            <w:r>
              <w:rPr>
                <w:rFonts w:hint="default" w:ascii="宋体" w:eastAsia="宋体" w:cs="Times New Roman"/>
              </w:rPr>
              <w:t>氯化氢</w:t>
            </w:r>
            <w:r>
              <w:rPr>
                <w:rFonts w:hint="default" w:ascii="宋体" w:eastAsia="宋体" w:cs="Times New Roman"/>
              </w:rPr>
              <w:fldChar w:fldCharType="end"/>
            </w:r>
            <w:r>
              <w:rPr>
                <w:rFonts w:hint="default" w:ascii="宋体" w:eastAsia="宋体" w:cs="Times New Roman"/>
              </w:rPr>
              <w:t>的水溶液，具有刺激性气味。由于浓盐酸具有挥发性，挥发出的氯化氢气体与空气中的</w:t>
            </w:r>
            <w:r>
              <w:rPr>
                <w:rFonts w:hint="default" w:ascii="宋体" w:eastAsia="宋体" w:cs="Times New Roman"/>
              </w:rPr>
              <w:fldChar w:fldCharType="begin"/>
            </w:r>
            <w:r>
              <w:rPr>
                <w:rFonts w:hint="default" w:ascii="宋体" w:eastAsia="宋体" w:cs="Times New Roman"/>
              </w:rPr>
              <w:instrText xml:space="preserve"> HYPERLINK "https://baike.baidu.com/item/%E6%B0%B4%E8%92%B8%E6%B0%94" \h </w:instrText>
            </w:r>
            <w:r>
              <w:rPr>
                <w:rFonts w:hint="default" w:ascii="宋体" w:eastAsia="宋体" w:cs="Times New Roman"/>
              </w:rPr>
              <w:fldChar w:fldCharType="separate"/>
            </w:r>
            <w:r>
              <w:rPr>
                <w:rFonts w:hint="default" w:ascii="宋体" w:eastAsia="宋体" w:cs="Times New Roman"/>
              </w:rPr>
              <w:t>水蒸气</w:t>
            </w:r>
            <w:r>
              <w:rPr>
                <w:rFonts w:hint="default" w:ascii="宋体" w:eastAsia="宋体" w:cs="Times New Roman"/>
              </w:rPr>
              <w:fldChar w:fldCharType="end"/>
            </w:r>
            <w:r>
              <w:rPr>
                <w:rFonts w:hint="default" w:ascii="宋体" w:eastAsia="宋体" w:cs="Times New Roman"/>
              </w:rPr>
              <w:t>作用形成盐酸小液滴，所以会看到白</w:t>
            </w:r>
            <w:r>
              <w:rPr>
                <w:rFonts w:hint="default" w:ascii="宋体" w:eastAsia="宋体" w:cs="Times New Roman"/>
              </w:rPr>
              <w:fldChar w:fldCharType="begin"/>
            </w:r>
            <w:r>
              <w:rPr>
                <w:rFonts w:hint="default" w:ascii="宋体" w:eastAsia="宋体" w:cs="Times New Roman"/>
              </w:rPr>
              <w:instrText xml:space="preserve"> HYPERLINK "https://baike.baidu.com/item/%E9%9B%BE" \h </w:instrText>
            </w:r>
            <w:r>
              <w:rPr>
                <w:rFonts w:hint="default" w:ascii="宋体" w:eastAsia="宋体" w:cs="Times New Roman"/>
              </w:rPr>
              <w:fldChar w:fldCharType="separate"/>
            </w:r>
            <w:r>
              <w:rPr>
                <w:rFonts w:hint="default" w:ascii="宋体" w:eastAsia="宋体" w:cs="Times New Roman"/>
              </w:rPr>
              <w:t>雾</w:t>
            </w:r>
            <w:r>
              <w:rPr>
                <w:rFonts w:hint="default" w:ascii="宋体" w:eastAsia="宋体" w:cs="Times New Roman"/>
              </w:rPr>
              <w:fldChar w:fldCharType="end"/>
            </w:r>
            <w:r>
              <w:rPr>
                <w:rFonts w:hint="default" w:ascii="宋体" w:eastAsia="宋体" w:cs="Times New Roman"/>
              </w:rPr>
              <w:t>。</w:t>
            </w:r>
            <w:r>
              <w:rPr>
                <w:rFonts w:hint="default" w:ascii="宋体" w:eastAsia="宋体" w:cs="Times New Roman"/>
              </w:rPr>
              <w:fldChar w:fldCharType="begin"/>
            </w:r>
            <w:r>
              <w:rPr>
                <w:rFonts w:hint="default" w:ascii="宋体" w:eastAsia="宋体" w:cs="Times New Roman"/>
              </w:rPr>
              <w:instrText xml:space="preserve"> HYPERLINK "https://baike.baidu.com/item/%E7%9B%90%E9%85%B8" \h </w:instrText>
            </w:r>
            <w:r>
              <w:rPr>
                <w:rFonts w:hint="default" w:ascii="宋体" w:eastAsia="宋体" w:cs="Times New Roman"/>
              </w:rPr>
              <w:fldChar w:fldCharType="separate"/>
            </w:r>
            <w:r>
              <w:rPr>
                <w:rFonts w:hint="default" w:ascii="宋体" w:eastAsia="宋体" w:cs="Times New Roman"/>
              </w:rPr>
              <w:t>盐酸</w:t>
            </w:r>
            <w:r>
              <w:rPr>
                <w:rFonts w:hint="default" w:ascii="宋体" w:eastAsia="宋体" w:cs="Times New Roman"/>
              </w:rPr>
              <w:fldChar w:fldCharType="end"/>
            </w:r>
            <w:r>
              <w:rPr>
                <w:rFonts w:hint="default" w:ascii="宋体" w:eastAsia="宋体" w:cs="Times New Roman"/>
              </w:rPr>
              <w:t>与水、乙醇任意混溶，氯化氢能溶于许多有机溶剂。浓盐酸稀释有热量放出。</w:t>
            </w:r>
          </w:p>
        </w:tc>
      </w:tr>
      <w:tr>
        <w:trPr>
          <w:trHeight w:val="827" w:hRule="exact"/>
          <w:jc w:val="center"/>
        </w:trPr>
        <w:tc>
          <w:tcPr>
            <w:tcW w:w="1248" w:type="dxa"/>
            <w:tcBorders>
              <w:top w:val="single" w:color="000000" w:sz="8" w:space="0"/>
              <w:left w:val="nil"/>
              <w:bottom w:val="single" w:color="000000" w:sz="8" w:space="0"/>
              <w:right w:val="single" w:color="000000" w:sz="8" w:space="0"/>
            </w:tcBorders>
            <w:noWrap w:val="0"/>
            <w:vAlign w:val="center"/>
          </w:tcPr>
          <w:p>
            <w:pPr>
              <w:pStyle w:val="79"/>
              <w:rPr>
                <w:rFonts w:hint="default" w:ascii="宋体" w:eastAsia="宋体" w:cs="Times New Roman"/>
              </w:rPr>
            </w:pPr>
            <w:r>
              <w:rPr>
                <w:rFonts w:hint="default" w:ascii="宋体" w:eastAsia="宋体" w:cs="Times New Roman"/>
              </w:rPr>
              <w:t>健康危害</w:t>
            </w:r>
          </w:p>
        </w:tc>
        <w:tc>
          <w:tcPr>
            <w:tcW w:w="7277" w:type="dxa"/>
            <w:gridSpan w:val="5"/>
            <w:tcBorders>
              <w:top w:val="single" w:color="000000" w:sz="8" w:space="0"/>
              <w:left w:val="single" w:color="000000" w:sz="8" w:space="0"/>
              <w:bottom w:val="single" w:color="000000" w:sz="8" w:space="0"/>
              <w:right w:val="nil"/>
            </w:tcBorders>
            <w:noWrap w:val="0"/>
            <w:vAlign w:val="center"/>
          </w:tcPr>
          <w:p>
            <w:pPr>
              <w:pStyle w:val="79"/>
              <w:rPr>
                <w:rFonts w:hint="default" w:ascii="宋体" w:eastAsia="宋体" w:cs="Times New Roman"/>
              </w:rPr>
            </w:pPr>
            <w:r>
              <w:rPr>
                <w:rFonts w:hint="default" w:ascii="宋体" w:eastAsia="宋体" w:cs="Times New Roman"/>
              </w:rPr>
              <w:t>浓盐酸（发烟盐酸）会挥发出酸雾。盐酸本身和酸雾都会腐蚀人体组织，可能会不可逆地损伤呼吸器官、眼部、皮肤和胃肠等。在将盐酸与</w:t>
            </w:r>
            <w:r>
              <w:rPr>
                <w:rFonts w:hint="default" w:ascii="宋体" w:eastAsia="宋体" w:cs="Times New Roman"/>
              </w:rPr>
              <w:fldChar w:fldCharType="begin"/>
            </w:r>
            <w:r>
              <w:rPr>
                <w:rFonts w:hint="default" w:ascii="宋体" w:eastAsia="宋体" w:cs="Times New Roman"/>
              </w:rPr>
              <w:instrText xml:space="preserve"> HYPERLINK "https://baike.baidu.com/item/%E6%B0%A7%E5%8C%96%E5%89%82" \h </w:instrText>
            </w:r>
            <w:r>
              <w:rPr>
                <w:rFonts w:hint="default" w:ascii="宋体" w:eastAsia="宋体" w:cs="Times New Roman"/>
              </w:rPr>
              <w:fldChar w:fldCharType="separate"/>
            </w:r>
            <w:r>
              <w:rPr>
                <w:rFonts w:hint="default" w:ascii="宋体" w:eastAsia="宋体" w:cs="Times New Roman"/>
              </w:rPr>
              <w:t>氧化剂</w:t>
            </w:r>
            <w:r>
              <w:rPr>
                <w:rFonts w:hint="default" w:ascii="宋体" w:eastAsia="宋体" w:cs="Times New Roman"/>
              </w:rPr>
              <w:fldChar w:fldCharType="end"/>
            </w:r>
            <w:r>
              <w:rPr>
                <w:rFonts w:hint="default" w:ascii="宋体" w:eastAsia="宋体" w:cs="Times New Roman"/>
              </w:rPr>
              <w:t xml:space="preserve">（例如漂白剂 </w:t>
            </w:r>
            <w:r>
              <w:rPr>
                <w:rFonts w:hint="default" w:ascii="宋体" w:eastAsia="宋体" w:cs="Times New Roman"/>
              </w:rPr>
              <w:fldChar w:fldCharType="begin"/>
            </w:r>
            <w:r>
              <w:rPr>
                <w:rFonts w:hint="default" w:ascii="宋体" w:eastAsia="宋体" w:cs="Times New Roman"/>
              </w:rPr>
              <w:instrText xml:space="preserve"> HYPERLINK "https://baike.baidu.com/item/%E6%AC%A1%E6%B0%AF%E9%85%B8%E9%92%A0" \h </w:instrText>
            </w:r>
            <w:r>
              <w:rPr>
                <w:rFonts w:hint="default" w:ascii="宋体" w:eastAsia="宋体" w:cs="Times New Roman"/>
              </w:rPr>
              <w:fldChar w:fldCharType="separate"/>
            </w:r>
            <w:r>
              <w:rPr>
                <w:rFonts w:hint="default" w:ascii="宋体" w:eastAsia="宋体" w:cs="Times New Roman"/>
              </w:rPr>
              <w:t>次氯酸钠</w:t>
            </w:r>
            <w:r>
              <w:rPr>
                <w:rFonts w:hint="default" w:ascii="宋体" w:eastAsia="宋体" w:cs="Times New Roman"/>
              </w:rPr>
              <w:fldChar w:fldCharType="end"/>
            </w:r>
            <w:r>
              <w:rPr>
                <w:rFonts w:hint="default" w:ascii="宋体" w:eastAsia="宋体" w:cs="Times New Roman"/>
              </w:rPr>
              <w:t>或</w:t>
            </w:r>
            <w:r>
              <w:rPr>
                <w:rFonts w:hint="default" w:ascii="宋体" w:eastAsia="宋体" w:cs="Times New Roman"/>
              </w:rPr>
              <w:fldChar w:fldCharType="begin"/>
            </w:r>
            <w:r>
              <w:rPr>
                <w:rFonts w:hint="default" w:ascii="宋体" w:eastAsia="宋体" w:cs="Times New Roman"/>
              </w:rPr>
              <w:instrText xml:space="preserve"> HYPERLINK "https://baike.baidu.com/item/%E9%AB%98%E9%94%B0%E9%85%B8%E9%92%BE" \h </w:instrText>
            </w:r>
            <w:r>
              <w:rPr>
                <w:rFonts w:hint="default" w:ascii="宋体" w:eastAsia="宋体" w:cs="Times New Roman"/>
              </w:rPr>
              <w:fldChar w:fldCharType="separate"/>
            </w:r>
            <w:r>
              <w:rPr>
                <w:rFonts w:hint="default" w:ascii="宋体" w:eastAsia="宋体" w:cs="Times New Roman"/>
              </w:rPr>
              <w:t>高锰酸钾</w:t>
            </w:r>
            <w:r>
              <w:rPr>
                <w:rFonts w:hint="default" w:ascii="宋体" w:eastAsia="宋体" w:cs="Times New Roman"/>
              </w:rPr>
              <w:fldChar w:fldCharType="end"/>
            </w:r>
            <w:r>
              <w:rPr>
                <w:rFonts w:hint="default" w:ascii="宋体" w:eastAsia="宋体" w:cs="Times New Roman"/>
              </w:rPr>
              <w:t>等）混合时，会产生有毒气体</w:t>
            </w:r>
            <w:r>
              <w:rPr>
                <w:rFonts w:hint="default" w:ascii="宋体" w:eastAsia="宋体" w:cs="Times New Roman"/>
              </w:rPr>
              <w:fldChar w:fldCharType="begin"/>
            </w:r>
            <w:r>
              <w:rPr>
                <w:rFonts w:hint="default" w:ascii="宋体" w:eastAsia="宋体" w:cs="Times New Roman"/>
              </w:rPr>
              <w:instrText xml:space="preserve"> HYPERLINK "https://baike.baidu.com/item/%E6%B0%AF%E6%B0%94" \h </w:instrText>
            </w:r>
            <w:r>
              <w:rPr>
                <w:rFonts w:hint="default" w:ascii="宋体" w:eastAsia="宋体" w:cs="Times New Roman"/>
              </w:rPr>
              <w:fldChar w:fldCharType="separate"/>
            </w:r>
            <w:r>
              <w:rPr>
                <w:rFonts w:hint="default" w:ascii="宋体" w:eastAsia="宋体" w:cs="Times New Roman"/>
              </w:rPr>
              <w:t>氯气</w:t>
            </w:r>
            <w:r>
              <w:rPr>
                <w:rFonts w:hint="default" w:ascii="宋体" w:eastAsia="宋体" w:cs="Times New Roman"/>
              </w:rPr>
              <w:fldChar w:fldCharType="end"/>
            </w:r>
            <w:r>
              <w:rPr>
                <w:rFonts w:hint="default" w:ascii="宋体" w:eastAsia="宋体" w:cs="Times New Roman"/>
              </w:rPr>
              <w:t>。</w:t>
            </w:r>
          </w:p>
        </w:tc>
      </w:tr>
      <w:tr>
        <w:tblPrEx>
          <w:tblCellMar>
            <w:top w:w="0" w:type="dxa"/>
            <w:left w:w="0" w:type="dxa"/>
            <w:bottom w:w="0" w:type="dxa"/>
            <w:right w:w="0" w:type="dxa"/>
          </w:tblCellMar>
        </w:tblPrEx>
        <w:trPr>
          <w:trHeight w:val="897" w:hRule="exact"/>
          <w:jc w:val="center"/>
        </w:trPr>
        <w:tc>
          <w:tcPr>
            <w:tcW w:w="1248" w:type="dxa"/>
            <w:tcBorders>
              <w:top w:val="single" w:color="000000" w:sz="8" w:space="0"/>
              <w:left w:val="nil"/>
              <w:bottom w:val="single" w:color="000000" w:sz="8" w:space="0"/>
              <w:right w:val="single" w:color="000000" w:sz="8" w:space="0"/>
            </w:tcBorders>
            <w:noWrap w:val="0"/>
            <w:vAlign w:val="center"/>
          </w:tcPr>
          <w:p>
            <w:pPr>
              <w:pStyle w:val="79"/>
              <w:rPr>
                <w:rFonts w:hint="default" w:ascii="宋体" w:eastAsia="宋体" w:cs="Times New Roman"/>
              </w:rPr>
            </w:pPr>
            <w:r>
              <w:rPr>
                <w:rFonts w:hint="default" w:ascii="宋体" w:eastAsia="宋体" w:cs="Times New Roman"/>
              </w:rPr>
              <w:t>储存</w:t>
            </w:r>
          </w:p>
        </w:tc>
        <w:tc>
          <w:tcPr>
            <w:tcW w:w="7277" w:type="dxa"/>
            <w:gridSpan w:val="5"/>
            <w:tcBorders>
              <w:top w:val="single" w:color="000000" w:sz="8" w:space="0"/>
              <w:left w:val="single" w:color="000000" w:sz="8" w:space="0"/>
              <w:bottom w:val="single" w:color="000000" w:sz="8" w:space="0"/>
              <w:right w:val="nil"/>
            </w:tcBorders>
            <w:noWrap w:val="0"/>
            <w:vAlign w:val="center"/>
          </w:tcPr>
          <w:p>
            <w:pPr>
              <w:pStyle w:val="79"/>
              <w:rPr>
                <w:rFonts w:hint="default" w:ascii="宋体" w:eastAsia="宋体" w:cs="Times New Roman"/>
              </w:rPr>
            </w:pPr>
            <w:r>
              <w:rPr>
                <w:rFonts w:hint="default" w:ascii="宋体" w:eastAsia="宋体" w:cs="Times New Roman"/>
              </w:rPr>
              <w:t>储存于阴凉、通风的库房。库温不超过30℃，相对湿度不超过85%。保持容器密封。应与碱类、胺类、碱金属、易（可）燃物分开存放，切忌混储。储区应备有泄漏应急处理设备和合适的收容材料。</w:t>
            </w:r>
          </w:p>
        </w:tc>
      </w:tr>
      <w:tr>
        <w:tblPrEx>
          <w:tblCellMar>
            <w:top w:w="0" w:type="dxa"/>
            <w:left w:w="0" w:type="dxa"/>
            <w:bottom w:w="0" w:type="dxa"/>
            <w:right w:w="0" w:type="dxa"/>
          </w:tblCellMar>
        </w:tblPrEx>
        <w:trPr>
          <w:trHeight w:val="710" w:hRule="exact"/>
          <w:jc w:val="center"/>
        </w:trPr>
        <w:tc>
          <w:tcPr>
            <w:tcW w:w="1248" w:type="dxa"/>
            <w:vMerge w:val="restart"/>
            <w:tcBorders>
              <w:top w:val="single" w:color="000000" w:sz="8" w:space="0"/>
              <w:left w:val="nil"/>
              <w:bottom w:val="single" w:color="000000" w:sz="8" w:space="0"/>
              <w:right w:val="single" w:color="000000" w:sz="8" w:space="0"/>
            </w:tcBorders>
            <w:noWrap w:val="0"/>
            <w:vAlign w:val="center"/>
          </w:tcPr>
          <w:p>
            <w:pPr>
              <w:pStyle w:val="79"/>
              <w:rPr>
                <w:rFonts w:hint="default" w:ascii="宋体" w:eastAsia="宋体" w:cs="Times New Roman"/>
              </w:rPr>
            </w:pPr>
            <w:r>
              <w:rPr>
                <w:rFonts w:hint="default" w:ascii="宋体" w:eastAsia="宋体" w:cs="Times New Roman"/>
              </w:rPr>
              <w:t>急救措施</w:t>
            </w:r>
          </w:p>
        </w:tc>
        <w:tc>
          <w:tcPr>
            <w:tcW w:w="7277" w:type="dxa"/>
            <w:gridSpan w:val="5"/>
            <w:tcBorders>
              <w:top w:val="single" w:color="000000" w:sz="8" w:space="0"/>
              <w:left w:val="single" w:color="000000" w:sz="8" w:space="0"/>
              <w:bottom w:val="single" w:color="000000" w:sz="8" w:space="0"/>
              <w:right w:val="nil"/>
            </w:tcBorders>
            <w:noWrap w:val="0"/>
            <w:vAlign w:val="center"/>
          </w:tcPr>
          <w:p>
            <w:pPr>
              <w:pStyle w:val="79"/>
              <w:rPr>
                <w:rFonts w:hint="default" w:ascii="宋体" w:eastAsia="宋体" w:cs="Times New Roman"/>
              </w:rPr>
            </w:pPr>
            <w:r>
              <w:rPr>
                <w:rFonts w:hint="default" w:ascii="宋体" w:eastAsia="宋体" w:cs="Times New Roman"/>
              </w:rPr>
              <w:t>皮肤接触：立即脱去污染的衣着，用大量流动清水冲洗至少15分钟，可涂抹</w:t>
            </w:r>
            <w:r>
              <w:rPr>
                <w:rFonts w:hint="default" w:ascii="宋体" w:eastAsia="宋体" w:cs="Times New Roman"/>
              </w:rPr>
              <w:fldChar w:fldCharType="begin"/>
            </w:r>
            <w:r>
              <w:rPr>
                <w:rFonts w:hint="default" w:ascii="宋体" w:eastAsia="宋体" w:cs="Times New Roman"/>
              </w:rPr>
              <w:instrText xml:space="preserve"> HYPERLINK "https://baike.baidu.com/item/%E5%BC%B1%E7%A2%B1%E6%80%A7" \h </w:instrText>
            </w:r>
            <w:r>
              <w:rPr>
                <w:rFonts w:hint="default" w:ascii="宋体" w:eastAsia="宋体" w:cs="Times New Roman"/>
              </w:rPr>
              <w:fldChar w:fldCharType="separate"/>
            </w:r>
            <w:r>
              <w:rPr>
                <w:rFonts w:hint="default" w:ascii="宋体" w:eastAsia="宋体" w:cs="Times New Roman"/>
              </w:rPr>
              <w:t>弱</w:t>
            </w:r>
            <w:r>
              <w:rPr>
                <w:rFonts w:hint="default" w:ascii="宋体" w:eastAsia="宋体" w:cs="Times New Roman"/>
              </w:rPr>
              <w:fldChar w:fldCharType="end"/>
            </w:r>
            <w:r>
              <w:rPr>
                <w:rFonts w:hint="default" w:ascii="宋体" w:eastAsia="宋体" w:cs="Times New Roman"/>
              </w:rPr>
              <w:t>碱性物质（如碱水、肥皂水等），就医。</w:t>
            </w:r>
          </w:p>
        </w:tc>
      </w:tr>
      <w:tr>
        <w:trPr>
          <w:trHeight w:val="1150" w:hRule="exact"/>
          <w:jc w:val="center"/>
        </w:trPr>
        <w:tc>
          <w:tcPr>
            <w:tcW w:w="1248" w:type="dxa"/>
            <w:vMerge w:val="continue"/>
            <w:tcBorders>
              <w:top w:val="single" w:color="000000" w:sz="8" w:space="0"/>
              <w:left w:val="nil"/>
              <w:bottom w:val="single" w:color="000000" w:sz="8" w:space="0"/>
              <w:right w:val="single" w:color="000000" w:sz="8" w:space="0"/>
            </w:tcBorders>
            <w:noWrap w:val="0"/>
            <w:vAlign w:val="center"/>
          </w:tcPr>
          <w:p>
            <w:pPr>
              <w:pStyle w:val="79"/>
              <w:rPr>
                <w:rFonts w:hint="default" w:ascii="宋体" w:eastAsia="宋体" w:cs="Times New Roman"/>
              </w:rPr>
            </w:pPr>
          </w:p>
        </w:tc>
        <w:tc>
          <w:tcPr>
            <w:tcW w:w="7277" w:type="dxa"/>
            <w:gridSpan w:val="5"/>
            <w:tcBorders>
              <w:top w:val="single" w:color="000000" w:sz="8" w:space="0"/>
              <w:left w:val="single" w:color="000000" w:sz="8" w:space="0"/>
              <w:bottom w:val="single" w:color="000000" w:sz="8" w:space="0"/>
              <w:right w:val="nil"/>
            </w:tcBorders>
            <w:noWrap w:val="0"/>
            <w:vAlign w:val="center"/>
          </w:tcPr>
          <w:p>
            <w:pPr>
              <w:pStyle w:val="79"/>
              <w:rPr>
                <w:rFonts w:hint="default" w:ascii="宋体" w:eastAsia="宋体" w:cs="Times New Roman"/>
              </w:rPr>
            </w:pPr>
            <w:r>
              <w:rPr>
                <w:rFonts w:hint="default" w:ascii="宋体" w:eastAsia="宋体" w:cs="Times New Roman"/>
              </w:rPr>
              <w:t>眼睛接触： 立即提起</w:t>
            </w:r>
            <w:r>
              <w:rPr>
                <w:rFonts w:hint="default" w:ascii="宋体" w:eastAsia="宋体" w:cs="Times New Roman"/>
              </w:rPr>
              <w:fldChar w:fldCharType="begin"/>
            </w:r>
            <w:r>
              <w:rPr>
                <w:rFonts w:hint="default" w:ascii="宋体" w:eastAsia="宋体" w:cs="Times New Roman"/>
              </w:rPr>
              <w:instrText xml:space="preserve"> HYPERLINK "https://baike.baidu.com/item/%E7%9C%BC%E7%9D%91" \h </w:instrText>
            </w:r>
            <w:r>
              <w:rPr>
                <w:rFonts w:hint="default" w:ascii="宋体" w:eastAsia="宋体" w:cs="Times New Roman"/>
              </w:rPr>
              <w:fldChar w:fldCharType="separate"/>
            </w:r>
            <w:r>
              <w:rPr>
                <w:rFonts w:hint="default" w:ascii="宋体" w:eastAsia="宋体" w:cs="Times New Roman"/>
              </w:rPr>
              <w:t>眼睑</w:t>
            </w:r>
            <w:r>
              <w:rPr>
                <w:rFonts w:hint="default" w:ascii="宋体" w:eastAsia="宋体" w:cs="Times New Roman"/>
              </w:rPr>
              <w:fldChar w:fldCharType="end"/>
            </w:r>
            <w:r>
              <w:rPr>
                <w:rFonts w:hint="default" w:ascii="宋体" w:eastAsia="宋体" w:cs="Times New Roman"/>
              </w:rPr>
              <w:t>，用大量流动清水或</w:t>
            </w:r>
            <w:r>
              <w:rPr>
                <w:rFonts w:hint="default" w:ascii="宋体" w:eastAsia="宋体" w:cs="Times New Roman"/>
              </w:rPr>
              <w:fldChar w:fldCharType="begin"/>
            </w:r>
            <w:r>
              <w:rPr>
                <w:rFonts w:hint="default" w:ascii="宋体" w:eastAsia="宋体" w:cs="Times New Roman"/>
              </w:rPr>
              <w:instrText xml:space="preserve"> HYPERLINK "https://baike.baidu.com/item/%E7%94%9F%E7%90%86%E7%9B%90%E6%B0%B4" \h </w:instrText>
            </w:r>
            <w:r>
              <w:rPr>
                <w:rFonts w:hint="default" w:ascii="宋体" w:eastAsia="宋体" w:cs="Times New Roman"/>
              </w:rPr>
              <w:fldChar w:fldCharType="separate"/>
            </w:r>
            <w:r>
              <w:rPr>
                <w:rFonts w:hint="default" w:ascii="宋体" w:eastAsia="宋体" w:cs="Times New Roman"/>
              </w:rPr>
              <w:t>生理盐水</w:t>
            </w:r>
            <w:r>
              <w:rPr>
                <w:rFonts w:hint="default" w:ascii="宋体" w:eastAsia="宋体" w:cs="Times New Roman"/>
              </w:rPr>
              <w:fldChar w:fldCharType="end"/>
            </w:r>
            <w:r>
              <w:rPr>
                <w:rFonts w:hint="default" w:ascii="宋体" w:eastAsia="宋体" w:cs="Times New Roman"/>
              </w:rPr>
              <w:t xml:space="preserve">彻底冲洗至少 15 分钟。就医。 </w:t>
            </w:r>
          </w:p>
          <w:p>
            <w:pPr>
              <w:pStyle w:val="79"/>
              <w:rPr>
                <w:rFonts w:hint="default" w:ascii="宋体" w:eastAsia="宋体" w:cs="Times New Roman"/>
              </w:rPr>
            </w:pPr>
            <w:r>
              <w:rPr>
                <w:rFonts w:hint="default" w:ascii="宋体" w:eastAsia="宋体" w:cs="Times New Roman"/>
              </w:rPr>
              <w:t>吸入：迅速脱离现场至空气新鲜处。保持</w:t>
            </w:r>
            <w:r>
              <w:rPr>
                <w:rFonts w:hint="default" w:ascii="宋体" w:eastAsia="宋体" w:cs="Times New Roman"/>
              </w:rPr>
              <w:fldChar w:fldCharType="begin"/>
            </w:r>
            <w:r>
              <w:rPr>
                <w:rFonts w:hint="default" w:ascii="宋体" w:eastAsia="宋体" w:cs="Times New Roman"/>
              </w:rPr>
              <w:instrText xml:space="preserve"> HYPERLINK "https://baike.baidu.com/item/%E5%91%BC%E5%90%B8%E9%81%93" \h </w:instrText>
            </w:r>
            <w:r>
              <w:rPr>
                <w:rFonts w:hint="default" w:ascii="宋体" w:eastAsia="宋体" w:cs="Times New Roman"/>
              </w:rPr>
              <w:fldChar w:fldCharType="separate"/>
            </w:r>
            <w:r>
              <w:rPr>
                <w:rFonts w:hint="default" w:ascii="宋体" w:eastAsia="宋体" w:cs="Times New Roman"/>
              </w:rPr>
              <w:t>呼吸道</w:t>
            </w:r>
            <w:r>
              <w:rPr>
                <w:rFonts w:hint="default" w:ascii="宋体" w:eastAsia="宋体" w:cs="Times New Roman"/>
              </w:rPr>
              <w:fldChar w:fldCharType="end"/>
            </w:r>
            <w:r>
              <w:rPr>
                <w:rFonts w:hint="default" w:ascii="宋体" w:eastAsia="宋体" w:cs="Times New Roman"/>
              </w:rPr>
              <w:t>通畅。如</w:t>
            </w:r>
            <w:r>
              <w:rPr>
                <w:rFonts w:hint="default" w:ascii="宋体" w:eastAsia="宋体" w:cs="Times New Roman"/>
              </w:rPr>
              <w:fldChar w:fldCharType="begin"/>
            </w:r>
            <w:r>
              <w:rPr>
                <w:rFonts w:hint="default" w:ascii="宋体" w:eastAsia="宋体" w:cs="Times New Roman"/>
              </w:rPr>
              <w:instrText xml:space="preserve"> HYPERLINK "https://baike.baidu.com/item/%E5%91%BC%E5%90%B8%E5%9B%B0%E9%9A%BE" \h </w:instrText>
            </w:r>
            <w:r>
              <w:rPr>
                <w:rFonts w:hint="default" w:ascii="宋体" w:eastAsia="宋体" w:cs="Times New Roman"/>
              </w:rPr>
              <w:fldChar w:fldCharType="separate"/>
            </w:r>
            <w:r>
              <w:rPr>
                <w:rFonts w:hint="default" w:ascii="宋体" w:eastAsia="宋体" w:cs="Times New Roman"/>
              </w:rPr>
              <w:t>呼吸困难</w:t>
            </w:r>
            <w:r>
              <w:rPr>
                <w:rFonts w:hint="default" w:ascii="宋体" w:eastAsia="宋体" w:cs="Times New Roman"/>
              </w:rPr>
              <w:fldChar w:fldCharType="end"/>
            </w:r>
            <w:r>
              <w:rPr>
                <w:rFonts w:hint="default" w:ascii="宋体" w:eastAsia="宋体" w:cs="Times New Roman"/>
              </w:rPr>
              <w:t>，给输氧。如呼吸停止，立即进行</w:t>
            </w:r>
            <w:r>
              <w:rPr>
                <w:rFonts w:hint="default" w:ascii="宋体" w:eastAsia="宋体" w:cs="Times New Roman"/>
              </w:rPr>
              <w:fldChar w:fldCharType="begin"/>
            </w:r>
            <w:r>
              <w:rPr>
                <w:rFonts w:hint="default" w:ascii="宋体" w:eastAsia="宋体" w:cs="Times New Roman"/>
              </w:rPr>
              <w:instrText xml:space="preserve"> HYPERLINK "https://baike.baidu.com/item/%E4%BA%BA%E5%B7%A5%E5%91%BC%E5%90%B8" \h </w:instrText>
            </w:r>
            <w:r>
              <w:rPr>
                <w:rFonts w:hint="default" w:ascii="宋体" w:eastAsia="宋体" w:cs="Times New Roman"/>
              </w:rPr>
              <w:fldChar w:fldCharType="separate"/>
            </w:r>
            <w:r>
              <w:rPr>
                <w:rFonts w:hint="default" w:ascii="宋体" w:eastAsia="宋体" w:cs="Times New Roman"/>
              </w:rPr>
              <w:t>人工呼吸</w:t>
            </w:r>
            <w:r>
              <w:rPr>
                <w:rFonts w:hint="default" w:ascii="宋体" w:eastAsia="宋体" w:cs="Times New Roman"/>
              </w:rPr>
              <w:fldChar w:fldCharType="end"/>
            </w:r>
            <w:r>
              <w:rPr>
                <w:rFonts w:hint="default" w:ascii="宋体" w:eastAsia="宋体" w:cs="Times New Roman"/>
              </w:rPr>
              <w:t>。就医。</w:t>
            </w:r>
          </w:p>
        </w:tc>
      </w:tr>
      <w:tr>
        <w:trPr>
          <w:trHeight w:val="533" w:hRule="exact"/>
          <w:jc w:val="center"/>
        </w:trPr>
        <w:tc>
          <w:tcPr>
            <w:tcW w:w="1248" w:type="dxa"/>
            <w:vMerge w:val="continue"/>
            <w:tcBorders>
              <w:top w:val="single" w:color="000000" w:sz="8" w:space="0"/>
              <w:left w:val="nil"/>
              <w:bottom w:val="single" w:color="000000" w:sz="8" w:space="0"/>
              <w:right w:val="single" w:color="000000" w:sz="8" w:space="0"/>
            </w:tcBorders>
            <w:noWrap w:val="0"/>
            <w:vAlign w:val="center"/>
          </w:tcPr>
          <w:p>
            <w:pPr>
              <w:pStyle w:val="79"/>
              <w:rPr>
                <w:rFonts w:hint="default" w:ascii="宋体" w:eastAsia="宋体" w:cs="Times New Roman"/>
              </w:rPr>
            </w:pPr>
          </w:p>
        </w:tc>
        <w:tc>
          <w:tcPr>
            <w:tcW w:w="7277" w:type="dxa"/>
            <w:gridSpan w:val="5"/>
            <w:tcBorders>
              <w:top w:val="single" w:color="000000" w:sz="8" w:space="0"/>
              <w:left w:val="single" w:color="000000" w:sz="8" w:space="0"/>
              <w:bottom w:val="single" w:color="000000" w:sz="8" w:space="0"/>
              <w:right w:val="nil"/>
            </w:tcBorders>
            <w:noWrap w:val="0"/>
            <w:vAlign w:val="center"/>
          </w:tcPr>
          <w:p>
            <w:pPr>
              <w:pStyle w:val="79"/>
              <w:rPr>
                <w:rFonts w:hint="default" w:ascii="宋体" w:eastAsia="宋体" w:cs="Times New Roman"/>
              </w:rPr>
            </w:pPr>
            <w:r>
              <w:rPr>
                <w:rFonts w:hint="default" w:ascii="宋体" w:eastAsia="宋体" w:cs="Times New Roman"/>
              </w:rPr>
              <w:t>食入：用大量水漱口，吞服大量生鸡蛋清或牛奶（禁止服用小苏打等药品），就医</w:t>
            </w:r>
          </w:p>
        </w:tc>
      </w:tr>
      <w:tr>
        <w:tblPrEx>
          <w:tblCellMar>
            <w:top w:w="0" w:type="dxa"/>
            <w:left w:w="0" w:type="dxa"/>
            <w:bottom w:w="0" w:type="dxa"/>
            <w:right w:w="0" w:type="dxa"/>
          </w:tblCellMar>
        </w:tblPrEx>
        <w:trPr>
          <w:trHeight w:val="824" w:hRule="exact"/>
          <w:jc w:val="center"/>
        </w:trPr>
        <w:tc>
          <w:tcPr>
            <w:tcW w:w="1248" w:type="dxa"/>
            <w:vMerge w:val="restart"/>
            <w:tcBorders>
              <w:top w:val="single" w:color="000000" w:sz="8" w:space="0"/>
              <w:left w:val="nil"/>
              <w:bottom w:val="single" w:color="000000" w:sz="8" w:space="0"/>
              <w:right w:val="single" w:color="000000" w:sz="8" w:space="0"/>
            </w:tcBorders>
            <w:noWrap w:val="0"/>
            <w:vAlign w:val="center"/>
          </w:tcPr>
          <w:p>
            <w:pPr>
              <w:pStyle w:val="79"/>
              <w:rPr>
                <w:rFonts w:hint="default" w:ascii="宋体" w:eastAsia="宋体" w:cs="Times New Roman"/>
              </w:rPr>
            </w:pPr>
            <w:r>
              <w:rPr>
                <w:rFonts w:hint="default" w:ascii="宋体" w:eastAsia="宋体" w:cs="Times New Roman"/>
              </w:rPr>
              <w:t>泄露处理</w:t>
            </w:r>
          </w:p>
        </w:tc>
        <w:tc>
          <w:tcPr>
            <w:tcW w:w="7277" w:type="dxa"/>
            <w:gridSpan w:val="5"/>
            <w:tcBorders>
              <w:top w:val="single" w:color="000000" w:sz="8" w:space="0"/>
              <w:left w:val="single" w:color="000000" w:sz="8" w:space="0"/>
              <w:bottom w:val="single" w:color="000000" w:sz="8" w:space="0"/>
              <w:right w:val="nil"/>
            </w:tcBorders>
            <w:noWrap w:val="0"/>
            <w:vAlign w:val="center"/>
          </w:tcPr>
          <w:p>
            <w:pPr>
              <w:pStyle w:val="79"/>
              <w:rPr>
                <w:rFonts w:hint="default" w:ascii="宋体" w:eastAsia="宋体" w:cs="Times New Roman"/>
              </w:rPr>
            </w:pPr>
            <w:r>
              <w:rPr>
                <w:rFonts w:hint="default" w:ascii="宋体" w:eastAsia="宋体" w:cs="Times New Roman"/>
              </w:rPr>
              <w:t>应急处理：迅速撤离泄漏污染区人员至</w:t>
            </w:r>
            <w:r>
              <w:rPr>
                <w:rFonts w:hint="default" w:ascii="宋体" w:eastAsia="宋体" w:cs="Times New Roman"/>
              </w:rPr>
              <w:fldChar w:fldCharType="begin"/>
            </w:r>
            <w:r>
              <w:rPr>
                <w:rFonts w:hint="default" w:ascii="宋体" w:eastAsia="宋体" w:cs="Times New Roman"/>
              </w:rPr>
              <w:instrText xml:space="preserve"> HYPERLINK "https://baike.baidu.com/item/%E5%AE%89%E5%85%A8%E5%8C%BA" \h </w:instrText>
            </w:r>
            <w:r>
              <w:rPr>
                <w:rFonts w:hint="default" w:ascii="宋体" w:eastAsia="宋体" w:cs="Times New Roman"/>
              </w:rPr>
              <w:fldChar w:fldCharType="separate"/>
            </w:r>
            <w:r>
              <w:rPr>
                <w:rFonts w:hint="default" w:ascii="宋体" w:eastAsia="宋体" w:cs="Times New Roman"/>
              </w:rPr>
              <w:t>安全区</w:t>
            </w:r>
            <w:r>
              <w:rPr>
                <w:rFonts w:hint="default" w:ascii="宋体" w:eastAsia="宋体" w:cs="Times New Roman"/>
              </w:rPr>
              <w:fldChar w:fldCharType="end"/>
            </w:r>
            <w:r>
              <w:rPr>
                <w:rFonts w:hint="default" w:ascii="宋体" w:eastAsia="宋体" w:cs="Times New Roman"/>
              </w:rPr>
              <w:t>，并进行隔离，严格限制出入。建议应急处理人员戴自给</w:t>
            </w:r>
            <w:r>
              <w:rPr>
                <w:rFonts w:hint="default" w:ascii="宋体" w:eastAsia="宋体" w:cs="Times New Roman"/>
              </w:rPr>
              <w:fldChar w:fldCharType="begin"/>
            </w:r>
            <w:r>
              <w:rPr>
                <w:rFonts w:hint="default" w:ascii="宋体" w:eastAsia="宋体" w:cs="Times New Roman"/>
              </w:rPr>
              <w:instrText xml:space="preserve"> HYPERLINK "https://baike.baidu.com/item/%E6%AD%A3%E5%8E%8B%E5%BC%8F%E5%91%BC%E5%90%B8%E5%99%A8" \h </w:instrText>
            </w:r>
            <w:r>
              <w:rPr>
                <w:rFonts w:hint="default" w:ascii="宋体" w:eastAsia="宋体" w:cs="Times New Roman"/>
              </w:rPr>
              <w:fldChar w:fldCharType="separate"/>
            </w:r>
            <w:r>
              <w:rPr>
                <w:rFonts w:hint="default" w:ascii="宋体" w:eastAsia="宋体" w:cs="Times New Roman"/>
              </w:rPr>
              <w:t>正压式呼吸器</w:t>
            </w:r>
            <w:r>
              <w:rPr>
                <w:rFonts w:hint="default" w:ascii="宋体" w:eastAsia="宋体" w:cs="Times New Roman"/>
              </w:rPr>
              <w:fldChar w:fldCharType="end"/>
            </w:r>
            <w:r>
              <w:rPr>
                <w:rFonts w:hint="default" w:ascii="宋体" w:eastAsia="宋体" w:cs="Times New Roman"/>
              </w:rPr>
              <w:t>，穿防酸碱工作服。不要直接接触泄漏物。</w:t>
            </w:r>
          </w:p>
          <w:p>
            <w:pPr>
              <w:pStyle w:val="79"/>
              <w:rPr>
                <w:rFonts w:hint="default" w:ascii="宋体" w:eastAsia="宋体" w:cs="Times New Roman"/>
              </w:rPr>
            </w:pPr>
            <w:r>
              <w:rPr>
                <w:rFonts w:hint="default" w:ascii="宋体" w:eastAsia="宋体" w:cs="Times New Roman"/>
              </w:rPr>
              <w:t>尽可能切断泄漏源。</w:t>
            </w:r>
          </w:p>
        </w:tc>
      </w:tr>
      <w:tr>
        <w:tblPrEx>
          <w:tblCellMar>
            <w:top w:w="0" w:type="dxa"/>
            <w:left w:w="0" w:type="dxa"/>
            <w:bottom w:w="0" w:type="dxa"/>
            <w:right w:w="0" w:type="dxa"/>
          </w:tblCellMar>
        </w:tblPrEx>
        <w:trPr>
          <w:trHeight w:val="548" w:hRule="exact"/>
          <w:jc w:val="center"/>
        </w:trPr>
        <w:tc>
          <w:tcPr>
            <w:tcW w:w="1248" w:type="dxa"/>
            <w:vMerge w:val="continue"/>
            <w:tcBorders>
              <w:top w:val="single" w:color="000000" w:sz="8" w:space="0"/>
              <w:left w:val="nil"/>
              <w:bottom w:val="single" w:color="000000" w:sz="8" w:space="0"/>
              <w:right w:val="single" w:color="000000" w:sz="8" w:space="0"/>
            </w:tcBorders>
            <w:noWrap w:val="0"/>
            <w:vAlign w:val="center"/>
          </w:tcPr>
          <w:p>
            <w:pPr>
              <w:pStyle w:val="79"/>
              <w:rPr>
                <w:rFonts w:hint="default" w:ascii="宋体" w:eastAsia="宋体" w:cs="Times New Roman"/>
              </w:rPr>
            </w:pPr>
          </w:p>
        </w:tc>
        <w:tc>
          <w:tcPr>
            <w:tcW w:w="7277" w:type="dxa"/>
            <w:gridSpan w:val="5"/>
            <w:tcBorders>
              <w:top w:val="single" w:color="000000" w:sz="8" w:space="0"/>
              <w:left w:val="single" w:color="000000" w:sz="8" w:space="0"/>
              <w:bottom w:val="single" w:color="000000" w:sz="8" w:space="0"/>
              <w:right w:val="nil"/>
            </w:tcBorders>
            <w:noWrap w:val="0"/>
            <w:vAlign w:val="center"/>
          </w:tcPr>
          <w:p>
            <w:pPr>
              <w:pStyle w:val="79"/>
              <w:rPr>
                <w:rFonts w:hint="default" w:ascii="宋体" w:eastAsia="宋体" w:cs="Times New Roman"/>
              </w:rPr>
            </w:pPr>
            <w:r>
              <w:rPr>
                <w:rFonts w:hint="default" w:ascii="宋体" w:eastAsia="宋体" w:cs="Times New Roman"/>
              </w:rPr>
              <w:t>小量泄漏：用砂土、干燥</w:t>
            </w:r>
            <w:r>
              <w:rPr>
                <w:rFonts w:hint="default" w:ascii="宋体" w:eastAsia="宋体" w:cs="Times New Roman"/>
              </w:rPr>
              <w:fldChar w:fldCharType="begin"/>
            </w:r>
            <w:r>
              <w:rPr>
                <w:rFonts w:hint="default" w:ascii="宋体" w:eastAsia="宋体" w:cs="Times New Roman"/>
              </w:rPr>
              <w:instrText xml:space="preserve"> HYPERLINK "https://baike.baidu.com/item/%E7%9F%B3%E7%81%B0" \h </w:instrText>
            </w:r>
            <w:r>
              <w:rPr>
                <w:rFonts w:hint="default" w:ascii="宋体" w:eastAsia="宋体" w:cs="Times New Roman"/>
              </w:rPr>
              <w:fldChar w:fldCharType="separate"/>
            </w:r>
            <w:r>
              <w:rPr>
                <w:rFonts w:hint="default" w:ascii="宋体" w:eastAsia="宋体" w:cs="Times New Roman"/>
              </w:rPr>
              <w:t>石灰</w:t>
            </w:r>
            <w:r>
              <w:rPr>
                <w:rFonts w:hint="default" w:ascii="宋体" w:eastAsia="宋体" w:cs="Times New Roman"/>
              </w:rPr>
              <w:fldChar w:fldCharType="end"/>
            </w:r>
            <w:r>
              <w:rPr>
                <w:rFonts w:hint="default" w:ascii="宋体" w:eastAsia="宋体" w:cs="Times New Roman"/>
              </w:rPr>
              <w:t>或苏打灰混合。也可以用大量水冲洗，清水稀释后放入</w:t>
            </w:r>
            <w:r>
              <w:rPr>
                <w:rFonts w:hint="default" w:ascii="宋体" w:eastAsia="宋体" w:cs="Times New Roman"/>
              </w:rPr>
              <w:fldChar w:fldCharType="begin"/>
            </w:r>
            <w:r>
              <w:rPr>
                <w:rFonts w:hint="default" w:ascii="宋体" w:eastAsia="宋体" w:cs="Times New Roman"/>
              </w:rPr>
              <w:instrText xml:space="preserve"> HYPERLINK "https://baike.baidu.com/item/%E5%BA%9F%E6%B0%B4" \h </w:instrText>
            </w:r>
            <w:r>
              <w:rPr>
                <w:rFonts w:hint="default" w:ascii="宋体" w:eastAsia="宋体" w:cs="Times New Roman"/>
              </w:rPr>
              <w:fldChar w:fldCharType="separate"/>
            </w:r>
            <w:r>
              <w:rPr>
                <w:rFonts w:hint="default" w:ascii="宋体" w:eastAsia="宋体" w:cs="Times New Roman"/>
              </w:rPr>
              <w:t>废水</w:t>
            </w:r>
            <w:r>
              <w:rPr>
                <w:rFonts w:hint="default" w:ascii="宋体" w:eastAsia="宋体" w:cs="Times New Roman"/>
              </w:rPr>
              <w:fldChar w:fldCharType="end"/>
            </w:r>
            <w:r>
              <w:rPr>
                <w:rFonts w:hint="default" w:ascii="宋体" w:eastAsia="宋体" w:cs="Times New Roman"/>
              </w:rPr>
              <w:t>系统。</w:t>
            </w:r>
          </w:p>
        </w:tc>
      </w:tr>
      <w:tr>
        <w:trPr>
          <w:trHeight w:val="663" w:hRule="exact"/>
          <w:jc w:val="center"/>
        </w:trPr>
        <w:tc>
          <w:tcPr>
            <w:tcW w:w="1248" w:type="dxa"/>
            <w:vMerge w:val="continue"/>
            <w:tcBorders>
              <w:top w:val="single" w:color="000000" w:sz="8" w:space="0"/>
              <w:left w:val="nil"/>
              <w:bottom w:val="single" w:color="000000" w:sz="12" w:space="0"/>
              <w:right w:val="single" w:color="000000" w:sz="8" w:space="0"/>
            </w:tcBorders>
            <w:noWrap w:val="0"/>
            <w:vAlign w:val="center"/>
          </w:tcPr>
          <w:p>
            <w:pPr>
              <w:pStyle w:val="79"/>
              <w:rPr>
                <w:rFonts w:hint="default" w:ascii="宋体" w:eastAsia="宋体" w:cs="Times New Roman"/>
              </w:rPr>
            </w:pPr>
          </w:p>
        </w:tc>
        <w:tc>
          <w:tcPr>
            <w:tcW w:w="7277" w:type="dxa"/>
            <w:gridSpan w:val="5"/>
            <w:tcBorders>
              <w:top w:val="single" w:color="000000" w:sz="8" w:space="0"/>
              <w:left w:val="single" w:color="000000" w:sz="8" w:space="0"/>
              <w:bottom w:val="single" w:color="000000" w:sz="12" w:space="0"/>
              <w:right w:val="nil"/>
            </w:tcBorders>
            <w:noWrap w:val="0"/>
            <w:vAlign w:val="center"/>
          </w:tcPr>
          <w:p>
            <w:pPr>
              <w:pStyle w:val="79"/>
              <w:rPr>
                <w:rFonts w:hint="default" w:ascii="宋体" w:eastAsia="宋体" w:cs="Times New Roman"/>
              </w:rPr>
            </w:pPr>
            <w:r>
              <w:rPr>
                <w:rFonts w:hint="default" w:ascii="宋体" w:eastAsia="宋体" w:cs="Times New Roman"/>
              </w:rPr>
              <w:t>大量泄漏：构筑围堤或挖坑收容。用泵转移至</w:t>
            </w:r>
            <w:r>
              <w:rPr>
                <w:rFonts w:hint="default" w:ascii="宋体" w:eastAsia="宋体" w:cs="Times New Roman"/>
              </w:rPr>
              <w:fldChar w:fldCharType="begin"/>
            </w:r>
            <w:r>
              <w:rPr>
                <w:rFonts w:hint="default" w:ascii="宋体" w:eastAsia="宋体" w:cs="Times New Roman"/>
              </w:rPr>
              <w:instrText xml:space="preserve"> HYPERLINK "https://baike.baidu.com/item/%E6%A7%BD%E8%BD%A6" \h </w:instrText>
            </w:r>
            <w:r>
              <w:rPr>
                <w:rFonts w:hint="default" w:ascii="宋体" w:eastAsia="宋体" w:cs="Times New Roman"/>
              </w:rPr>
              <w:fldChar w:fldCharType="separate"/>
            </w:r>
            <w:r>
              <w:rPr>
                <w:rFonts w:hint="default" w:ascii="宋体" w:eastAsia="宋体" w:cs="Times New Roman"/>
              </w:rPr>
              <w:t>槽车</w:t>
            </w:r>
            <w:r>
              <w:rPr>
                <w:rFonts w:hint="default" w:ascii="宋体" w:eastAsia="宋体" w:cs="Times New Roman"/>
              </w:rPr>
              <w:fldChar w:fldCharType="end"/>
            </w:r>
            <w:r>
              <w:rPr>
                <w:rFonts w:hint="default" w:ascii="宋体" w:eastAsia="宋体" w:cs="Times New Roman"/>
              </w:rPr>
              <w:t>或专用收集器内，回收或运至废物处理场所处置。</w:t>
            </w:r>
          </w:p>
        </w:tc>
      </w:tr>
    </w:tbl>
    <w:p>
      <w:pPr>
        <w:adjustRightInd w:val="0"/>
        <w:snapToGrid w:val="0"/>
        <w:jc w:val="center"/>
        <w:rPr>
          <w:rStyle w:val="87"/>
          <w:rFonts w:ascii="Times New Roman" w:hAnsi="Times New Roman" w:eastAsia="宋体" w:cs="Times New Roman"/>
        </w:rPr>
      </w:pPr>
      <w:r>
        <w:rPr>
          <w:rStyle w:val="87"/>
          <w:rFonts w:ascii="Times New Roman" w:hAnsi="Times New Roman" w:eastAsia="宋体" w:cs="Times New Roman"/>
        </w:rPr>
        <w:t>表</w:t>
      </w:r>
      <w:r>
        <w:rPr>
          <w:rStyle w:val="87"/>
          <w:rFonts w:hint="eastAsia" w:eastAsia="宋体" w:cs="Times New Roman"/>
          <w:lang w:val="en-US"/>
        </w:rPr>
        <w:t>4.3</w:t>
      </w:r>
      <w:r>
        <w:rPr>
          <w:rStyle w:val="87"/>
          <w:rFonts w:ascii="Times New Roman" w:hAnsi="Times New Roman" w:eastAsia="宋体" w:cs="Times New Roman"/>
        </w:rPr>
        <w:t>-</w:t>
      </w:r>
      <w:r>
        <w:rPr>
          <w:rStyle w:val="87"/>
          <w:rFonts w:hint="eastAsia" w:eastAsia="宋体" w:cs="Times New Roman"/>
          <w:lang w:val="en-US"/>
        </w:rPr>
        <w:t>3</w:t>
      </w:r>
      <w:r>
        <w:rPr>
          <w:rStyle w:val="87"/>
          <w:rFonts w:ascii="Times New Roman" w:hAnsi="Times New Roman" w:eastAsia="宋体" w:cs="Times New Roman"/>
        </w:rPr>
        <w:t xml:space="preserve"> 物质</w:t>
      </w:r>
      <w:r>
        <w:rPr>
          <w:rStyle w:val="87"/>
          <w:rFonts w:hint="eastAsia" w:ascii="Times New Roman" w:hAnsi="Times New Roman" w:eastAsia="宋体" w:cs="Times New Roman"/>
        </w:rPr>
        <w:t>理化性质</w:t>
      </w:r>
    </w:p>
    <w:tbl>
      <w:tblPr>
        <w:tblStyle w:val="37"/>
        <w:tblW w:w="8664" w:type="dxa"/>
        <w:jc w:val="center"/>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Layout w:type="fixed"/>
        <w:tblCellMar>
          <w:top w:w="0" w:type="dxa"/>
          <w:left w:w="0" w:type="dxa"/>
          <w:bottom w:w="0" w:type="dxa"/>
          <w:right w:w="0" w:type="dxa"/>
        </w:tblCellMar>
      </w:tblPr>
      <w:tblGrid>
        <w:gridCol w:w="893"/>
        <w:gridCol w:w="1450"/>
        <w:gridCol w:w="1724"/>
        <w:gridCol w:w="1724"/>
        <w:gridCol w:w="1293"/>
        <w:gridCol w:w="1580"/>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292" w:hRule="exact"/>
          <w:jc w:val="center"/>
        </w:trPr>
        <w:tc>
          <w:tcPr>
            <w:tcW w:w="893" w:type="dxa"/>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名称</w:t>
            </w:r>
          </w:p>
        </w:tc>
        <w:tc>
          <w:tcPr>
            <w:tcW w:w="1450" w:type="dxa"/>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氢氧化钠</w:t>
            </w:r>
          </w:p>
        </w:tc>
        <w:tc>
          <w:tcPr>
            <w:tcW w:w="1724" w:type="dxa"/>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CAS号</w:t>
            </w:r>
          </w:p>
        </w:tc>
        <w:tc>
          <w:tcPr>
            <w:tcW w:w="1724" w:type="dxa"/>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1310-73-2</w:t>
            </w:r>
          </w:p>
        </w:tc>
        <w:tc>
          <w:tcPr>
            <w:tcW w:w="1293" w:type="dxa"/>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化学方程式</w:t>
            </w:r>
          </w:p>
        </w:tc>
        <w:tc>
          <w:tcPr>
            <w:tcW w:w="1580" w:type="dxa"/>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NaOH</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395" w:hRule="exact"/>
          <w:jc w:val="center"/>
        </w:trPr>
        <w:tc>
          <w:tcPr>
            <w:tcW w:w="893" w:type="dxa"/>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危险类别</w:t>
            </w:r>
          </w:p>
        </w:tc>
        <w:tc>
          <w:tcPr>
            <w:tcW w:w="1450" w:type="dxa"/>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腐蚀品</w:t>
            </w:r>
          </w:p>
        </w:tc>
        <w:tc>
          <w:tcPr>
            <w:tcW w:w="1724" w:type="dxa"/>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沸点</w:t>
            </w:r>
          </w:p>
        </w:tc>
        <w:tc>
          <w:tcPr>
            <w:tcW w:w="1724" w:type="dxa"/>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1390℃</w:t>
            </w:r>
          </w:p>
        </w:tc>
        <w:tc>
          <w:tcPr>
            <w:tcW w:w="1293" w:type="dxa"/>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熔点</w:t>
            </w:r>
          </w:p>
        </w:tc>
        <w:tc>
          <w:tcPr>
            <w:tcW w:w="1580" w:type="dxa"/>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318.4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1244" w:hRule="exact"/>
          <w:jc w:val="center"/>
        </w:trPr>
        <w:tc>
          <w:tcPr>
            <w:tcW w:w="893" w:type="dxa"/>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性质</w:t>
            </w:r>
          </w:p>
        </w:tc>
        <w:tc>
          <w:tcPr>
            <w:tcW w:w="7771" w:type="dxa"/>
            <w:gridSpan w:val="5"/>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氢氧化钠具有强碱性和有很强的</w:t>
            </w:r>
            <w:r>
              <w:rPr>
                <w:rFonts w:hint="default" w:ascii="Times New Roman" w:hAnsi="Times New Roman" w:eastAsia="宋体" w:cs="Times New Roman"/>
                <w:u w:val="none"/>
              </w:rPr>
              <w:fldChar w:fldCharType="begin"/>
            </w:r>
            <w:r>
              <w:rPr>
                <w:rFonts w:hint="default" w:ascii="Times New Roman" w:hAnsi="Times New Roman" w:eastAsia="宋体" w:cs="Times New Roman"/>
                <w:u w:val="none"/>
              </w:rPr>
              <w:instrText xml:space="preserve"> HYPERLINK "https://baike.baidu.com/item/%E5%90%B8%E6%B9%BF%E6%80%A7/10930709" \h </w:instrText>
            </w:r>
            <w:r>
              <w:rPr>
                <w:rFonts w:hint="default" w:ascii="Times New Roman" w:hAnsi="Times New Roman" w:eastAsia="宋体" w:cs="Times New Roman"/>
                <w:u w:val="none"/>
              </w:rPr>
              <w:fldChar w:fldCharType="separate"/>
            </w:r>
            <w:r>
              <w:rPr>
                <w:rFonts w:hint="default" w:ascii="Times New Roman" w:hAnsi="Times New Roman" w:eastAsia="宋体" w:cs="Times New Roman"/>
                <w:u w:val="none"/>
              </w:rPr>
              <w:t>吸湿性</w:t>
            </w:r>
            <w:r>
              <w:rPr>
                <w:rFonts w:hint="default" w:ascii="Times New Roman" w:hAnsi="Times New Roman" w:eastAsia="宋体" w:cs="Times New Roman"/>
                <w:u w:val="none"/>
              </w:rPr>
              <w:fldChar w:fldCharType="end"/>
            </w:r>
            <w:r>
              <w:rPr>
                <w:rFonts w:hint="default" w:ascii="Times New Roman" w:hAnsi="Times New Roman" w:eastAsia="宋体" w:cs="Times New Roman"/>
                <w:u w:val="none"/>
              </w:rPr>
              <w:t>。易溶于水，溶解时放热，水溶液呈碱性，</w:t>
            </w:r>
          </w:p>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有滑腻感；腐蚀性极强，对纤维、皮肤、玻璃、陶瓷等有腐蚀作用。与金属</w:t>
            </w:r>
            <w:r>
              <w:rPr>
                <w:rFonts w:hint="default" w:ascii="Times New Roman" w:hAnsi="Times New Roman" w:eastAsia="宋体" w:cs="Times New Roman"/>
                <w:u w:val="none"/>
              </w:rPr>
              <w:fldChar w:fldCharType="begin"/>
            </w:r>
            <w:r>
              <w:rPr>
                <w:rFonts w:hint="default" w:ascii="Times New Roman" w:hAnsi="Times New Roman" w:eastAsia="宋体" w:cs="Times New Roman"/>
                <w:u w:val="none"/>
              </w:rPr>
              <w:instrText xml:space="preserve"> HYPERLINK "https://baike.baidu.com/item/%E9%93%9D/7206938" \h </w:instrText>
            </w:r>
            <w:r>
              <w:rPr>
                <w:rFonts w:hint="default" w:ascii="Times New Roman" w:hAnsi="Times New Roman" w:eastAsia="宋体" w:cs="Times New Roman"/>
                <w:u w:val="none"/>
              </w:rPr>
              <w:fldChar w:fldCharType="separate"/>
            </w:r>
            <w:r>
              <w:rPr>
                <w:rFonts w:hint="default" w:ascii="Times New Roman" w:hAnsi="Times New Roman" w:eastAsia="宋体" w:cs="Times New Roman"/>
                <w:u w:val="none"/>
              </w:rPr>
              <w:t>铝</w:t>
            </w:r>
            <w:r>
              <w:rPr>
                <w:rFonts w:hint="default" w:ascii="Times New Roman" w:hAnsi="Times New Roman" w:eastAsia="宋体" w:cs="Times New Roman"/>
                <w:u w:val="none"/>
              </w:rPr>
              <w:fldChar w:fldCharType="end"/>
            </w:r>
            <w:r>
              <w:rPr>
                <w:rFonts w:hint="default" w:ascii="Times New Roman" w:hAnsi="Times New Roman" w:eastAsia="宋体" w:cs="Times New Roman"/>
                <w:u w:val="none"/>
              </w:rPr>
              <w:t>和</w:t>
            </w:r>
          </w:p>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fldChar w:fldCharType="begin"/>
            </w:r>
            <w:r>
              <w:rPr>
                <w:rFonts w:hint="default" w:ascii="Times New Roman" w:hAnsi="Times New Roman" w:eastAsia="宋体" w:cs="Times New Roman"/>
                <w:u w:val="none"/>
              </w:rPr>
              <w:instrText xml:space="preserve"> HYPERLINK "https://baike.baidu.com/item/%E9%94%8C/171194" \h </w:instrText>
            </w:r>
            <w:r>
              <w:rPr>
                <w:rFonts w:hint="default" w:ascii="Times New Roman" w:hAnsi="Times New Roman" w:eastAsia="宋体" w:cs="Times New Roman"/>
                <w:u w:val="none"/>
              </w:rPr>
              <w:fldChar w:fldCharType="separate"/>
            </w:r>
            <w:r>
              <w:rPr>
                <w:rFonts w:hint="default" w:ascii="Times New Roman" w:hAnsi="Times New Roman" w:eastAsia="宋体" w:cs="Times New Roman"/>
                <w:u w:val="none"/>
              </w:rPr>
              <w:t>锌</w:t>
            </w:r>
            <w:r>
              <w:rPr>
                <w:rFonts w:hint="default" w:ascii="Times New Roman" w:hAnsi="Times New Roman" w:eastAsia="宋体" w:cs="Times New Roman"/>
                <w:u w:val="none"/>
              </w:rPr>
              <w:fldChar w:fldCharType="end"/>
            </w:r>
            <w:r>
              <w:rPr>
                <w:rFonts w:hint="default" w:ascii="Times New Roman" w:hAnsi="Times New Roman" w:eastAsia="宋体" w:cs="Times New Roman"/>
                <w:u w:val="none"/>
              </w:rPr>
              <w:t>、非金属</w:t>
            </w:r>
            <w:r>
              <w:rPr>
                <w:rFonts w:hint="default" w:ascii="Times New Roman" w:hAnsi="Times New Roman" w:eastAsia="宋体" w:cs="Times New Roman"/>
                <w:u w:val="none"/>
              </w:rPr>
              <w:fldChar w:fldCharType="begin"/>
            </w:r>
            <w:r>
              <w:rPr>
                <w:rFonts w:hint="default" w:ascii="Times New Roman" w:hAnsi="Times New Roman" w:eastAsia="宋体" w:cs="Times New Roman"/>
                <w:u w:val="none"/>
              </w:rPr>
              <w:instrText xml:space="preserve"> HYPERLINK "https://baike.baidu.com/item/%E7%A1%BC/400485" \h </w:instrText>
            </w:r>
            <w:r>
              <w:rPr>
                <w:rFonts w:hint="default" w:ascii="Times New Roman" w:hAnsi="Times New Roman" w:eastAsia="宋体" w:cs="Times New Roman"/>
                <w:u w:val="none"/>
              </w:rPr>
              <w:fldChar w:fldCharType="separate"/>
            </w:r>
            <w:r>
              <w:rPr>
                <w:rFonts w:hint="default" w:ascii="Times New Roman" w:hAnsi="Times New Roman" w:eastAsia="宋体" w:cs="Times New Roman"/>
                <w:u w:val="none"/>
              </w:rPr>
              <w:t>硼</w:t>
            </w:r>
            <w:r>
              <w:rPr>
                <w:rFonts w:hint="default" w:ascii="Times New Roman" w:hAnsi="Times New Roman" w:eastAsia="宋体" w:cs="Times New Roman"/>
                <w:u w:val="none"/>
              </w:rPr>
              <w:fldChar w:fldCharType="end"/>
            </w:r>
            <w:r>
              <w:rPr>
                <w:rFonts w:hint="default" w:ascii="Times New Roman" w:hAnsi="Times New Roman" w:eastAsia="宋体" w:cs="Times New Roman"/>
                <w:u w:val="none"/>
              </w:rPr>
              <w:t>和</w:t>
            </w:r>
            <w:r>
              <w:rPr>
                <w:rFonts w:hint="default" w:ascii="Times New Roman" w:hAnsi="Times New Roman" w:eastAsia="宋体" w:cs="Times New Roman"/>
                <w:u w:val="none"/>
              </w:rPr>
              <w:fldChar w:fldCharType="begin"/>
            </w:r>
            <w:r>
              <w:rPr>
                <w:rFonts w:hint="default" w:ascii="Times New Roman" w:hAnsi="Times New Roman" w:eastAsia="宋体" w:cs="Times New Roman"/>
                <w:u w:val="none"/>
              </w:rPr>
              <w:instrText xml:space="preserve"> HYPERLINK "https://baike.baidu.com/item/%E7%A1%85/2142941" \h </w:instrText>
            </w:r>
            <w:r>
              <w:rPr>
                <w:rFonts w:hint="default" w:ascii="Times New Roman" w:hAnsi="Times New Roman" w:eastAsia="宋体" w:cs="Times New Roman"/>
                <w:u w:val="none"/>
              </w:rPr>
              <w:fldChar w:fldCharType="separate"/>
            </w:r>
            <w:r>
              <w:rPr>
                <w:rFonts w:hint="default" w:ascii="Times New Roman" w:hAnsi="Times New Roman" w:eastAsia="宋体" w:cs="Times New Roman"/>
                <w:u w:val="none"/>
              </w:rPr>
              <w:t>硅</w:t>
            </w:r>
            <w:r>
              <w:rPr>
                <w:rFonts w:hint="default" w:ascii="Times New Roman" w:hAnsi="Times New Roman" w:eastAsia="宋体" w:cs="Times New Roman"/>
                <w:u w:val="none"/>
              </w:rPr>
              <w:fldChar w:fldCharType="end"/>
            </w:r>
            <w:r>
              <w:rPr>
                <w:rFonts w:hint="default" w:ascii="Times New Roman" w:hAnsi="Times New Roman" w:eastAsia="宋体" w:cs="Times New Roman"/>
                <w:u w:val="none"/>
              </w:rPr>
              <w:t>等反应放出氢；与</w:t>
            </w:r>
            <w:r>
              <w:rPr>
                <w:rFonts w:hint="default" w:ascii="Times New Roman" w:hAnsi="Times New Roman" w:eastAsia="宋体" w:cs="Times New Roman"/>
                <w:u w:val="none"/>
              </w:rPr>
              <w:fldChar w:fldCharType="begin"/>
            </w:r>
            <w:r>
              <w:rPr>
                <w:rFonts w:hint="default" w:ascii="Times New Roman" w:hAnsi="Times New Roman" w:eastAsia="宋体" w:cs="Times New Roman"/>
                <w:u w:val="none"/>
              </w:rPr>
              <w:instrText xml:space="preserve"> HYPERLINK "https://baike.baidu.com/item/%E6%B0%AF/721741" \h </w:instrText>
            </w:r>
            <w:r>
              <w:rPr>
                <w:rFonts w:hint="default" w:ascii="Times New Roman" w:hAnsi="Times New Roman" w:eastAsia="宋体" w:cs="Times New Roman"/>
                <w:u w:val="none"/>
              </w:rPr>
              <w:fldChar w:fldCharType="separate"/>
            </w:r>
            <w:r>
              <w:rPr>
                <w:rFonts w:hint="default" w:ascii="Times New Roman" w:hAnsi="Times New Roman" w:eastAsia="宋体" w:cs="Times New Roman"/>
                <w:u w:val="none"/>
              </w:rPr>
              <w:t>氯</w:t>
            </w:r>
            <w:r>
              <w:rPr>
                <w:rFonts w:hint="default" w:ascii="Times New Roman" w:hAnsi="Times New Roman" w:eastAsia="宋体" w:cs="Times New Roman"/>
                <w:u w:val="none"/>
              </w:rPr>
              <w:fldChar w:fldCharType="end"/>
            </w:r>
            <w:r>
              <w:rPr>
                <w:rFonts w:hint="default" w:ascii="Times New Roman" w:hAnsi="Times New Roman" w:eastAsia="宋体" w:cs="Times New Roman"/>
                <w:u w:val="none"/>
              </w:rPr>
              <w:t>、</w:t>
            </w:r>
            <w:r>
              <w:rPr>
                <w:rFonts w:hint="default" w:ascii="Times New Roman" w:hAnsi="Times New Roman" w:eastAsia="宋体" w:cs="Times New Roman"/>
                <w:u w:val="none"/>
              </w:rPr>
              <w:fldChar w:fldCharType="begin"/>
            </w:r>
            <w:r>
              <w:rPr>
                <w:rFonts w:hint="default" w:ascii="Times New Roman" w:hAnsi="Times New Roman" w:eastAsia="宋体" w:cs="Times New Roman"/>
                <w:u w:val="none"/>
              </w:rPr>
              <w:instrText xml:space="preserve"> HYPERLINK "https://baike.baidu.com/item/%E6%BA%B4/85149" \h </w:instrText>
            </w:r>
            <w:r>
              <w:rPr>
                <w:rFonts w:hint="default" w:ascii="Times New Roman" w:hAnsi="Times New Roman" w:eastAsia="宋体" w:cs="Times New Roman"/>
                <w:u w:val="none"/>
              </w:rPr>
              <w:fldChar w:fldCharType="separate"/>
            </w:r>
            <w:r>
              <w:rPr>
                <w:rFonts w:hint="default" w:ascii="Times New Roman" w:hAnsi="Times New Roman" w:eastAsia="宋体" w:cs="Times New Roman"/>
                <w:u w:val="none"/>
              </w:rPr>
              <w:t>溴</w:t>
            </w:r>
            <w:r>
              <w:rPr>
                <w:rFonts w:hint="default" w:ascii="Times New Roman" w:hAnsi="Times New Roman" w:eastAsia="宋体" w:cs="Times New Roman"/>
                <w:u w:val="none"/>
              </w:rPr>
              <w:fldChar w:fldCharType="end"/>
            </w:r>
            <w:r>
              <w:rPr>
                <w:rFonts w:hint="default" w:ascii="Times New Roman" w:hAnsi="Times New Roman" w:eastAsia="宋体" w:cs="Times New Roman"/>
                <w:u w:val="none"/>
              </w:rPr>
              <w:t>、</w:t>
            </w:r>
            <w:r>
              <w:rPr>
                <w:rFonts w:hint="default" w:ascii="Times New Roman" w:hAnsi="Times New Roman" w:eastAsia="宋体" w:cs="Times New Roman"/>
                <w:u w:val="none"/>
              </w:rPr>
              <w:fldChar w:fldCharType="begin"/>
            </w:r>
            <w:r>
              <w:rPr>
                <w:rFonts w:hint="default" w:ascii="Times New Roman" w:hAnsi="Times New Roman" w:eastAsia="宋体" w:cs="Times New Roman"/>
                <w:u w:val="none"/>
              </w:rPr>
              <w:instrText xml:space="preserve"> HYPERLINK "https://baike.baidu.com/item/%E7%A2%98/457545" \h </w:instrText>
            </w:r>
            <w:r>
              <w:rPr>
                <w:rFonts w:hint="default" w:ascii="Times New Roman" w:hAnsi="Times New Roman" w:eastAsia="宋体" w:cs="Times New Roman"/>
                <w:u w:val="none"/>
              </w:rPr>
              <w:fldChar w:fldCharType="separate"/>
            </w:r>
            <w:r>
              <w:rPr>
                <w:rFonts w:hint="default" w:ascii="Times New Roman" w:hAnsi="Times New Roman" w:eastAsia="宋体" w:cs="Times New Roman"/>
                <w:u w:val="none"/>
              </w:rPr>
              <w:t>碘</w:t>
            </w:r>
            <w:r>
              <w:rPr>
                <w:rFonts w:hint="default" w:ascii="Times New Roman" w:hAnsi="Times New Roman" w:eastAsia="宋体" w:cs="Times New Roman"/>
                <w:u w:val="none"/>
              </w:rPr>
              <w:fldChar w:fldCharType="end"/>
            </w:r>
            <w:r>
              <w:rPr>
                <w:rFonts w:hint="default" w:ascii="Times New Roman" w:hAnsi="Times New Roman" w:eastAsia="宋体" w:cs="Times New Roman"/>
                <w:u w:val="none"/>
              </w:rPr>
              <w:t>等卤素发生</w:t>
            </w:r>
            <w:r>
              <w:rPr>
                <w:rFonts w:hint="default" w:ascii="Times New Roman" w:hAnsi="Times New Roman" w:eastAsia="宋体" w:cs="Times New Roman"/>
                <w:u w:val="none"/>
              </w:rPr>
              <w:fldChar w:fldCharType="begin"/>
            </w:r>
            <w:r>
              <w:rPr>
                <w:rFonts w:hint="default" w:ascii="Times New Roman" w:hAnsi="Times New Roman" w:eastAsia="宋体" w:cs="Times New Roman"/>
                <w:u w:val="none"/>
              </w:rPr>
              <w:instrText xml:space="preserve"> HYPERLINK "https://baike.baidu.com/item/%E6%AD%A7%E5%8C%96%E5%8F%8D%E5%BA%94/9066087" \h </w:instrText>
            </w:r>
            <w:r>
              <w:rPr>
                <w:rFonts w:hint="default" w:ascii="Times New Roman" w:hAnsi="Times New Roman" w:eastAsia="宋体" w:cs="Times New Roman"/>
                <w:u w:val="none"/>
              </w:rPr>
              <w:fldChar w:fldCharType="separate"/>
            </w:r>
            <w:r>
              <w:rPr>
                <w:rFonts w:hint="default" w:ascii="Times New Roman" w:hAnsi="Times New Roman" w:eastAsia="宋体" w:cs="Times New Roman"/>
                <w:u w:val="none"/>
              </w:rPr>
              <w:t>歧化反应</w:t>
            </w:r>
            <w:r>
              <w:rPr>
                <w:rFonts w:hint="default" w:ascii="Times New Roman" w:hAnsi="Times New Roman" w:eastAsia="宋体" w:cs="Times New Roman"/>
                <w:u w:val="none"/>
              </w:rPr>
              <w:fldChar w:fldCharType="end"/>
            </w:r>
            <w:r>
              <w:rPr>
                <w:rFonts w:hint="default" w:ascii="Times New Roman" w:hAnsi="Times New Roman" w:eastAsia="宋体" w:cs="Times New Roman"/>
                <w:u w:val="none"/>
              </w:rPr>
              <w:t>；与酸类起</w:t>
            </w:r>
          </w:p>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中和作用而生成盐和水。</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PrEx>
        <w:trPr>
          <w:trHeight w:val="1476" w:hRule="exact"/>
          <w:jc w:val="center"/>
        </w:trPr>
        <w:tc>
          <w:tcPr>
            <w:tcW w:w="893" w:type="dxa"/>
            <w:tcBorders>
              <w:tl2br w:val="nil"/>
              <w:tr2bl w:val="nil"/>
            </w:tcBorders>
            <w:noWrap w:val="0"/>
            <w:vAlign w:val="center"/>
          </w:tcPr>
          <w:p>
            <w:pPr>
              <w:pStyle w:val="79"/>
              <w:jc w:val="center"/>
              <w:rPr>
                <w:rFonts w:hint="default" w:ascii="Times New Roman" w:hAnsi="Times New Roman" w:eastAsia="宋体" w:cs="Times New Roman"/>
                <w:u w:val="none"/>
              </w:rPr>
            </w:pPr>
          </w:p>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毒理资料</w:t>
            </w:r>
          </w:p>
        </w:tc>
        <w:tc>
          <w:tcPr>
            <w:tcW w:w="7771" w:type="dxa"/>
            <w:gridSpan w:val="5"/>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氢氧化钠属中等毒性。其危险特性为：遇水和水蒸气大量放热，形成腐蚀性溶液。</w:t>
            </w:r>
          </w:p>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与酸发生中和反应并放热。具有强腐蚀性。燃烧（分解）产物：可能产生有害的</w:t>
            </w:r>
          </w:p>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毒性烟雾。其侵入途径为：吸入、食入。其健康危害为：有强烈刺激和腐蚀性。</w:t>
            </w:r>
          </w:p>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粉尘或烟雾刺激眼和呼吸道，腐蚀鼻中隔；皮肤和眼直接接触可引起灼伤；误服</w:t>
            </w:r>
          </w:p>
          <w:p>
            <w:pPr>
              <w:pStyle w:val="79"/>
              <w:jc w:val="center"/>
              <w:rPr>
                <w:rFonts w:hint="eastAsia" w:ascii="Times New Roman" w:hAnsi="Times New Roman" w:eastAsia="宋体" w:cs="Times New Roman"/>
                <w:u w:val="none"/>
                <w:lang w:eastAsia="zh-CN"/>
              </w:rPr>
            </w:pPr>
            <w:r>
              <w:rPr>
                <w:rFonts w:hint="default" w:ascii="Times New Roman" w:hAnsi="Times New Roman" w:eastAsia="宋体" w:cs="Times New Roman"/>
                <w:u w:val="none"/>
              </w:rPr>
              <w:t>可造成消化道灼伤，粘膜糜烂、出血和休克</w:t>
            </w:r>
            <w:r>
              <w:rPr>
                <w:rFonts w:hint="eastAsia" w:ascii="Times New Roman" w:hAnsi="Times New Roman" w:cs="Times New Roman"/>
                <w:u w:val="none"/>
                <w:lang w:eastAsia="zh-CN"/>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845" w:hRule="exact"/>
          <w:jc w:val="center"/>
        </w:trPr>
        <w:tc>
          <w:tcPr>
            <w:tcW w:w="893" w:type="dxa"/>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储存</w:t>
            </w:r>
          </w:p>
        </w:tc>
        <w:tc>
          <w:tcPr>
            <w:tcW w:w="7771" w:type="dxa"/>
            <w:gridSpan w:val="5"/>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氢氧化钠应储存于阴凉、干燥、通风良好的库房。应远离火种、热源。库温不超</w:t>
            </w:r>
          </w:p>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过35℃，相对湿度不超过80%。包装必须密封，切勿受潮。应与易（可）燃物、</w:t>
            </w:r>
          </w:p>
          <w:p>
            <w:pPr>
              <w:pStyle w:val="79"/>
              <w:jc w:val="center"/>
              <w:rPr>
                <w:rFonts w:hint="eastAsia" w:ascii="Times New Roman" w:hAnsi="Times New Roman" w:eastAsia="宋体" w:cs="Times New Roman"/>
                <w:u w:val="none"/>
                <w:lang w:eastAsia="zh-CN"/>
              </w:rPr>
            </w:pPr>
            <w:r>
              <w:rPr>
                <w:rFonts w:hint="default" w:ascii="Times New Roman" w:hAnsi="Times New Roman" w:eastAsia="宋体" w:cs="Times New Roman"/>
                <w:u w:val="none"/>
              </w:rPr>
              <w:t>酸类等分开存放，切忌混储。储区应备有合适的材料收容泄漏物</w:t>
            </w:r>
            <w:r>
              <w:rPr>
                <w:rFonts w:hint="eastAsia" w:ascii="Times New Roman" w:hAnsi="Times New Roman" w:cs="Times New Roman"/>
                <w:u w:val="none"/>
                <w:lang w:eastAsia="zh-CN"/>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1080" w:hRule="exact"/>
          <w:jc w:val="center"/>
        </w:trPr>
        <w:tc>
          <w:tcPr>
            <w:tcW w:w="893" w:type="dxa"/>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急救措施</w:t>
            </w:r>
          </w:p>
        </w:tc>
        <w:tc>
          <w:tcPr>
            <w:tcW w:w="7771" w:type="dxa"/>
            <w:gridSpan w:val="5"/>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眼睛接触：应立即提起眼睑，用流动清水或</w:t>
            </w:r>
            <w:r>
              <w:rPr>
                <w:rFonts w:hint="default" w:ascii="Times New Roman" w:hAnsi="Times New Roman" w:eastAsia="宋体" w:cs="Times New Roman"/>
                <w:u w:val="none"/>
              </w:rPr>
              <w:fldChar w:fldCharType="begin"/>
            </w:r>
            <w:r>
              <w:rPr>
                <w:rFonts w:hint="default" w:ascii="Times New Roman" w:hAnsi="Times New Roman" w:eastAsia="宋体" w:cs="Times New Roman"/>
                <w:u w:val="none"/>
              </w:rPr>
              <w:instrText xml:space="preserve"> HYPERLINK "https://baike.baidu.com/item/%E7%94%9F%E7%90%86%E7%9B%90%E6%B0%B4/1407814" \h </w:instrText>
            </w:r>
            <w:r>
              <w:rPr>
                <w:rFonts w:hint="default" w:ascii="Times New Roman" w:hAnsi="Times New Roman" w:eastAsia="宋体" w:cs="Times New Roman"/>
                <w:u w:val="none"/>
              </w:rPr>
              <w:fldChar w:fldCharType="separate"/>
            </w:r>
            <w:r>
              <w:rPr>
                <w:rFonts w:hint="default" w:ascii="Times New Roman" w:hAnsi="Times New Roman" w:eastAsia="宋体" w:cs="Times New Roman"/>
                <w:u w:val="none"/>
              </w:rPr>
              <w:t>生理盐水</w:t>
            </w:r>
            <w:r>
              <w:rPr>
                <w:rFonts w:hint="default" w:ascii="Times New Roman" w:hAnsi="Times New Roman" w:eastAsia="宋体" w:cs="Times New Roman"/>
                <w:u w:val="none"/>
              </w:rPr>
              <w:fldChar w:fldCharType="end"/>
            </w:r>
            <w:r>
              <w:rPr>
                <w:rFonts w:hint="default" w:ascii="Times New Roman" w:hAnsi="Times New Roman" w:eastAsia="宋体" w:cs="Times New Roman"/>
                <w:u w:val="none"/>
              </w:rPr>
              <w:t>冲洗至少15分钟，或用3%</w:t>
            </w:r>
            <w:r>
              <w:rPr>
                <w:rFonts w:hint="default" w:ascii="Times New Roman" w:hAnsi="Times New Roman" w:eastAsia="宋体" w:cs="Times New Roman"/>
                <w:u w:val="none"/>
              </w:rPr>
              <w:fldChar w:fldCharType="begin"/>
            </w:r>
            <w:r>
              <w:rPr>
                <w:rFonts w:hint="default" w:ascii="Times New Roman" w:hAnsi="Times New Roman" w:eastAsia="宋体" w:cs="Times New Roman"/>
                <w:u w:val="none"/>
              </w:rPr>
              <w:instrText xml:space="preserve"> HYPERLINK "https://baike.baidu.com/item/%E7%A1%BC%E9%85%B8/1132205" \h </w:instrText>
            </w:r>
            <w:r>
              <w:rPr>
                <w:rFonts w:hint="default" w:ascii="Times New Roman" w:hAnsi="Times New Roman" w:eastAsia="宋体" w:cs="Times New Roman"/>
                <w:u w:val="none"/>
              </w:rPr>
              <w:fldChar w:fldCharType="separate"/>
            </w:r>
            <w:r>
              <w:rPr>
                <w:rFonts w:hint="default" w:ascii="Times New Roman" w:hAnsi="Times New Roman" w:eastAsia="宋体" w:cs="Times New Roman"/>
                <w:u w:val="none"/>
              </w:rPr>
              <w:t>硼酸</w:t>
            </w:r>
            <w:r>
              <w:rPr>
                <w:rFonts w:hint="default" w:ascii="Times New Roman" w:hAnsi="Times New Roman" w:eastAsia="宋体" w:cs="Times New Roman"/>
                <w:u w:val="none"/>
              </w:rPr>
              <w:fldChar w:fldCharType="end"/>
            </w:r>
            <w:r>
              <w:rPr>
                <w:rFonts w:hint="default" w:ascii="Times New Roman" w:hAnsi="Times New Roman" w:eastAsia="宋体" w:cs="Times New Roman"/>
                <w:u w:val="none"/>
              </w:rPr>
              <w:t>溶液冲洗，迅速就医。吸入：迅速脱离现场值空气新鲜处。必要时进行人工呼吸，迅速就医。食入：患者清醒时立即漱口，口服稀释的醋或柠檬汁，迅速就</w:t>
            </w:r>
          </w:p>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4" w:space="0"/>
          </w:tblBorders>
          <w:tblCellMar>
            <w:top w:w="0" w:type="dxa"/>
            <w:left w:w="0" w:type="dxa"/>
            <w:bottom w:w="0" w:type="dxa"/>
            <w:right w:w="0" w:type="dxa"/>
          </w:tblCellMar>
        </w:tblPrEx>
        <w:trPr>
          <w:trHeight w:val="739" w:hRule="exact"/>
          <w:jc w:val="center"/>
        </w:trPr>
        <w:tc>
          <w:tcPr>
            <w:tcW w:w="893" w:type="dxa"/>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泄露处</w:t>
            </w:r>
          </w:p>
        </w:tc>
        <w:tc>
          <w:tcPr>
            <w:tcW w:w="7771" w:type="dxa"/>
            <w:gridSpan w:val="5"/>
            <w:tcBorders>
              <w:tl2br w:val="nil"/>
              <w:tr2bl w:val="nil"/>
            </w:tcBorders>
            <w:noWrap w:val="0"/>
            <w:vAlign w:val="center"/>
          </w:tcPr>
          <w:p>
            <w:pPr>
              <w:pStyle w:val="79"/>
              <w:jc w:val="center"/>
              <w:rPr>
                <w:rFonts w:hint="default" w:ascii="Times New Roman" w:hAnsi="Times New Roman" w:eastAsia="宋体" w:cs="Times New Roman"/>
                <w:u w:val="none"/>
              </w:rPr>
            </w:pPr>
            <w:r>
              <w:rPr>
                <w:rFonts w:hint="default" w:ascii="Times New Roman" w:hAnsi="Times New Roman" w:eastAsia="宋体" w:cs="Times New Roman"/>
                <w:u w:val="none"/>
              </w:rPr>
              <w:t>隔离泄漏污染区，周围设警告标志，建议应急处理人员戴好防毒面具，穿化学防</w:t>
            </w:r>
          </w:p>
        </w:tc>
      </w:tr>
    </w:tbl>
    <w:p>
      <w:pPr>
        <w:pStyle w:val="81"/>
        <w:numPr>
          <w:ilvl w:val="0"/>
          <w:numId w:val="0"/>
        </w:numPr>
        <w:rPr>
          <w:rFonts w:hint="eastAsia"/>
          <w:color w:val="000000"/>
        </w:rPr>
      </w:pPr>
      <w:r>
        <w:rPr>
          <w:rFonts w:hint="eastAsia"/>
          <w:color w:val="000000"/>
          <w:lang w:eastAsia="zh-CN"/>
        </w:rPr>
        <w:t>（</w:t>
      </w:r>
      <w:r>
        <w:rPr>
          <w:rFonts w:hint="eastAsia"/>
          <w:color w:val="000000"/>
          <w:lang w:val="en-US" w:eastAsia="zh-CN"/>
        </w:rPr>
        <w:t>2</w:t>
      </w:r>
      <w:r>
        <w:rPr>
          <w:rFonts w:hint="eastAsia"/>
          <w:color w:val="000000"/>
          <w:lang w:eastAsia="zh-CN"/>
        </w:rPr>
        <w:t>）</w:t>
      </w:r>
      <w:r>
        <w:rPr>
          <w:rFonts w:hint="eastAsia"/>
          <w:color w:val="000000"/>
        </w:rPr>
        <w:t>生产系统危险性识别</w:t>
      </w:r>
    </w:p>
    <w:p>
      <w:pPr>
        <w:ind w:firstLine="480"/>
        <w:rPr>
          <w:rFonts w:hint="eastAsia" w:ascii="Times New Roman" w:hAnsi="Times New Roman" w:eastAsia="宋体" w:cs="Times New Roman"/>
          <w:color w:val="000000"/>
        </w:rPr>
      </w:pPr>
      <w:r>
        <w:rPr>
          <w:rFonts w:hint="eastAsia" w:ascii="Times New Roman" w:hAnsi="Times New Roman" w:eastAsia="宋体" w:cs="Times New Roman"/>
          <w:color w:val="000000"/>
        </w:rPr>
        <w:t>本项目主要是</w:t>
      </w:r>
      <w:r>
        <w:rPr>
          <w:rFonts w:hint="eastAsia" w:ascii="Times New Roman" w:hAnsi="Times New Roman" w:eastAsia="宋体" w:cs="Times New Roman"/>
          <w:color w:val="000000"/>
          <w:lang w:eastAsia="zh-CN"/>
        </w:rPr>
        <w:t>处理重金属废水</w:t>
      </w:r>
      <w:r>
        <w:rPr>
          <w:rFonts w:hint="eastAsia" w:ascii="Times New Roman" w:hAnsi="Times New Roman" w:eastAsia="宋体" w:cs="Times New Roman"/>
          <w:color w:val="000000"/>
        </w:rPr>
        <w:t>。根据对环境风险物质的筛选和工艺流程确定风险单元主要为：</w:t>
      </w:r>
    </w:p>
    <w:p>
      <w:pPr>
        <w:rPr>
          <w:rFonts w:hint="default"/>
          <w:lang w:val="en-US" w:eastAsia="zh-CN"/>
        </w:rPr>
      </w:pPr>
      <w:r>
        <w:rPr>
          <w:rFonts w:hint="default"/>
          <w:lang w:val="en-US" w:eastAsia="zh-CN"/>
        </w:rPr>
        <w:t>1）进出厂水质、水量发生变化，造成出水水质超标。</w:t>
      </w:r>
    </w:p>
    <w:p>
      <w:pPr>
        <w:rPr>
          <w:rFonts w:hint="default"/>
          <w:lang w:val="en-US" w:eastAsia="zh-CN"/>
        </w:rPr>
      </w:pPr>
      <w:r>
        <w:rPr>
          <w:rFonts w:hint="default"/>
          <w:lang w:val="en-US" w:eastAsia="zh-CN"/>
        </w:rPr>
        <w:t>2）污水处理</w:t>
      </w:r>
      <w:r>
        <w:rPr>
          <w:rFonts w:hint="eastAsia"/>
          <w:lang w:val="en-US" w:eastAsia="zh-CN"/>
        </w:rPr>
        <w:t>站</w:t>
      </w:r>
      <w:r>
        <w:rPr>
          <w:rFonts w:hint="default"/>
          <w:lang w:val="en-US" w:eastAsia="zh-CN"/>
        </w:rPr>
        <w:t>一旦出现机械故障或停电，处理装置运转不正常而导致出水超标。</w:t>
      </w:r>
    </w:p>
    <w:p>
      <w:pPr>
        <w:rPr>
          <w:rFonts w:hint="default"/>
          <w:lang w:val="en-US" w:eastAsia="zh-CN"/>
        </w:rPr>
      </w:pPr>
      <w:r>
        <w:rPr>
          <w:rFonts w:hint="default"/>
          <w:lang w:val="en-US" w:eastAsia="zh-CN"/>
        </w:rPr>
        <w:t xml:space="preserve">3）污水管网破裂损坏导致污水直接排放。 </w:t>
      </w:r>
    </w:p>
    <w:p>
      <w:pPr>
        <w:rPr>
          <w:rFonts w:hint="default"/>
          <w:lang w:val="en-US" w:eastAsia="zh-CN"/>
        </w:rPr>
      </w:pPr>
      <w:r>
        <w:rPr>
          <w:rFonts w:hint="default"/>
          <w:lang w:val="en-US" w:eastAsia="zh-CN"/>
        </w:rPr>
        <w:t>4）污泥膨胀会严重影响污水处理设施的处理效果，甚至完全失效。</w:t>
      </w:r>
    </w:p>
    <w:p>
      <w:pPr>
        <w:rPr>
          <w:rFonts w:hint="default"/>
          <w:lang w:val="en-US" w:eastAsia="zh-CN"/>
        </w:rPr>
      </w:pPr>
      <w:r>
        <w:rPr>
          <w:rFonts w:hint="default"/>
          <w:lang w:val="en-US" w:eastAsia="zh-CN"/>
        </w:rPr>
        <w:t>5）管道、集水井和污泥处理系统维修风险。</w:t>
      </w:r>
    </w:p>
    <w:p>
      <w:pPr>
        <w:pStyle w:val="81"/>
        <w:numPr>
          <w:ilvl w:val="0"/>
          <w:numId w:val="0"/>
        </w:numPr>
        <w:rPr>
          <w:rFonts w:hint="eastAsia" w:ascii="Times New Roman" w:hAnsi="Times New Roman" w:eastAsia="宋体" w:cs="Times New Roman"/>
          <w:b/>
          <w:color w:val="000000"/>
          <w:lang w:val="en-US" w:eastAsia="zh-CN"/>
        </w:rPr>
      </w:pPr>
      <w:r>
        <w:rPr>
          <w:rFonts w:hint="eastAsia" w:ascii="Times New Roman" w:hAnsi="Times New Roman" w:eastAsia="宋体" w:cs="Times New Roman"/>
          <w:b/>
          <w:color w:val="000000"/>
          <w:lang w:val="en-US" w:eastAsia="zh-CN"/>
        </w:rPr>
        <w:t>（3）危险物质向环境转移的途径识别</w:t>
      </w:r>
    </w:p>
    <w:p>
      <w:pPr>
        <w:pStyle w:val="12"/>
        <w:rPr>
          <w:rFonts w:hint="eastAsia"/>
          <w:lang w:val="en-US" w:eastAsia="zh-CN"/>
        </w:rPr>
      </w:pPr>
      <w:r>
        <w:rPr>
          <w:rFonts w:hint="eastAsia"/>
          <w:lang w:val="en-US" w:eastAsia="zh-CN"/>
        </w:rPr>
        <w:t>根据工程分析及风险物质识别，本项目正产生产过程中会产生的危险物质为储药房的盐酸，污水处理构筑物内的重金属废水，污泥脱水间污泥，污泥浓缩池、脱水间的污泥，危险物质向环境转移主要是各类风险物质泄漏至土壤、地下水、地表水。从而转移至环境中。</w:t>
      </w:r>
    </w:p>
    <w:p>
      <w:pPr>
        <w:pStyle w:val="81"/>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4.3.4环境敏感目标概况</w:t>
      </w:r>
    </w:p>
    <w:p>
      <w:pPr>
        <w:widowControl w:val="0"/>
        <w:suppressAutoHyphens/>
        <w:topLinePunct/>
        <w:ind w:firstLine="480"/>
        <w:jc w:val="both"/>
        <w:rPr>
          <w:color w:val="auto"/>
        </w:rPr>
      </w:pPr>
      <w:r>
        <w:rPr>
          <w:rFonts w:hint="eastAsia"/>
          <w:color w:val="000000"/>
        </w:rPr>
        <w:t>根据对项目可能产生的环境风险影响分析，可能发生风险的是污水管网破裂、污水处理系统故障等造成的环境污染问题。</w:t>
      </w:r>
      <w:r>
        <w:rPr>
          <w:rFonts w:hint="eastAsia"/>
          <w:color w:val="auto"/>
        </w:rPr>
        <w:t>本项目评价范围取距</w:t>
      </w:r>
      <w:r>
        <w:rPr>
          <w:rFonts w:hint="eastAsia"/>
          <w:color w:val="auto"/>
          <w:szCs w:val="21"/>
        </w:rPr>
        <w:t>项目</w:t>
      </w:r>
      <w:r>
        <w:rPr>
          <w:rFonts w:hint="eastAsia"/>
          <w:color w:val="auto"/>
        </w:rPr>
        <w:t>边界</w:t>
      </w:r>
      <w:r>
        <w:rPr>
          <w:rFonts w:hint="eastAsia"/>
          <w:color w:val="auto"/>
          <w:lang w:val="en-US" w:eastAsia="zh-CN"/>
        </w:rPr>
        <w:t>1000</w:t>
      </w:r>
      <w:r>
        <w:rPr>
          <w:rFonts w:hint="eastAsia"/>
          <w:color w:val="auto"/>
          <w:lang w:eastAsia="zh-CN"/>
        </w:rPr>
        <w:t>米</w:t>
      </w:r>
      <w:r>
        <w:rPr>
          <w:rFonts w:hint="eastAsia"/>
          <w:color w:val="auto"/>
        </w:rPr>
        <w:t>区域范围内的居民点作为项目营运期环境风险影响的保护目标</w:t>
      </w:r>
      <w:r>
        <w:rPr>
          <w:rFonts w:hint="eastAsia"/>
          <w:color w:val="auto"/>
          <w:szCs w:val="21"/>
        </w:rPr>
        <w:t>范围。风险保护目标见第一章中</w:t>
      </w:r>
      <w:r>
        <w:rPr>
          <w:rFonts w:hint="eastAsia"/>
          <w:color w:val="auto"/>
          <w:szCs w:val="21"/>
          <w:lang w:eastAsia="zh-CN"/>
        </w:rPr>
        <w:t>环境敏感目标内容</w:t>
      </w:r>
      <w:r>
        <w:rPr>
          <w:rFonts w:hint="eastAsia"/>
          <w:color w:val="auto"/>
          <w:szCs w:val="21"/>
        </w:rPr>
        <w:t>。</w:t>
      </w:r>
    </w:p>
    <w:p>
      <w:pPr>
        <w:pStyle w:val="81"/>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4.3.5 环境风险分析</w:t>
      </w:r>
    </w:p>
    <w:p>
      <w:pPr>
        <w:pStyle w:val="12"/>
        <w:rPr>
          <w:rFonts w:hint="eastAsia" w:ascii="Times New Roman" w:hAnsi="Times New Roman" w:eastAsia="宋体" w:cs="Times New Roman"/>
          <w:b/>
          <w:bCs/>
          <w:lang w:val="en-US" w:eastAsia="zh-CN"/>
        </w:rPr>
      </w:pPr>
      <w:r>
        <w:rPr>
          <w:rFonts w:hint="eastAsia"/>
          <w:b/>
          <w:bCs/>
          <w:color w:val="000000"/>
          <w:lang w:val="en-US" w:eastAsia="zh-CN"/>
        </w:rPr>
        <w:t>4.3.5.1</w:t>
      </w:r>
      <w:r>
        <w:rPr>
          <w:b/>
          <w:bCs/>
          <w:color w:val="000000"/>
        </w:rPr>
        <w:t xml:space="preserve"> </w:t>
      </w:r>
      <w:r>
        <w:rPr>
          <w:rFonts w:hint="eastAsia" w:ascii="Times New Roman" w:hAnsi="Times New Roman" w:eastAsia="宋体" w:cs="Times New Roman"/>
          <w:b/>
          <w:bCs/>
          <w:lang w:val="en-US" w:eastAsia="zh-CN"/>
        </w:rPr>
        <w:t>风险类型</w:t>
      </w:r>
    </w:p>
    <w:p>
      <w:pPr>
        <w:pStyle w:val="1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根据本工程的物质危险性、生产设施风险识别结果，一旦本工程发生重大灾 害事故，其事故对环境影响的途经主要表现为可能危害区域水环境质量，其环境 污染形式主要有以下几个方面：</w:t>
      </w:r>
    </w:p>
    <w:p>
      <w:pPr>
        <w:pStyle w:val="1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（1）污水处理非正常：</w:t>
      </w:r>
    </w:p>
    <w:p>
      <w:pPr>
        <w:pStyle w:val="12"/>
        <w:rPr>
          <w:rFonts w:hint="eastAsia" w:ascii="Times New Roman" w:hAnsi="Times New Roman" w:eastAsia="宋体" w:cs="Times New Roman"/>
          <w:lang w:val="en-US" w:eastAsia="zh-CN"/>
        </w:rPr>
      </w:pPr>
      <w:r>
        <w:rPr>
          <w:rFonts w:hint="eastAsia" w:eastAsia="宋体" w:cs="Times New Roman"/>
          <w:lang w:val="en-US" w:eastAsia="zh-CN"/>
        </w:rPr>
        <w:t>1）</w:t>
      </w:r>
      <w:r>
        <w:rPr>
          <w:rFonts w:hint="eastAsia" w:ascii="Times New Roman" w:hAnsi="Times New Roman" w:eastAsia="宋体" w:cs="Times New Roman"/>
          <w:lang w:val="en-US" w:eastAsia="zh-CN"/>
        </w:rPr>
        <w:t xml:space="preserve"> 污水处理设备及构筑物发生故障，污水处理效率降低导致出水超标，该环境风险发生频率较高。</w:t>
      </w:r>
    </w:p>
    <w:p>
      <w:pPr>
        <w:pStyle w:val="12"/>
        <w:rPr>
          <w:rFonts w:hint="eastAsia" w:ascii="Times New Roman" w:hAnsi="Times New Roman" w:eastAsia="宋体" w:cs="Times New Roman"/>
          <w:lang w:val="en-US" w:eastAsia="zh-CN"/>
        </w:rPr>
      </w:pPr>
      <w:r>
        <w:rPr>
          <w:rFonts w:hint="eastAsia" w:eastAsia="宋体" w:cs="Times New Roman"/>
          <w:lang w:val="en-US" w:eastAsia="zh-CN"/>
        </w:rPr>
        <w:t>2）</w:t>
      </w:r>
      <w:r>
        <w:rPr>
          <w:rFonts w:hint="eastAsia" w:ascii="Times New Roman" w:hAnsi="Times New Roman" w:eastAsia="宋体" w:cs="Times New Roman"/>
          <w:lang w:val="en-US" w:eastAsia="zh-CN"/>
        </w:rPr>
        <w:t xml:space="preserve"> 进管污水量、水质超过污水厂处理负荷，大量污水未经处理直接排放至花垣工业集中区污水处理厂，从而对花垣工业集中区污水处理厂造成冲击影响，区域水环境造成污染，该环境风险发生频率较低。</w:t>
      </w:r>
    </w:p>
    <w:p>
      <w:pPr>
        <w:pStyle w:val="12"/>
        <w:rPr>
          <w:rFonts w:hint="eastAsia" w:ascii="Times New Roman" w:hAnsi="Times New Roman" w:eastAsia="宋体" w:cs="Times New Roman"/>
          <w:lang w:val="en-US" w:eastAsia="zh-CN"/>
        </w:rPr>
      </w:pPr>
      <w:r>
        <w:rPr>
          <w:rFonts w:hint="eastAsia" w:eastAsia="宋体" w:cs="Times New Roman"/>
          <w:lang w:val="en-US" w:eastAsia="zh-CN"/>
        </w:rPr>
        <w:t>3）</w:t>
      </w:r>
      <w:r>
        <w:rPr>
          <w:rFonts w:hint="eastAsia" w:ascii="Times New Roman" w:hAnsi="Times New Roman" w:eastAsia="宋体" w:cs="Times New Roman"/>
          <w:lang w:val="en-US" w:eastAsia="zh-CN"/>
        </w:rPr>
        <w:t xml:space="preserve"> 污水处理设备、管网等防渗层破裂，原水进入地下水含水层。</w:t>
      </w:r>
    </w:p>
    <w:p>
      <w:pPr>
        <w:pStyle w:val="12"/>
        <w:rPr>
          <w:rFonts w:hint="eastAsia" w:ascii="Times New Roman" w:hAnsi="Times New Roman" w:eastAsia="宋体" w:cs="Times New Roman"/>
          <w:lang w:val="en-US" w:eastAsia="zh-CN"/>
        </w:rPr>
      </w:pPr>
      <w:r>
        <w:rPr>
          <w:rFonts w:hint="eastAsia" w:eastAsia="宋体" w:cs="Times New Roman"/>
          <w:lang w:val="en-US" w:eastAsia="zh-CN"/>
        </w:rPr>
        <w:t xml:space="preserve">4） </w:t>
      </w:r>
      <w:r>
        <w:rPr>
          <w:rFonts w:hint="eastAsia" w:ascii="Times New Roman" w:hAnsi="Times New Roman" w:eastAsia="宋体" w:cs="Times New Roman"/>
          <w:lang w:val="en-US" w:eastAsia="zh-CN"/>
        </w:rPr>
        <w:t>管道破裂、管道接头、阀门破损等导致污水泄漏，污染区域环境。</w:t>
      </w:r>
    </w:p>
    <w:p>
      <w:pPr>
        <w:pStyle w:val="1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5）危险化学品（含氢氧化钠、盐酸）泄露。</w:t>
      </w:r>
    </w:p>
    <w:p>
      <w:pPr>
        <w:pStyle w:val="1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6）含重金属污泥泄漏。</w:t>
      </w:r>
    </w:p>
    <w:p>
      <w:pPr>
        <w:pStyle w:val="12"/>
        <w:rPr>
          <w:rFonts w:hint="eastAsia" w:ascii="Times New Roman" w:hAnsi="Times New Roman" w:eastAsia="宋体" w:cs="Times New Roman"/>
          <w:b/>
          <w:bCs/>
          <w:color w:val="000000"/>
          <w:lang w:val="en-US" w:eastAsia="zh-CN"/>
        </w:rPr>
      </w:pPr>
      <w:r>
        <w:rPr>
          <w:rFonts w:hint="eastAsia" w:ascii="Times New Roman" w:hAnsi="Times New Roman" w:eastAsia="宋体" w:cs="Times New Roman"/>
          <w:b/>
          <w:bCs/>
          <w:color w:val="000000"/>
          <w:lang w:val="en-US" w:eastAsia="zh-CN"/>
        </w:rPr>
        <w:t>4.3.</w:t>
      </w:r>
      <w:r>
        <w:rPr>
          <w:rFonts w:hint="eastAsia" w:eastAsia="宋体" w:cs="Times New Roman"/>
          <w:b/>
          <w:bCs/>
          <w:color w:val="000000"/>
          <w:lang w:val="en-US" w:eastAsia="zh-CN"/>
        </w:rPr>
        <w:t>5</w:t>
      </w:r>
      <w:r>
        <w:rPr>
          <w:rFonts w:hint="eastAsia" w:ascii="Times New Roman" w:hAnsi="Times New Roman" w:eastAsia="宋体" w:cs="Times New Roman"/>
          <w:b/>
          <w:bCs/>
          <w:color w:val="000000"/>
          <w:lang w:val="en-US" w:eastAsia="zh-CN"/>
        </w:rPr>
        <w:t>.2管网爆裂事故排水环境风险影响分析</w:t>
      </w:r>
    </w:p>
    <w:p>
      <w:pPr>
        <w:pStyle w:val="1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假定管廊或厂区内发生排水管爆裂事故，未处理的废水将会在管沟中流出， 随着水量的增多，将会进入土壤，从而影响地下水环境。厂区内管道尽可能布置 按照条件采用集中管架或管墩敷设。一旦发生爆管事故，首先应关闭进水和出水，通知排污企业停止生产、尽快抢修，尽早恢复正常运行。</w:t>
      </w:r>
    </w:p>
    <w:p>
      <w:pPr>
        <w:pStyle w:val="1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假定排水管爆裂事故发生在污水厂总排放管道，应立即停止排水，待管道抢修完毕再通过污水泵将废水转入污水处理单元进行后续处理。</w:t>
      </w:r>
    </w:p>
    <w:p>
      <w:pPr>
        <w:pStyle w:val="12"/>
        <w:rPr>
          <w:rFonts w:hint="eastAsia" w:ascii="Times New Roman" w:hAnsi="Times New Roman" w:eastAsia="宋体" w:cs="Times New Roman"/>
          <w:b/>
          <w:bCs/>
          <w:color w:val="000000"/>
          <w:lang w:val="en-US" w:eastAsia="zh-CN"/>
        </w:rPr>
      </w:pPr>
      <w:r>
        <w:rPr>
          <w:rFonts w:hint="eastAsia" w:eastAsia="宋体" w:cs="Times New Roman"/>
          <w:b/>
          <w:bCs/>
          <w:color w:val="000000"/>
          <w:lang w:val="en-US" w:eastAsia="zh-CN"/>
        </w:rPr>
        <w:t>4.3.5.3</w:t>
      </w:r>
      <w:r>
        <w:rPr>
          <w:rFonts w:hint="eastAsia" w:ascii="Times New Roman" w:hAnsi="Times New Roman" w:eastAsia="宋体" w:cs="Times New Roman"/>
          <w:b/>
          <w:bCs/>
          <w:color w:val="000000"/>
          <w:lang w:val="en-US" w:eastAsia="zh-CN"/>
        </w:rPr>
        <w:t xml:space="preserve"> 污水事故性排放环境风险影响分析</w:t>
      </w:r>
    </w:p>
    <w:p>
      <w:pPr>
        <w:pStyle w:val="1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本项目运行过程中突发事故会导致处理效率下降或污水处理</w:t>
      </w:r>
      <w:r>
        <w:rPr>
          <w:rFonts w:hint="eastAsia" w:eastAsia="宋体" w:cs="Times New Roman"/>
          <w:lang w:val="en-US" w:eastAsia="zh-CN"/>
        </w:rPr>
        <w:t>站</w:t>
      </w:r>
      <w:r>
        <w:rPr>
          <w:rFonts w:hint="eastAsia" w:ascii="Times New Roman" w:hAnsi="Times New Roman" w:eastAsia="宋体" w:cs="Times New Roman"/>
          <w:lang w:val="en-US" w:eastAsia="zh-CN"/>
        </w:rPr>
        <w:t>无法工作，使 大量污水无法处理，对企业后续排水产生影响。根据污水厂生产工艺分析，废水 处理过程中存在的环境危险和危害主要有以下几种：</w:t>
      </w:r>
    </w:p>
    <w:p>
      <w:pPr>
        <w:pStyle w:val="1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①污水处理设备及构筑物发生故障，污水处理效率降低导致的出水超标。污水处理</w:t>
      </w:r>
      <w:r>
        <w:rPr>
          <w:rFonts w:hint="eastAsia" w:eastAsia="宋体" w:cs="Times New Roman"/>
          <w:lang w:val="en-US" w:eastAsia="zh-CN"/>
        </w:rPr>
        <w:t>站</w:t>
      </w:r>
      <w:r>
        <w:rPr>
          <w:rFonts w:hint="eastAsia" w:ascii="Times New Roman" w:hAnsi="Times New Roman" w:eastAsia="宋体" w:cs="Times New Roman"/>
          <w:lang w:val="en-US" w:eastAsia="zh-CN"/>
        </w:rPr>
        <w:t>由于停电、设备损坏、污水处理设施运行不正常、停车检修等造成大量污水未经处理直接排入花垣工业集中区污水处理厂，破坏花垣工业集中区污水处理厂工艺设备，造成事故污染，该环境风险发生频率偏高。</w:t>
      </w:r>
    </w:p>
    <w:p>
      <w:pPr>
        <w:pStyle w:val="1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②进管污水水量、水质超过污水厂处理负荷，大量污水未经处理排放至花垣工业集中区污水处理厂，从而对区域水环境造成污染，该环境风险发生频率较低。由于企业排水的不均匀性，导致进厂污水水量超过设计能力，污水停留时间减少，污染负荷去除率较低；另外，进厂污水水质负荷变化，有毒物质浓度升高，也会导致污水处理厂去除率下降，出水超标排放。</w:t>
      </w:r>
    </w:p>
    <w:p>
      <w:pPr>
        <w:pStyle w:val="12"/>
        <w:rPr>
          <w:rFonts w:hint="eastAsia" w:ascii="Times New Roman" w:hAnsi="Times New Roman" w:eastAsia="宋体" w:cs="Times New Roman"/>
          <w:b/>
          <w:bCs/>
          <w:color w:val="000000"/>
          <w:lang w:val="en-US" w:eastAsia="zh-CN"/>
        </w:rPr>
      </w:pPr>
      <w:r>
        <w:rPr>
          <w:rFonts w:hint="eastAsia" w:eastAsia="宋体" w:cs="Times New Roman"/>
          <w:b/>
          <w:bCs/>
          <w:color w:val="000000"/>
          <w:lang w:val="en-US" w:eastAsia="zh-CN"/>
        </w:rPr>
        <w:t>4.3.5.4</w:t>
      </w:r>
      <w:r>
        <w:rPr>
          <w:rFonts w:hint="eastAsia" w:ascii="Times New Roman" w:hAnsi="Times New Roman" w:eastAsia="宋体" w:cs="Times New Roman"/>
          <w:b/>
          <w:bCs/>
          <w:color w:val="000000"/>
          <w:lang w:val="en-US" w:eastAsia="zh-CN"/>
        </w:rPr>
        <w:t xml:space="preserve"> 危险物质储存环境风险影响分析</w:t>
      </w:r>
    </w:p>
    <w:p>
      <w:pPr>
        <w:pStyle w:val="1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氢氧化钠具有强腐蚀性，泄露后如进入外部水环境，会影响水体酸碱性，引发环境事故，腐蚀厂房设备及精密仪器，还会污染环境。</w:t>
      </w:r>
    </w:p>
    <w:p>
      <w:pPr>
        <w:pStyle w:val="1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盐酸具有强腐蚀性、强氧化性，盐酸泄露后暴露在空气易会发出氯化氢气体； 大量的酸雾不仅危及工人及周围群众身体健康、腐蚀厂房设备及精密仪器，还会 造成生产和生活的损失，并污染环境。</w:t>
      </w:r>
    </w:p>
    <w:p>
      <w:pPr>
        <w:pStyle w:val="1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本项目氢氧化钠均储存在药品房，此时化学品形态为固态，不存在泄漏情况。如发生洒落，清扫干净，洒落地面的原辅料可回收利用的回收利用，不能回收利用的委托供应商回收处理。一般不存在环境风险。</w:t>
      </w:r>
    </w:p>
    <w:p>
      <w:pPr>
        <w:pStyle w:val="1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盐酸均为溶液状态。生产过程由于储存桶破裂、接口松脱、管道破裂、开关泄漏等原因会造成物料泄漏。盐酸溶液均具有腐蚀性，物料泄漏后产生酸性废水，如进入外部水环境，会影响水体酸碱性，引发环境事故。由于本项目在线量较少，泄漏物料及清洗废水均可收集排入废水调节池，基本不会影响外环境。</w:t>
      </w:r>
    </w:p>
    <w:p>
      <w:pPr>
        <w:pStyle w:val="12"/>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污泥属于含重金属的危险废物，在厂内存储不当导致污泥洒落，可能导致污 染土壤及地下水等情况。</w:t>
      </w:r>
    </w:p>
    <w:p>
      <w:pPr>
        <w:pStyle w:val="81"/>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4.3.6 风险防范措施及应急要求</w:t>
      </w:r>
    </w:p>
    <w:p>
      <w:pPr>
        <w:pStyle w:val="81"/>
        <w:rPr>
          <w:rFonts w:hint="eastAsia"/>
          <w:color w:val="000000"/>
        </w:rPr>
      </w:pPr>
      <w:r>
        <w:rPr>
          <w:color w:val="000000"/>
        </w:rPr>
        <w:t>4</w:t>
      </w:r>
      <w:r>
        <w:rPr>
          <w:rFonts w:hint="eastAsia"/>
          <w:color w:val="000000"/>
        </w:rPr>
        <w:t>.</w:t>
      </w:r>
      <w:r>
        <w:rPr>
          <w:color w:val="000000"/>
        </w:rPr>
        <w:t>3</w:t>
      </w:r>
      <w:r>
        <w:rPr>
          <w:rFonts w:hint="eastAsia"/>
          <w:color w:val="000000"/>
        </w:rPr>
        <w:t>.</w:t>
      </w:r>
      <w:r>
        <w:rPr>
          <w:rFonts w:hint="eastAsia"/>
          <w:color w:val="000000"/>
          <w:lang w:val="en-US" w:eastAsia="zh-CN"/>
        </w:rPr>
        <w:t>6</w:t>
      </w:r>
      <w:r>
        <w:rPr>
          <w:rFonts w:hint="eastAsia"/>
          <w:color w:val="000000"/>
        </w:rPr>
        <w:t xml:space="preserve">.1 </w:t>
      </w:r>
      <w:r>
        <w:rPr>
          <w:color w:val="000000"/>
        </w:rPr>
        <w:t>对化学药品的风险事故管理</w:t>
      </w:r>
    </w:p>
    <w:p>
      <w:pPr>
        <w:ind w:firstLine="480"/>
        <w:rPr>
          <w:rFonts w:hint="eastAsia"/>
          <w:color w:val="000000"/>
          <w:kern w:val="0"/>
        </w:rPr>
      </w:pPr>
      <w:r>
        <w:rPr>
          <w:rFonts w:hint="eastAsia"/>
          <w:color w:val="000000"/>
          <w:kern w:val="0"/>
        </w:rPr>
        <w:t>对污水处理站加药间、储药间地面进行防腐防渗处理，盐酸、氢氧化钠溶液 应设置围堰，对事故泄漏的盐酸要尽快中和、稀释，确保事故在小范围内得到适 当的处理。盐酸小量泄漏时用砂土吸收；大量泄漏时构筑围堤或挖坑收容，用泡 沫覆盖，降低蒸气灾害。</w:t>
      </w:r>
    </w:p>
    <w:p>
      <w:pPr>
        <w:ind w:firstLine="480"/>
        <w:rPr>
          <w:rFonts w:hint="eastAsia"/>
          <w:color w:val="000000"/>
          <w:kern w:val="0"/>
        </w:rPr>
      </w:pPr>
      <w:r>
        <w:rPr>
          <w:rFonts w:hint="eastAsia"/>
          <w:color w:val="000000"/>
          <w:kern w:val="0"/>
        </w:rPr>
        <w:t>加强对重金属污泥的管理，不得随意堆放、移动；定期委托资质单位清运。</w:t>
      </w:r>
    </w:p>
    <w:p>
      <w:pPr>
        <w:pStyle w:val="81"/>
        <w:rPr>
          <w:rFonts w:hint="eastAsia"/>
          <w:color w:val="000000"/>
        </w:rPr>
      </w:pPr>
      <w:r>
        <w:rPr>
          <w:color w:val="000000"/>
        </w:rPr>
        <w:t>4</w:t>
      </w:r>
      <w:r>
        <w:rPr>
          <w:rFonts w:hint="eastAsia"/>
          <w:color w:val="000000"/>
        </w:rPr>
        <w:t>.</w:t>
      </w:r>
      <w:r>
        <w:rPr>
          <w:color w:val="000000"/>
        </w:rPr>
        <w:t>3</w:t>
      </w:r>
      <w:r>
        <w:rPr>
          <w:rFonts w:hint="eastAsia"/>
          <w:color w:val="000000"/>
        </w:rPr>
        <w:t>.</w:t>
      </w:r>
      <w:r>
        <w:rPr>
          <w:rFonts w:hint="eastAsia"/>
          <w:color w:val="000000"/>
          <w:lang w:val="en-US" w:eastAsia="zh-CN"/>
        </w:rPr>
        <w:t>6</w:t>
      </w:r>
      <w:r>
        <w:rPr>
          <w:rFonts w:hint="eastAsia"/>
          <w:color w:val="000000"/>
        </w:rPr>
        <w:t xml:space="preserve">.2 </w:t>
      </w:r>
      <w:r>
        <w:rPr>
          <w:color w:val="000000"/>
        </w:rPr>
        <w:t>污水处理</w:t>
      </w:r>
      <w:r>
        <w:rPr>
          <w:rFonts w:hint="eastAsia"/>
          <w:color w:val="000000"/>
          <w:lang w:eastAsia="zh-CN"/>
        </w:rPr>
        <w:t>站</w:t>
      </w:r>
      <w:r>
        <w:rPr>
          <w:color w:val="000000"/>
        </w:rPr>
        <w:t>风险防范措施</w:t>
      </w:r>
    </w:p>
    <w:p>
      <w:pPr>
        <w:ind w:firstLine="480"/>
        <w:rPr>
          <w:rFonts w:hint="eastAsia"/>
          <w:color w:val="000000"/>
          <w:kern w:val="0"/>
          <w:u w:val="single"/>
        </w:rPr>
      </w:pPr>
      <w:r>
        <w:rPr>
          <w:rFonts w:hint="eastAsia"/>
          <w:color w:val="000000"/>
          <w:kern w:val="0"/>
          <w:u w:val="single"/>
          <w:lang w:eastAsia="zh-CN"/>
        </w:rPr>
        <w:t>（</w:t>
      </w:r>
      <w:r>
        <w:rPr>
          <w:rFonts w:hint="eastAsia"/>
          <w:color w:val="000000"/>
          <w:kern w:val="0"/>
          <w:u w:val="single"/>
          <w:lang w:val="en-US" w:eastAsia="zh-CN"/>
        </w:rPr>
        <w:t>1</w:t>
      </w:r>
      <w:r>
        <w:rPr>
          <w:rFonts w:hint="eastAsia"/>
          <w:color w:val="000000"/>
          <w:kern w:val="0"/>
          <w:u w:val="single"/>
          <w:lang w:eastAsia="zh-CN"/>
        </w:rPr>
        <w:t>）</w:t>
      </w:r>
      <w:r>
        <w:rPr>
          <w:rFonts w:hint="eastAsia"/>
          <w:color w:val="000000"/>
          <w:kern w:val="0"/>
          <w:u w:val="single"/>
        </w:rPr>
        <w:t>污水非正常排放的防范措施</w:t>
      </w:r>
    </w:p>
    <w:p>
      <w:pPr>
        <w:ind w:firstLine="480"/>
        <w:rPr>
          <w:rFonts w:hint="eastAsia"/>
          <w:color w:val="000000"/>
          <w:kern w:val="0"/>
          <w:u w:val="single"/>
        </w:rPr>
      </w:pPr>
      <w:r>
        <w:rPr>
          <w:rFonts w:hint="eastAsia"/>
          <w:color w:val="000000"/>
          <w:kern w:val="0"/>
          <w:u w:val="single"/>
        </w:rPr>
        <w:t>综上分析可知，一旦污水厂发生事故，污水达不到出水标准，将造成大量超 标废水</w:t>
      </w:r>
      <w:r>
        <w:rPr>
          <w:rFonts w:hint="eastAsia"/>
          <w:color w:val="000000"/>
          <w:kern w:val="0"/>
          <w:u w:val="single"/>
          <w:lang w:eastAsia="zh-CN"/>
        </w:rPr>
        <w:t>排放</w:t>
      </w:r>
      <w:r>
        <w:rPr>
          <w:rFonts w:hint="eastAsia"/>
          <w:color w:val="000000"/>
          <w:kern w:val="0"/>
          <w:u w:val="single"/>
        </w:rPr>
        <w:t>，对</w:t>
      </w:r>
      <w:r>
        <w:rPr>
          <w:rFonts w:hint="eastAsia"/>
          <w:color w:val="000000"/>
          <w:kern w:val="0"/>
          <w:u w:val="single"/>
          <w:lang w:eastAsia="zh-CN"/>
        </w:rPr>
        <w:t>花垣工业集中区污水处理厂</w:t>
      </w:r>
      <w:r>
        <w:rPr>
          <w:rFonts w:hint="eastAsia"/>
          <w:color w:val="000000"/>
          <w:kern w:val="0"/>
          <w:u w:val="single"/>
        </w:rPr>
        <w:t>造成冲击，并对</w:t>
      </w:r>
      <w:r>
        <w:rPr>
          <w:rFonts w:hint="eastAsia"/>
          <w:color w:val="000000"/>
          <w:kern w:val="0"/>
          <w:u w:val="single"/>
          <w:lang w:eastAsia="zh-CN"/>
        </w:rPr>
        <w:t>花垣河</w:t>
      </w:r>
      <w:r>
        <w:rPr>
          <w:rFonts w:hint="eastAsia"/>
          <w:color w:val="000000"/>
          <w:kern w:val="0"/>
          <w:u w:val="single"/>
        </w:rPr>
        <w:t>造成污染。建设单位应采取以下事故防范措施：</w:t>
      </w:r>
    </w:p>
    <w:p>
      <w:pPr>
        <w:ind w:firstLine="480"/>
        <w:rPr>
          <w:rFonts w:hint="eastAsia"/>
          <w:color w:val="000000"/>
          <w:kern w:val="0"/>
          <w:u w:val="single"/>
        </w:rPr>
      </w:pPr>
      <w:r>
        <w:rPr>
          <w:rFonts w:hint="eastAsia"/>
          <w:color w:val="000000"/>
          <w:kern w:val="0"/>
          <w:u w:val="single"/>
        </w:rPr>
        <w:t>（1）厂区保证电源双回路供电；加强设备、设施的维护与管理，关键设备应有备用机；一旦出现不可抗拒的外部原因，如双回路停电，突发性自然灾害等 情况导致污水未能及时处理时，应将来水自动切换进入</w:t>
      </w:r>
      <w:r>
        <w:rPr>
          <w:rFonts w:hint="eastAsia"/>
          <w:color w:val="000000"/>
          <w:kern w:val="0"/>
          <w:u w:val="single"/>
          <w:lang w:eastAsia="zh-CN"/>
        </w:rPr>
        <w:t>调节池</w:t>
      </w:r>
      <w:r>
        <w:rPr>
          <w:rFonts w:hint="eastAsia"/>
          <w:color w:val="000000"/>
          <w:kern w:val="0"/>
          <w:u w:val="single"/>
        </w:rPr>
        <w:t>，并通知排污企业部分或全部停止向管道排污，以确水体功能安全。</w:t>
      </w:r>
    </w:p>
    <w:p>
      <w:pPr>
        <w:ind w:firstLine="480"/>
        <w:rPr>
          <w:rFonts w:hint="eastAsia"/>
          <w:color w:val="000000"/>
          <w:kern w:val="0"/>
          <w:u w:val="single"/>
        </w:rPr>
      </w:pPr>
      <w:r>
        <w:rPr>
          <w:rFonts w:hint="eastAsia"/>
          <w:color w:val="000000"/>
          <w:kern w:val="0"/>
          <w:u w:val="single"/>
        </w:rPr>
        <w:t>（2）建立可靠的运行监控系统，包括计量、采样、监测、报警等设施，发现异常情况，及时调整运行参数，以控制和避免事故的发生。污水厂进水泵房及 排污口应建立在线监控装置，对污水</w:t>
      </w:r>
      <w:r>
        <w:rPr>
          <w:rFonts w:hint="eastAsia"/>
          <w:color w:val="000000"/>
          <w:kern w:val="0"/>
          <w:u w:val="single"/>
          <w:lang w:eastAsia="zh-CN"/>
        </w:rPr>
        <w:t>总锰</w:t>
      </w:r>
      <w:r>
        <w:rPr>
          <w:rFonts w:hint="eastAsia"/>
          <w:color w:val="000000"/>
          <w:kern w:val="0"/>
          <w:u w:val="single"/>
        </w:rPr>
        <w:t>、总镉、铬（Cr</w:t>
      </w:r>
      <w:r>
        <w:rPr>
          <w:rFonts w:hint="eastAsia"/>
          <w:color w:val="000000"/>
          <w:kern w:val="0"/>
          <w:u w:val="single"/>
          <w:vertAlign w:val="superscript"/>
        </w:rPr>
        <w:t>6+</w:t>
      </w:r>
      <w:r>
        <w:rPr>
          <w:rFonts w:hint="eastAsia"/>
          <w:color w:val="000000"/>
          <w:kern w:val="0"/>
          <w:u w:val="single"/>
        </w:rPr>
        <w:t>计）、</w:t>
      </w:r>
      <w:r>
        <w:rPr>
          <w:rFonts w:hint="eastAsia"/>
          <w:color w:val="000000"/>
          <w:kern w:val="0"/>
          <w:u w:val="single"/>
          <w:lang w:eastAsia="zh-CN"/>
        </w:rPr>
        <w:t>总铅</w:t>
      </w:r>
      <w:r>
        <w:rPr>
          <w:rFonts w:hint="eastAsia"/>
          <w:color w:val="000000"/>
          <w:kern w:val="0"/>
          <w:u w:val="single"/>
        </w:rPr>
        <w:t>、</w:t>
      </w:r>
      <w:r>
        <w:rPr>
          <w:rFonts w:hint="eastAsia"/>
          <w:color w:val="000000"/>
          <w:kern w:val="0"/>
          <w:u w:val="single"/>
          <w:lang w:eastAsia="zh-CN"/>
        </w:rPr>
        <w:t>总钒</w:t>
      </w:r>
      <w:r>
        <w:rPr>
          <w:rFonts w:hint="eastAsia"/>
          <w:color w:val="000000"/>
          <w:kern w:val="0"/>
          <w:u w:val="single"/>
        </w:rPr>
        <w:t>、锌进行在线监控，监控进出水的水质，以确保污水处理系统安全运行。</w:t>
      </w:r>
    </w:p>
    <w:p>
      <w:pPr>
        <w:ind w:firstLine="480"/>
        <w:rPr>
          <w:rFonts w:hint="eastAsia"/>
          <w:color w:val="000000"/>
          <w:kern w:val="0"/>
          <w:u w:val="single"/>
        </w:rPr>
      </w:pPr>
      <w:r>
        <w:rPr>
          <w:rFonts w:hint="eastAsia"/>
          <w:color w:val="000000"/>
          <w:kern w:val="0"/>
          <w:u w:val="single"/>
        </w:rPr>
        <w:t>（3）为防止废水水质波动过大，造成冲击负荷，pH、有毒物质和水温等因 素，造成污水处理设施处理率下降，应严格执行废水进管标准，要求纳管企业生 产废水预处理后进管，禁止超标排放进管，确保污水处理设施的正常运行。</w:t>
      </w:r>
    </w:p>
    <w:p>
      <w:pPr>
        <w:ind w:firstLine="480"/>
        <w:rPr>
          <w:rFonts w:hint="eastAsia"/>
          <w:color w:val="000000"/>
          <w:kern w:val="0"/>
          <w:u w:val="single"/>
        </w:rPr>
      </w:pPr>
      <w:r>
        <w:rPr>
          <w:rFonts w:hint="eastAsia"/>
          <w:color w:val="000000"/>
          <w:kern w:val="0"/>
          <w:u w:val="single"/>
        </w:rPr>
        <w:t>（4）应考虑2组设备并联运行，关键设备要有备用机（如风机、泵等），设备等检修安排在工业生产淡季。同时要加强设施的维护和管理，提高设备的完好率，关键设备要配备足够的备件，一旦事故发生能够及时处理。</w:t>
      </w:r>
    </w:p>
    <w:p>
      <w:pPr>
        <w:ind w:firstLine="480"/>
        <w:rPr>
          <w:rFonts w:hint="eastAsia"/>
          <w:color w:val="000000"/>
          <w:kern w:val="0"/>
          <w:u w:val="single"/>
        </w:rPr>
      </w:pPr>
      <w:r>
        <w:rPr>
          <w:rFonts w:hint="eastAsia"/>
          <w:color w:val="000000"/>
          <w:kern w:val="0"/>
          <w:u w:val="single"/>
        </w:rPr>
        <w:t>（5）要建立完善的档案制度，记录进厂水质水量变化引起污水处理设施的 处理效果和尾水水质变化状况，尤其要记录事故的工况，以便总结经验，杜绝事 故的再次发生。</w:t>
      </w:r>
    </w:p>
    <w:p>
      <w:pPr>
        <w:pStyle w:val="81"/>
        <w:rPr>
          <w:rFonts w:hint="eastAsia" w:ascii="Times New Roman" w:hAnsi="Times New Roman" w:eastAsia="宋体" w:cs="Times New Roman"/>
          <w:b/>
          <w:color w:val="000000"/>
        </w:rPr>
      </w:pPr>
      <w:r>
        <w:rPr>
          <w:rFonts w:ascii="Times New Roman" w:hAnsi="Times New Roman" w:eastAsia="宋体" w:cs="Times New Roman"/>
          <w:b/>
          <w:color w:val="000000"/>
        </w:rPr>
        <w:t>4</w:t>
      </w:r>
      <w:r>
        <w:rPr>
          <w:rFonts w:hint="eastAsia" w:ascii="Times New Roman" w:hAnsi="Times New Roman" w:eastAsia="宋体" w:cs="Times New Roman"/>
          <w:b/>
          <w:color w:val="000000"/>
        </w:rPr>
        <w:t>.</w:t>
      </w:r>
      <w:r>
        <w:rPr>
          <w:rFonts w:ascii="Times New Roman" w:hAnsi="Times New Roman" w:eastAsia="宋体" w:cs="Times New Roman"/>
          <w:b/>
          <w:color w:val="000000"/>
        </w:rPr>
        <w:t>3</w:t>
      </w:r>
      <w:r>
        <w:rPr>
          <w:rFonts w:hint="eastAsia" w:ascii="Times New Roman" w:hAnsi="Times New Roman" w:eastAsia="宋体" w:cs="Times New Roman"/>
          <w:b/>
          <w:color w:val="000000"/>
        </w:rPr>
        <w:t>.</w:t>
      </w:r>
      <w:r>
        <w:rPr>
          <w:rFonts w:hint="eastAsia" w:eastAsia="宋体" w:cs="Times New Roman"/>
          <w:b/>
          <w:color w:val="000000"/>
          <w:lang w:val="en-US" w:eastAsia="zh-CN"/>
        </w:rPr>
        <w:t>6</w:t>
      </w:r>
      <w:r>
        <w:rPr>
          <w:rFonts w:hint="eastAsia" w:ascii="Times New Roman" w:hAnsi="Times New Roman" w:eastAsia="宋体" w:cs="Times New Roman"/>
          <w:b/>
          <w:color w:val="000000"/>
        </w:rPr>
        <w:t>.3</w:t>
      </w:r>
      <w:r>
        <w:rPr>
          <w:rFonts w:ascii="Times New Roman" w:hAnsi="Times New Roman" w:eastAsia="宋体" w:cs="Times New Roman"/>
          <w:b/>
          <w:color w:val="000000"/>
        </w:rPr>
        <w:t xml:space="preserve"> </w:t>
      </w:r>
      <w:r>
        <w:rPr>
          <w:rFonts w:hint="eastAsia" w:ascii="Times New Roman" w:hAnsi="Times New Roman" w:eastAsia="宋体" w:cs="Times New Roman"/>
          <w:b/>
          <w:color w:val="000000"/>
        </w:rPr>
        <w:t>管网泄漏防范措施</w:t>
      </w:r>
    </w:p>
    <w:p>
      <w:pPr>
        <w:ind w:firstLine="480"/>
        <w:rPr>
          <w:rFonts w:hint="eastAsia"/>
          <w:color w:val="000000"/>
          <w:kern w:val="0"/>
        </w:rPr>
      </w:pPr>
      <w:r>
        <w:rPr>
          <w:rFonts w:hint="eastAsia"/>
          <w:color w:val="000000"/>
          <w:kern w:val="0"/>
        </w:rPr>
        <w:t>（1）加强日常排查和检修，安排专人分段进行检修和维护管道，一旦发现问题及时解决，有效减小泄漏风险产生。定期检查排水管道的质量安全，确保管 道的正常运行。</w:t>
      </w:r>
    </w:p>
    <w:p>
      <w:pPr>
        <w:ind w:firstLine="480"/>
        <w:rPr>
          <w:rFonts w:hint="eastAsia"/>
          <w:color w:val="000000"/>
          <w:kern w:val="0"/>
        </w:rPr>
      </w:pPr>
      <w:r>
        <w:rPr>
          <w:rFonts w:hint="eastAsia"/>
          <w:color w:val="000000"/>
          <w:kern w:val="0"/>
        </w:rPr>
        <w:t>（2）定期对专业技术人员和操作工人进行培训，使其具有良好的环境意识， 熟悉管网操作规程，了解所使用设备的技术性能和保养、操作方法，熟悉掌握设 备的维修。</w:t>
      </w:r>
    </w:p>
    <w:p>
      <w:pPr>
        <w:ind w:firstLine="480"/>
        <w:rPr>
          <w:rFonts w:hint="eastAsia"/>
          <w:color w:val="000000"/>
          <w:kern w:val="0"/>
        </w:rPr>
      </w:pPr>
      <w:r>
        <w:rPr>
          <w:rFonts w:hint="eastAsia"/>
          <w:color w:val="000000"/>
          <w:kern w:val="0"/>
        </w:rPr>
        <w:t>（3）当管网泄露事故发生后，应启动应急预案，上报领导。同时暂停水泵运行，用临时抽水车将爆管段污水收集直接运送污水厂处理，派人员紧急维修污 水管，尽快恢复管网的运行。</w:t>
      </w:r>
    </w:p>
    <w:p>
      <w:pPr>
        <w:ind w:firstLine="480"/>
        <w:rPr>
          <w:rFonts w:hint="eastAsia"/>
          <w:color w:val="000000"/>
          <w:kern w:val="0"/>
        </w:rPr>
      </w:pPr>
      <w:r>
        <w:rPr>
          <w:rFonts w:hint="eastAsia"/>
          <w:color w:val="000000"/>
          <w:kern w:val="0"/>
        </w:rPr>
        <w:t>（4）严格按照规范要求对污水处理水池、加药间、污水管线等重点防渗区 域采取有效的防雨、防渗漏、防溢流措施，并加强对各种原料及固体废弃物的管 理，降低管网污水泄漏对土壤及地下水环境质量造成的不利影响</w:t>
      </w:r>
      <w:r>
        <w:rPr>
          <w:color w:val="000000"/>
          <w:kern w:val="0"/>
        </w:rPr>
        <w:t>。</w:t>
      </w:r>
    </w:p>
    <w:p>
      <w:pPr>
        <w:pStyle w:val="81"/>
        <w:rPr>
          <w:rFonts w:hint="eastAsia"/>
          <w:color w:val="000000"/>
        </w:rPr>
      </w:pPr>
      <w:r>
        <w:rPr>
          <w:color w:val="000000"/>
        </w:rPr>
        <w:t>4</w:t>
      </w:r>
      <w:r>
        <w:rPr>
          <w:rFonts w:hint="eastAsia"/>
          <w:color w:val="000000"/>
        </w:rPr>
        <w:t>.</w:t>
      </w:r>
      <w:r>
        <w:rPr>
          <w:color w:val="000000"/>
        </w:rPr>
        <w:t>3</w:t>
      </w:r>
      <w:r>
        <w:rPr>
          <w:rFonts w:hint="eastAsia"/>
          <w:color w:val="000000"/>
        </w:rPr>
        <w:t>.</w:t>
      </w:r>
      <w:r>
        <w:rPr>
          <w:rFonts w:hint="eastAsia"/>
          <w:color w:val="000000"/>
          <w:lang w:val="en-US" w:eastAsia="zh-CN"/>
        </w:rPr>
        <w:t>6</w:t>
      </w:r>
      <w:r>
        <w:rPr>
          <w:rFonts w:hint="eastAsia"/>
          <w:color w:val="000000"/>
        </w:rPr>
        <w:t xml:space="preserve">.4 </w:t>
      </w:r>
      <w:r>
        <w:rPr>
          <w:color w:val="000000"/>
        </w:rPr>
        <w:t>污水管网系统风险防范措</w:t>
      </w:r>
    </w:p>
    <w:p>
      <w:pPr>
        <w:ind w:firstLine="480"/>
        <w:rPr>
          <w:rFonts w:hint="eastAsia"/>
          <w:color w:val="000000"/>
          <w:kern w:val="0"/>
        </w:rPr>
      </w:pPr>
      <w:r>
        <w:rPr>
          <w:color w:val="000000"/>
          <w:kern w:val="0"/>
        </w:rPr>
        <w:t>管网损坏，污水管网破裂，应采取应急措施，及时关泵或有关阀门，及时向当地环保部门汇报，并通知污水泵站停止或减少向污水厂排污，抢修维护，尽量能减少污水外溢量及对周围环境的影响。在管网设计时应考虑做好控制污水措施（设置污水应急控制阀门），在不利的条件下，减轻和保护污水处理厂的处理设施。</w:t>
      </w:r>
    </w:p>
    <w:p>
      <w:pPr>
        <w:pStyle w:val="81"/>
        <w:rPr>
          <w:rFonts w:hint="eastAsia" w:ascii="Times New Roman" w:hAnsi="Times New Roman" w:eastAsia="宋体" w:cs="Times New Roman"/>
          <w:b/>
          <w:color w:val="000000"/>
        </w:rPr>
      </w:pPr>
      <w:r>
        <w:rPr>
          <w:rFonts w:ascii="Times New Roman" w:hAnsi="Times New Roman" w:eastAsia="宋体" w:cs="Times New Roman"/>
          <w:b/>
          <w:color w:val="000000"/>
        </w:rPr>
        <w:t>4</w:t>
      </w:r>
      <w:r>
        <w:rPr>
          <w:rFonts w:hint="eastAsia" w:ascii="Times New Roman" w:hAnsi="Times New Roman" w:eastAsia="宋体" w:cs="Times New Roman"/>
          <w:b/>
          <w:color w:val="000000"/>
        </w:rPr>
        <w:t>.</w:t>
      </w:r>
      <w:r>
        <w:rPr>
          <w:rFonts w:ascii="Times New Roman" w:hAnsi="Times New Roman" w:eastAsia="宋体" w:cs="Times New Roman"/>
          <w:b/>
          <w:color w:val="000000"/>
        </w:rPr>
        <w:t>3</w:t>
      </w:r>
      <w:r>
        <w:rPr>
          <w:rFonts w:hint="eastAsia" w:ascii="Times New Roman" w:hAnsi="Times New Roman" w:eastAsia="宋体" w:cs="Times New Roman"/>
          <w:b/>
          <w:color w:val="000000"/>
        </w:rPr>
        <w:t>.</w:t>
      </w:r>
      <w:r>
        <w:rPr>
          <w:rFonts w:hint="eastAsia" w:eastAsia="宋体" w:cs="Times New Roman"/>
          <w:b/>
          <w:color w:val="000000"/>
          <w:lang w:val="en-US" w:eastAsia="zh-CN"/>
        </w:rPr>
        <w:t>6</w:t>
      </w:r>
      <w:r>
        <w:rPr>
          <w:rFonts w:hint="eastAsia" w:ascii="Times New Roman" w:hAnsi="Times New Roman" w:eastAsia="宋体" w:cs="Times New Roman"/>
          <w:b/>
          <w:color w:val="000000"/>
        </w:rPr>
        <w:t>.</w:t>
      </w:r>
      <w:r>
        <w:rPr>
          <w:rFonts w:ascii="Times New Roman" w:hAnsi="Times New Roman" w:eastAsia="宋体" w:cs="Times New Roman"/>
          <w:b/>
          <w:color w:val="000000"/>
        </w:rPr>
        <w:t>5</w:t>
      </w:r>
      <w:r>
        <w:rPr>
          <w:rFonts w:hint="eastAsia" w:ascii="Times New Roman" w:hAnsi="Times New Roman" w:eastAsia="宋体" w:cs="Times New Roman"/>
          <w:b/>
          <w:color w:val="000000"/>
        </w:rPr>
        <w:t xml:space="preserve"> 事故废水环境风险防范措施</w:t>
      </w:r>
    </w:p>
    <w:p>
      <w:pPr>
        <w:pStyle w:val="2"/>
        <w:rPr>
          <w:rFonts w:hint="default" w:eastAsia="宋体"/>
          <w:color w:val="auto"/>
          <w:lang w:val="en-US" w:eastAsia="zh-CN"/>
        </w:rPr>
      </w:pPr>
      <w:r>
        <w:rPr>
          <w:rFonts w:hint="eastAsia"/>
          <w:color w:val="auto"/>
          <w:kern w:val="0"/>
          <w:u w:val="single"/>
          <w:lang w:eastAsia="zh-CN"/>
        </w:rPr>
        <w:t>根据项目工程验收报告可知，由于项目场地有限，厂区未设置事故池，同时，根据花垣工业集中区重金属废水处理工程关于调节池及事故池设计优化的专题论证可知，本项目水泵、加药、加药泵等设备均采用一用一备，可以确保系统处理线不出现故障，项目处理线发生事故情况极低。根据项目构筑物建设规模，项目各</w:t>
      </w:r>
      <w:r>
        <w:rPr>
          <w:rFonts w:hint="default" w:ascii="Times New Roman" w:hAnsi="Times New Roman" w:cs="Times New Roman"/>
          <w:color w:val="auto"/>
          <w:kern w:val="0"/>
          <w:u w:val="single"/>
          <w:lang w:eastAsia="zh-CN"/>
        </w:rPr>
        <w:t>构筑物总容积为3092.6m</w:t>
      </w:r>
      <w:r>
        <w:rPr>
          <w:rFonts w:hint="default" w:ascii="Times New Roman" w:hAnsi="Times New Roman" w:cs="Times New Roman"/>
          <w:color w:val="auto"/>
          <w:kern w:val="0"/>
          <w:u w:val="single"/>
          <w:vertAlign w:val="superscript"/>
          <w:lang w:eastAsia="zh-CN"/>
        </w:rPr>
        <w:t>3</w:t>
      </w:r>
      <w:r>
        <w:rPr>
          <w:rFonts w:hint="default" w:ascii="Times New Roman" w:hAnsi="Times New Roman" w:cs="Times New Roman"/>
          <w:color w:val="auto"/>
          <w:kern w:val="0"/>
          <w:u w:val="single"/>
          <w:lang w:eastAsia="zh-CN"/>
        </w:rPr>
        <w:t>，项目事</w:t>
      </w:r>
      <w:r>
        <w:rPr>
          <w:rFonts w:hint="eastAsia"/>
          <w:color w:val="auto"/>
          <w:kern w:val="0"/>
          <w:u w:val="single"/>
          <w:lang w:eastAsia="zh-CN"/>
        </w:rPr>
        <w:t>故状态下，未处理的废水可暂存在调节池内，项</w:t>
      </w:r>
      <w:r>
        <w:rPr>
          <w:rFonts w:hint="default" w:ascii="Times New Roman" w:hAnsi="Times New Roman" w:cs="Times New Roman"/>
          <w:color w:val="auto"/>
          <w:kern w:val="0"/>
          <w:u w:val="single"/>
          <w:lang w:eastAsia="zh-CN"/>
        </w:rPr>
        <w:t>目污水处理站调节池总容积为1000m</w:t>
      </w:r>
      <w:r>
        <w:rPr>
          <w:rFonts w:hint="default" w:ascii="Times New Roman" w:hAnsi="Times New Roman" w:cs="Times New Roman"/>
          <w:color w:val="auto"/>
          <w:kern w:val="0"/>
          <w:u w:val="single"/>
          <w:vertAlign w:val="superscript"/>
          <w:lang w:eastAsia="zh-CN"/>
        </w:rPr>
        <w:t>3</w:t>
      </w:r>
      <w:r>
        <w:rPr>
          <w:rFonts w:hint="default" w:ascii="Times New Roman" w:hAnsi="Times New Roman" w:cs="Times New Roman"/>
          <w:color w:val="auto"/>
          <w:kern w:val="0"/>
          <w:u w:val="single"/>
          <w:lang w:eastAsia="zh-CN"/>
        </w:rPr>
        <w:t>。污</w:t>
      </w:r>
      <w:r>
        <w:rPr>
          <w:rFonts w:hint="eastAsia"/>
          <w:color w:val="auto"/>
          <w:kern w:val="0"/>
          <w:u w:val="single"/>
          <w:lang w:eastAsia="zh-CN"/>
        </w:rPr>
        <w:t>水处理站处理设备故障无法有效对重金属废水进行处理的情况下应先于上游企业进行沟通，暂停向本项目进行排水，同时关闭项目尾水排放口，将还未处理的废水暂存调节池内，待设施维修好再进行处理。本项目取消事故池建设已取得湘西州生态环境局的批复，详见附件</w:t>
      </w:r>
      <w:r>
        <w:rPr>
          <w:rFonts w:hint="eastAsia"/>
          <w:color w:val="auto"/>
          <w:kern w:val="0"/>
          <w:u w:val="single"/>
          <w:lang w:val="en-US" w:eastAsia="zh-CN"/>
        </w:rPr>
        <w:t>17。</w:t>
      </w:r>
    </w:p>
    <w:p>
      <w:pPr>
        <w:ind w:firstLine="480"/>
        <w:rPr>
          <w:rFonts w:hint="eastAsia" w:eastAsia="宋体"/>
          <w:color w:val="auto"/>
          <w:kern w:val="0"/>
          <w:u w:val="single"/>
          <w:lang w:eastAsia="zh-CN"/>
        </w:rPr>
      </w:pPr>
      <w:r>
        <w:rPr>
          <w:rFonts w:hint="eastAsia"/>
          <w:color w:val="auto"/>
          <w:kern w:val="0"/>
          <w:u w:val="single"/>
          <w:lang w:eastAsia="zh-CN"/>
        </w:rPr>
        <w:t>重金属废水暂存在</w:t>
      </w:r>
      <w:r>
        <w:rPr>
          <w:rFonts w:hint="eastAsia"/>
          <w:color w:val="auto"/>
          <w:kern w:val="0"/>
          <w:u w:val="single"/>
          <w:lang w:val="en-US" w:eastAsia="zh-CN"/>
        </w:rPr>
        <w:t>调节池</w:t>
      </w:r>
      <w:r>
        <w:rPr>
          <w:rFonts w:hint="eastAsia"/>
          <w:color w:val="auto"/>
          <w:kern w:val="0"/>
          <w:u w:val="single"/>
          <w:lang w:eastAsia="zh-CN"/>
        </w:rPr>
        <w:t>内，同时，与上游企业沟通，停止生产，停止向本项目排放重金属废水</w:t>
      </w:r>
      <w:r>
        <w:rPr>
          <w:color w:val="auto"/>
          <w:kern w:val="0"/>
          <w:u w:val="single"/>
        </w:rPr>
        <w:t>。</w:t>
      </w:r>
      <w:bookmarkStart w:id="277" w:name="_bookmark48"/>
      <w:bookmarkEnd w:id="277"/>
    </w:p>
    <w:p>
      <w:pPr>
        <w:pStyle w:val="81"/>
        <w:rPr>
          <w:rFonts w:hint="eastAsia" w:ascii="Times New Roman" w:hAnsi="Times New Roman" w:eastAsia="宋体" w:cs="Times New Roman"/>
          <w:b/>
          <w:color w:val="000000"/>
        </w:rPr>
      </w:pPr>
      <w:r>
        <w:rPr>
          <w:rFonts w:hint="eastAsia" w:eastAsia="宋体" w:cs="Times New Roman"/>
          <w:b/>
          <w:color w:val="000000"/>
          <w:lang w:val="en-US" w:eastAsia="zh-CN"/>
        </w:rPr>
        <w:t>4.3.6</w:t>
      </w:r>
      <w:r>
        <w:rPr>
          <w:rFonts w:hint="eastAsia" w:ascii="Times New Roman" w:hAnsi="Times New Roman" w:eastAsia="宋体" w:cs="Times New Roman"/>
          <w:b/>
          <w:color w:val="000000"/>
        </w:rPr>
        <w:t>.</w:t>
      </w:r>
      <w:r>
        <w:rPr>
          <w:rFonts w:hint="eastAsia" w:eastAsia="宋体" w:cs="Times New Roman"/>
          <w:b/>
          <w:color w:val="000000"/>
          <w:lang w:val="en-US" w:eastAsia="zh-CN"/>
        </w:rPr>
        <w:t>6</w:t>
      </w:r>
      <w:r>
        <w:rPr>
          <w:rFonts w:hint="eastAsia" w:ascii="Times New Roman" w:hAnsi="Times New Roman" w:eastAsia="宋体" w:cs="Times New Roman"/>
          <w:b/>
          <w:color w:val="000000"/>
        </w:rPr>
        <w:t xml:space="preserve"> 危险物品泄漏防范措施</w:t>
      </w:r>
    </w:p>
    <w:p>
      <w:pPr>
        <w:ind w:firstLine="480"/>
        <w:rPr>
          <w:rFonts w:hint="eastAsia" w:ascii="Times New Roman" w:hAnsi="Times New Roman" w:eastAsia="宋体" w:cs="Times New Roman"/>
          <w:color w:val="auto"/>
          <w:kern w:val="0"/>
        </w:rPr>
      </w:pPr>
      <w:r>
        <w:rPr>
          <w:rFonts w:hint="eastAsia" w:ascii="Times New Roman" w:hAnsi="Times New Roman" w:eastAsia="宋体" w:cs="Times New Roman"/>
          <w:color w:val="auto"/>
          <w:kern w:val="0"/>
        </w:rPr>
        <w:t>对污水处理站加药间、储药间地面进行防腐防渗处理，盐酸、氢氧化钠溶液 应设置围堰，对事故泄</w:t>
      </w:r>
      <w:r>
        <w:rPr>
          <w:rFonts w:hint="eastAsia" w:ascii="Times New Roman" w:hAnsi="Times New Roman" w:eastAsia="宋体" w:cs="Times New Roman"/>
          <w:color w:val="auto"/>
          <w:kern w:val="0"/>
          <w:u w:val="none"/>
        </w:rPr>
        <w:t>漏</w:t>
      </w:r>
      <w:r>
        <w:rPr>
          <w:rFonts w:hint="eastAsia" w:ascii="Times New Roman" w:hAnsi="Times New Roman" w:eastAsia="宋体" w:cs="Times New Roman"/>
          <w:color w:val="auto"/>
          <w:kern w:val="0"/>
        </w:rPr>
        <w:t>的盐酸要尽快中和、稀释，确保事故在小范围内得到适 当的处理。盐酸小量泄漏时用砂土吸收；大量泄漏时构筑围堤或挖坑收容，用泡 沫覆盖，降低蒸气灾害。</w:t>
      </w:r>
    </w:p>
    <w:p>
      <w:pPr>
        <w:ind w:firstLine="480"/>
        <w:rPr>
          <w:rFonts w:hint="eastAsia" w:ascii="Times New Roman" w:hAnsi="Times New Roman" w:eastAsia="宋体" w:cs="Times New Roman"/>
          <w:color w:val="auto"/>
          <w:kern w:val="0"/>
        </w:rPr>
      </w:pPr>
      <w:r>
        <w:rPr>
          <w:rFonts w:hint="eastAsia" w:ascii="Times New Roman" w:hAnsi="Times New Roman" w:eastAsia="宋体" w:cs="Times New Roman"/>
          <w:color w:val="auto"/>
          <w:kern w:val="0"/>
        </w:rPr>
        <w:t>加强对重金属污泥的管理，不得随意堆放、移动；定期委托资质单位清运。</w:t>
      </w:r>
    </w:p>
    <w:p>
      <w:pPr>
        <w:pStyle w:val="81"/>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4.3.7 突发环境事件应急措施</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应急预案是一项系统工程，必须包括组织指挥、协调、作业方面的内容。污 水处理厂虽然采取了较为严格的事故风险防范措施，但仍有可能发生溢流或者故 障引起泄露情况，对发生地环境空气、水环境构成环境事故污染。根据《建设项 目环境风险评价技术导则》(HJ169-2018)要求，项目应制定事故应急单元，以便事故发生时，通过事故鉴别，及时采取有针对性的措施，控制事故的进一步发展， 把事故造成的破坏降至最低程度。</w:t>
      </w:r>
    </w:p>
    <w:p>
      <w:pPr>
        <w:ind w:firstLine="480"/>
        <w:rPr>
          <w:rFonts w:hint="eastAsia" w:ascii="Times New Roman" w:hAnsi="Times New Roman" w:eastAsia="宋体" w:cs="Times New Roman"/>
          <w:b/>
          <w:bCs/>
          <w:color w:val="000000"/>
          <w:kern w:val="0"/>
        </w:rPr>
      </w:pPr>
      <w:r>
        <w:rPr>
          <w:rFonts w:hint="eastAsia" w:eastAsia="宋体" w:cs="Times New Roman"/>
          <w:b/>
          <w:bCs/>
          <w:color w:val="000000"/>
          <w:kern w:val="0"/>
          <w:lang w:val="en-US" w:eastAsia="zh-CN"/>
        </w:rPr>
        <w:t>4.3.7.1</w:t>
      </w:r>
      <w:r>
        <w:rPr>
          <w:rFonts w:hint="eastAsia" w:ascii="Times New Roman" w:hAnsi="Times New Roman" w:eastAsia="宋体" w:cs="Times New Roman"/>
          <w:b/>
          <w:bCs/>
          <w:color w:val="000000"/>
          <w:kern w:val="0"/>
        </w:rPr>
        <w:tab/>
      </w:r>
      <w:r>
        <w:rPr>
          <w:rFonts w:hint="eastAsia" w:ascii="Times New Roman" w:hAnsi="Times New Roman" w:eastAsia="宋体" w:cs="Times New Roman"/>
          <w:b/>
          <w:bCs/>
          <w:color w:val="000000"/>
          <w:kern w:val="0"/>
        </w:rPr>
        <w:t>厂内应急措施</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1、应急救援体制及指挥系统</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①应急救援指挥部设在污水厂生产调度室，由厂长任指挥，副厂长或总工程 师任副指挥，各处长或科长任指挥员。日常以生产调度室为联络指挥部，一旦发 生灾害，即由抢险救灾指挥部统一指挥。</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②车间抢险救援指挥部设在污水厂生产调度室，由车间主任担任车间指挥， 由值班班长及工作人员担任成员。</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2、报警与联络 根据设施的规模考虑紧急报警系统的需求，厂内多处安装报警系统，并达到一定的数量，在噪声较高处考虑安装显示性报警装置；将报警步骤告知所有的工人以确保能尽快采取措施，控制态势的发展。工作场所警报响起来时，为能尽快通知应急服务机构，企业应保证具有一个可靠的通讯系统。</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3、紧急疏散 发生安全事故时，现场人员应向上风向转移，不要在低洼处滞留；明确专人引导和护送疏散非相关人员到安全区，并在疏散或撤离的路线上设置清洗标志， 指明方向。指定专人记录到达安全区的人员名单，查清滞留在现场的人员名单。</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4、现场救援</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①化学烧伤 由于热力作用化学刺激或腐蚀造成皮肤、眼的烧伤，有的化学物质还可以从创面吸收甚至引起全身中毒。因此化学灼伤比火焰烧伤更需要重视。 化学性皮肤烧伤现场处理方法：立即移离现场，迅速脱去被化学物沾污的衣裤、鞋袜等，立即用大量流动自来水或清洗水冲洗创面15~30分钟，及时送医院；不要在新鲜创面上涂上油膏或红药水、紫药水，不用脏布包裹。</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化学性眼烧伤现场处理方法：迅速在现场用流动清水冲洗，千万不要未经冲 洗处理而急于送医院；冲洗时眼皮一定要掰开。</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② 化学品急性中毒 化学品急性中毒现场处理方法如下：</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A、吸入中毒者，应迅速脱离现场，向上风向转移，至空气新鲜处；松开患 者衣领和裤带，并注意保暖。</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B、化学毒物沾染皮肤时，应迅速脱去污染的衣服、鞋袜等，用大量流动清 水冲洗15~30分钟；头面部受污染时，首先注意眼睛的冲洗。口服中毒者，如为非腐蚀性物质，应立即用催吐方法使毒物喷出；现场可用自己的中指、食指刺激咽部、压舌根的方法催吐，也可由旁人用羽毛或筷子一端扎上棉花刺激咽部催 吐；催吐使尽量低头、身体向前弯曲，呕吐不会呛入肺部；另外，对失去知觉者， 呕吐物会误吸入肺；有抽搐、呼吸困难、神智不清或吸气时有吼声者不能催吐。</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C、对中毒引起呼吸、心跳停止者，应进行心肺复苏术，主要的方法有口对 口人工呼吸和心脏胸外挤压术。</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D、参加救护者，必须做好个人防护，进入中毒现场必须戴防毒面具或供氧 式防毒面具。在抢救病人的同时，应想方设法阻断毒物泄漏处，阻止蔓延扩散。</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E、及时送医院抢救，护送者要向院方提供引起中毒的原因、毒物名称等， 以供医院及时检测。</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5、泄漏处置</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①泄漏源控制 若管线发生泄漏，应采取关闭阀门、停止进水，或改变工艺流程、污水进入</w:t>
      </w:r>
      <w:r>
        <w:rPr>
          <w:rFonts w:hint="eastAsia" w:ascii="Times New Roman" w:hAnsi="Times New Roman" w:eastAsia="宋体" w:cs="Times New Roman"/>
          <w:color w:val="000000"/>
          <w:kern w:val="0"/>
          <w:lang w:eastAsia="zh-CN"/>
        </w:rPr>
        <w:t>厂区调节池</w:t>
      </w:r>
      <w:r>
        <w:rPr>
          <w:rFonts w:hint="eastAsia" w:ascii="Times New Roman" w:hAnsi="Times New Roman" w:eastAsia="宋体" w:cs="Times New Roman"/>
          <w:color w:val="000000"/>
          <w:kern w:val="0"/>
        </w:rPr>
        <w:t>、降低处理负荷运行等办法，控制泄漏。</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②泄漏处理</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现场泄漏物由受过特别训练的人员处理。</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6、火灾控制 发生火灾时，灭火人员不应单独灭火，出口应始终保持清洁和畅通，要选择正确的灭火剂，灭火时还应考虑着火物质是否有毒、考虑人员的安全。必要时采取堵漏或隔离措施，预防次生灾害扩大。当火灾消灭以后，仍然要派监护，清理现场，消灭余火。</w:t>
      </w:r>
    </w:p>
    <w:p>
      <w:pPr>
        <w:ind w:firstLine="480"/>
        <w:rPr>
          <w:rFonts w:hint="eastAsia" w:ascii="Times New Roman" w:hAnsi="Times New Roman" w:eastAsia="宋体" w:cs="Times New Roman"/>
          <w:b/>
          <w:bCs/>
          <w:color w:val="000000"/>
          <w:kern w:val="0"/>
        </w:rPr>
      </w:pPr>
      <w:r>
        <w:rPr>
          <w:rFonts w:hint="eastAsia" w:eastAsia="宋体" w:cs="Times New Roman"/>
          <w:b/>
          <w:bCs/>
          <w:color w:val="000000"/>
          <w:kern w:val="0"/>
          <w:lang w:val="en-US" w:eastAsia="zh-CN"/>
        </w:rPr>
        <w:t>4.3.7.2</w:t>
      </w:r>
      <w:r>
        <w:rPr>
          <w:rFonts w:hint="eastAsia" w:ascii="Times New Roman" w:hAnsi="Times New Roman" w:eastAsia="宋体" w:cs="Times New Roman"/>
          <w:b/>
          <w:bCs/>
          <w:color w:val="000000"/>
          <w:kern w:val="0"/>
        </w:rPr>
        <w:tab/>
      </w:r>
      <w:r>
        <w:rPr>
          <w:rFonts w:hint="eastAsia" w:ascii="Times New Roman" w:hAnsi="Times New Roman" w:eastAsia="宋体" w:cs="Times New Roman"/>
          <w:b/>
          <w:bCs/>
          <w:color w:val="000000"/>
          <w:kern w:val="0"/>
        </w:rPr>
        <w:t>厂外应急措施</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厂外应急计划需调动公安部门、消防机构、卫生部门、政府安全监察部门等， 组成应急救援队伍。</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应急预防和保障方案</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1、内部保障</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①建立了应急救援队伍，包括技术、灭火、疏散、抢修、现场救护、医疗、 通讯等人员；</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②企业配备有消防布置图、现场平面布置图、危险化学品安全技术说明书等；</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③有完善的应急通信系统；</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④设置了应急电源、照明灯等；</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⑤设有急救药箱，己配备救护人员；</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⑥为员工配备了齐全的个人防护用品；</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⑦建立了安全生产责任制、安全培训制度、应急救援演练制度；</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⑧建立了值班制度；</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⑨企业消防设施由各部门安全员专人维护管理；</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2、 培训计划</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①应急救援人员及员工的应急回应的培训总指挥计划、牵头，对相关人员进 行事故应急救援培训。企业进行预警级(三级)应急培训每年应不少于两次，企业 应急(二级)回应培训每年应不少于一次，并记录。</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②培训内容 企业的事故特征、企业危险分析与后果评价、应急事故分级应急救援系统与指挥体系，各应急救援组织的职责、应急状态下专项应急救援队完成应急任务中 所需的基本知识与技能等。</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3、 社区或周边人员应急回应知识宣传</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公司每年定期对周边界区人员进行应急知识宣传，以提高相关人员对危险目 标的认识。</w:t>
      </w:r>
    </w:p>
    <w:p>
      <w:pPr>
        <w:ind w:firstLine="480"/>
        <w:rPr>
          <w:rFonts w:hint="eastAsia" w:ascii="Times New Roman" w:hAnsi="Times New Roman" w:eastAsia="宋体" w:cs="Times New Roman"/>
          <w:b/>
          <w:bCs/>
          <w:color w:val="000000"/>
          <w:kern w:val="0"/>
        </w:rPr>
      </w:pPr>
      <w:r>
        <w:rPr>
          <w:rFonts w:hint="eastAsia" w:eastAsia="宋体" w:cs="Times New Roman"/>
          <w:b/>
          <w:bCs/>
          <w:color w:val="000000"/>
          <w:kern w:val="0"/>
          <w:lang w:val="en-US" w:eastAsia="zh-CN"/>
        </w:rPr>
        <w:t>4.3.7.3</w:t>
      </w:r>
      <w:r>
        <w:rPr>
          <w:rFonts w:hint="eastAsia" w:ascii="Times New Roman" w:hAnsi="Times New Roman" w:eastAsia="宋体" w:cs="Times New Roman"/>
          <w:b/>
          <w:bCs/>
          <w:color w:val="000000"/>
          <w:kern w:val="0"/>
        </w:rPr>
        <w:t>应急培训</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要加强对各救援队伍的培训。每年对应急救援人员进行一次培训；做到四懂</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（懂得泄漏和火灾的危险性、预防措施、安全处置、逃生方法），四会（会报警、 使用灭火器、灭初期火、逃生）。</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另外，应注意加强社区或周边人员应急回应知识的宣传，通过板报、传单、 讲课等形式，使社区或周边人员了解一定的事故防范措施。</w:t>
      </w:r>
    </w:p>
    <w:p>
      <w:pPr>
        <w:ind w:firstLine="480"/>
        <w:rPr>
          <w:rFonts w:hint="eastAsia" w:ascii="Times New Roman" w:hAnsi="Times New Roman" w:eastAsia="宋体" w:cs="Times New Roman"/>
          <w:color w:val="000000"/>
          <w:kern w:val="0"/>
        </w:rPr>
      </w:pPr>
      <w:r>
        <w:rPr>
          <w:rFonts w:hint="eastAsia" w:eastAsia="宋体" w:cs="Times New Roman"/>
          <w:b/>
          <w:bCs/>
          <w:color w:val="000000"/>
          <w:kern w:val="0"/>
          <w:lang w:val="en-US" w:eastAsia="zh-CN"/>
        </w:rPr>
        <w:t xml:space="preserve"> </w:t>
      </w:r>
      <w:r>
        <w:rPr>
          <w:rFonts w:hint="eastAsia" w:ascii="Times New Roman" w:hAnsi="Times New Roman" w:eastAsia="宋体" w:cs="Times New Roman"/>
          <w:color w:val="000000"/>
          <w:kern w:val="0"/>
        </w:rPr>
        <w:t>（1）应急预案回应级别分级 对应于风险事故的分级，应急预案也相应的分为三级回应机制，由低到高为</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Ⅲ级（一般事故）、Ⅱ级（重大事故）、Ⅰ级（特大事故）。 Ⅲ级（一般事故）：发生一般事故时，生产人员应该立即报警，启动装置级</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环境风险事件应急预案，根据应急反应计划安排，迅速转变为应急处理人员，按 照预定方案投入扑救行动；</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Ⅱ级（重大事故）：发生重大事故时，公司内应急指挥领导小组迅速启动装 置级、公司级两级环境风险事件应急预案，同时告知当地政府预警；</w:t>
      </w:r>
    </w:p>
    <w:p>
      <w:pPr>
        <w:ind w:firstLine="480"/>
        <w:rPr>
          <w:rFonts w:hint="eastAsia" w:ascii="Times New Roman" w:hAnsi="Times New Roman" w:eastAsia="宋体" w:cs="Times New Roman"/>
          <w:color w:val="000000"/>
          <w:kern w:val="0"/>
        </w:rPr>
      </w:pPr>
      <w:r>
        <w:rPr>
          <w:rFonts w:hint="eastAsia" w:ascii="Times New Roman" w:hAnsi="Times New Roman" w:eastAsia="宋体" w:cs="Times New Roman"/>
          <w:color w:val="000000"/>
          <w:kern w:val="0"/>
        </w:rPr>
        <w:t>Ⅰ级（特大事故）：发生特大事故时，公司内应急指挥领导小组迅速启动装 置级、公司级两级环境风险事件应急预案，同时告知园区及地方政府协调分别启动《</w:t>
      </w:r>
      <w:r>
        <w:rPr>
          <w:rFonts w:hint="eastAsia" w:ascii="Times New Roman" w:hAnsi="Times New Roman" w:eastAsia="宋体" w:cs="Times New Roman"/>
          <w:color w:val="000000"/>
          <w:kern w:val="0"/>
          <w:lang w:eastAsia="zh-CN"/>
        </w:rPr>
        <w:t>花垣工业集中区</w:t>
      </w:r>
      <w:r>
        <w:rPr>
          <w:rFonts w:hint="eastAsia" w:ascii="Times New Roman" w:hAnsi="Times New Roman" w:eastAsia="宋体" w:cs="Times New Roman"/>
          <w:color w:val="000000"/>
          <w:kern w:val="0"/>
        </w:rPr>
        <w:t>产业园突发环境事件应急预案》进行联动，协助企业处理突发事故。</w:t>
      </w:r>
    </w:p>
    <w:p>
      <w:pPr>
        <w:pStyle w:val="81"/>
        <w:rPr>
          <w:rFonts w:hint="eastAsia" w:ascii="Times New Roman" w:hAnsi="Times New Roman" w:eastAsia="宋体" w:cs="Times New Roman"/>
          <w:b/>
          <w:bCs/>
          <w:color w:val="000000"/>
          <w:kern w:val="2"/>
          <w:sz w:val="24"/>
          <w:szCs w:val="24"/>
          <w:lang w:val="en-US" w:eastAsia="zh-CN" w:bidi="ar-SA"/>
        </w:rPr>
      </w:pPr>
      <w:r>
        <w:rPr>
          <w:rFonts w:hint="eastAsia" w:ascii="Times New Roman" w:hAnsi="Times New Roman" w:eastAsia="宋体" w:cs="Times New Roman"/>
          <w:b/>
          <w:bCs/>
          <w:color w:val="000000"/>
          <w:kern w:val="2"/>
          <w:sz w:val="24"/>
          <w:szCs w:val="24"/>
          <w:lang w:val="en-US" w:eastAsia="zh-CN" w:bidi="ar-SA"/>
        </w:rPr>
        <w:t>4.3.8环境风险评价结论</w:t>
      </w:r>
    </w:p>
    <w:p>
      <w:pPr>
        <w:ind w:firstLine="480"/>
        <w:rPr>
          <w:rFonts w:hint="eastAsia" w:eastAsia="宋体"/>
          <w:color w:val="000000"/>
          <w:kern w:val="0"/>
          <w:lang w:eastAsia="zh-CN"/>
        </w:rPr>
      </w:pPr>
      <w:r>
        <w:rPr>
          <w:color w:val="000000"/>
          <w:kern w:val="0"/>
        </w:rPr>
        <w:t>综合以上分析，本项目污水处理具有潜在的事故风险，尽管事故概率较小，但要从建设、生产、贮运等各方面积极采取防护措施，为了防范事故和减少危害，需要制定灾害事故的具体应急预案。当出现事故时，要采取紧急的工程应急措施，如有必要，要采取社会应急措施，以控制事故和减少对环境造成的危害。在落实上述环境风险防范措施后，项目存在的环境风险可接受</w:t>
      </w:r>
      <w:r>
        <w:rPr>
          <w:rFonts w:hint="eastAsia"/>
          <w:color w:val="000000"/>
          <w:kern w:val="0"/>
          <w:lang w:eastAsia="zh-CN"/>
        </w:rPr>
        <w:t>。</w:t>
      </w:r>
    </w:p>
    <w:p>
      <w:pPr>
        <w:ind w:firstLine="480"/>
        <w:rPr>
          <w:rFonts w:ascii="Times New Roman" w:hAnsi="Times New Roman" w:eastAsia="宋体" w:cs="Times New Roman"/>
          <w:szCs w:val="20"/>
        </w:rPr>
      </w:pPr>
      <w:r>
        <w:rPr>
          <w:rFonts w:ascii="Times New Roman" w:hAnsi="Times New Roman" w:eastAsia="宋体" w:cs="Times New Roman"/>
          <w:szCs w:val="20"/>
        </w:rPr>
        <w:t>项目环境风险评价自查表见下表</w:t>
      </w:r>
    </w:p>
    <w:p>
      <w:pPr>
        <w:ind w:firstLine="482"/>
        <w:jc w:val="center"/>
        <w:rPr>
          <w:rFonts w:ascii="Times New Roman" w:hAnsi="Times New Roman" w:eastAsia="宋体" w:cs="Times New Roman"/>
          <w:b/>
          <w:sz w:val="21"/>
          <w:szCs w:val="21"/>
        </w:rPr>
      </w:pPr>
      <w:r>
        <w:rPr>
          <w:rFonts w:ascii="Times New Roman" w:hAnsi="Times New Roman" w:eastAsia="宋体" w:cs="Times New Roman"/>
          <w:b/>
          <w:sz w:val="21"/>
          <w:szCs w:val="21"/>
        </w:rPr>
        <w:t>表</w:t>
      </w:r>
      <w:r>
        <w:rPr>
          <w:rFonts w:hint="eastAsia" w:eastAsia="宋体" w:cs="Times New Roman"/>
          <w:b/>
          <w:sz w:val="21"/>
          <w:szCs w:val="21"/>
          <w:lang w:val="en-US" w:eastAsia="zh-CN"/>
        </w:rPr>
        <w:t>4.3</w:t>
      </w:r>
      <w:r>
        <w:rPr>
          <w:rFonts w:ascii="Times New Roman" w:hAnsi="Times New Roman" w:eastAsia="宋体" w:cs="Times New Roman"/>
          <w:b/>
          <w:sz w:val="21"/>
          <w:szCs w:val="21"/>
        </w:rPr>
        <w:t>-</w:t>
      </w:r>
      <w:r>
        <w:rPr>
          <w:rFonts w:hint="eastAsia" w:eastAsia="宋体" w:cs="Times New Roman"/>
          <w:b/>
          <w:sz w:val="21"/>
          <w:szCs w:val="21"/>
          <w:lang w:val="en-US" w:eastAsia="zh-CN"/>
        </w:rPr>
        <w:t>14</w:t>
      </w:r>
      <w:r>
        <w:rPr>
          <w:rFonts w:ascii="Times New Roman" w:hAnsi="Times New Roman" w:eastAsia="宋体" w:cs="Times New Roman"/>
          <w:b/>
          <w:sz w:val="21"/>
          <w:szCs w:val="21"/>
        </w:rPr>
        <w:t xml:space="preserve"> 建设项目环境风险简单分析内容表</w:t>
      </w:r>
    </w:p>
    <w:tbl>
      <w:tblPr>
        <w:tblStyle w:val="37"/>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37"/>
        <w:gridCol w:w="1240"/>
        <w:gridCol w:w="1239"/>
        <w:gridCol w:w="1082"/>
        <w:gridCol w:w="1128"/>
        <w:gridCol w:w="207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537" w:type="dxa"/>
            <w:noWrap w:val="0"/>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建设项目名称</w:t>
            </w:r>
          </w:p>
        </w:tc>
        <w:tc>
          <w:tcPr>
            <w:tcW w:w="6759" w:type="dxa"/>
            <w:gridSpan w:val="5"/>
            <w:noWrap w:val="0"/>
            <w:vAlign w:val="center"/>
          </w:tcPr>
          <w:p>
            <w:pPr>
              <w:spacing w:line="240" w:lineRule="auto"/>
              <w:ind w:firstLine="0" w:firstLineChars="0"/>
              <w:jc w:val="center"/>
              <w:rPr>
                <w:rFonts w:hint="eastAsia" w:ascii="Times New Roman" w:hAnsi="Times New Roman" w:eastAsia="宋体"/>
                <w:sz w:val="21"/>
                <w:szCs w:val="21"/>
                <w:lang w:eastAsia="zh-CN"/>
              </w:rPr>
            </w:pPr>
            <w:r>
              <w:rPr>
                <w:rFonts w:hint="eastAsia" w:ascii="Times New Roman" w:hAnsi="Times New Roman"/>
                <w:sz w:val="21"/>
                <w:szCs w:val="21"/>
                <w:lang w:eastAsia="zh-CN"/>
              </w:rPr>
              <w:t>花垣县工业集中区重金属废水处理工程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537" w:type="dxa"/>
            <w:noWrap w:val="0"/>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建设地点</w:t>
            </w:r>
          </w:p>
        </w:tc>
        <w:tc>
          <w:tcPr>
            <w:tcW w:w="1240" w:type="dxa"/>
            <w:noWrap w:val="0"/>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（湖南）省</w:t>
            </w:r>
          </w:p>
        </w:tc>
        <w:tc>
          <w:tcPr>
            <w:tcW w:w="1239" w:type="dxa"/>
            <w:noWrap w:val="0"/>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w:t>
            </w:r>
            <w:r>
              <w:rPr>
                <w:rFonts w:hint="eastAsia" w:ascii="Times New Roman" w:hAnsi="Times New Roman"/>
                <w:sz w:val="21"/>
                <w:szCs w:val="21"/>
              </w:rPr>
              <w:t>湘西州</w:t>
            </w:r>
            <w:r>
              <w:rPr>
                <w:rFonts w:ascii="Times New Roman" w:hAnsi="Times New Roman"/>
                <w:sz w:val="21"/>
                <w:szCs w:val="21"/>
              </w:rPr>
              <w:t>）市</w:t>
            </w:r>
          </w:p>
        </w:tc>
        <w:tc>
          <w:tcPr>
            <w:tcW w:w="1082" w:type="dxa"/>
            <w:noWrap w:val="0"/>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w:t>
            </w:r>
            <w:r>
              <w:rPr>
                <w:rFonts w:hint="eastAsia" w:ascii="Times New Roman" w:hAnsi="Times New Roman"/>
                <w:sz w:val="21"/>
                <w:szCs w:val="21"/>
              </w:rPr>
              <w:t>/</w:t>
            </w:r>
            <w:r>
              <w:rPr>
                <w:rFonts w:ascii="Times New Roman" w:hAnsi="Times New Roman"/>
                <w:sz w:val="21"/>
                <w:szCs w:val="21"/>
              </w:rPr>
              <w:t>）市</w:t>
            </w:r>
          </w:p>
        </w:tc>
        <w:tc>
          <w:tcPr>
            <w:tcW w:w="1128" w:type="dxa"/>
            <w:noWrap w:val="0"/>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w:t>
            </w:r>
            <w:r>
              <w:rPr>
                <w:rFonts w:hint="eastAsia" w:ascii="Times New Roman" w:hAnsi="Times New Roman"/>
                <w:sz w:val="21"/>
                <w:szCs w:val="21"/>
                <w:lang w:eastAsia="zh-CN"/>
              </w:rPr>
              <w:t>花垣</w:t>
            </w:r>
            <w:r>
              <w:rPr>
                <w:rFonts w:ascii="Times New Roman" w:hAnsi="Times New Roman"/>
                <w:sz w:val="21"/>
                <w:szCs w:val="21"/>
              </w:rPr>
              <w:t>）县</w:t>
            </w:r>
          </w:p>
        </w:tc>
        <w:tc>
          <w:tcPr>
            <w:tcW w:w="2070" w:type="dxa"/>
            <w:noWrap w:val="0"/>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w:t>
            </w:r>
            <w:r>
              <w:rPr>
                <w:rFonts w:hint="eastAsia" w:ascii="Times New Roman" w:hAnsi="Times New Roman"/>
                <w:sz w:val="21"/>
                <w:szCs w:val="21"/>
                <w:lang w:eastAsia="zh-CN"/>
              </w:rPr>
              <w:t>花垣工业集中区</w:t>
            </w:r>
            <w:r>
              <w:rPr>
                <w:rFonts w:ascii="Times New Roman" w:hAnsi="Times New Roman"/>
                <w:sz w:val="21"/>
                <w:szCs w:val="21"/>
              </w:rPr>
              <w:t>）园区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537" w:type="dxa"/>
            <w:noWrap w:val="0"/>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地理坐标</w:t>
            </w:r>
          </w:p>
        </w:tc>
        <w:tc>
          <w:tcPr>
            <w:tcW w:w="1240" w:type="dxa"/>
            <w:noWrap w:val="0"/>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经度</w:t>
            </w:r>
          </w:p>
        </w:tc>
        <w:tc>
          <w:tcPr>
            <w:tcW w:w="2321" w:type="dxa"/>
            <w:gridSpan w:val="2"/>
            <w:noWrap w:val="0"/>
            <w:vAlign w:val="center"/>
          </w:tcPr>
          <w:p>
            <w:pPr>
              <w:spacing w:line="240" w:lineRule="auto"/>
              <w:ind w:firstLine="0" w:firstLineChars="0"/>
              <w:jc w:val="center"/>
              <w:rPr>
                <w:rFonts w:hint="eastAsia" w:ascii="Times New Roman" w:hAnsi="Times New Roman" w:eastAsia="宋体"/>
                <w:sz w:val="21"/>
                <w:szCs w:val="21"/>
                <w:lang w:eastAsia="zh-CN"/>
              </w:rPr>
            </w:pPr>
            <w:r>
              <w:rPr>
                <w:rFonts w:hint="eastAsia" w:ascii="Times New Roman" w:hAnsi="Times New Roman"/>
                <w:sz w:val="21"/>
                <w:szCs w:val="21"/>
                <w:lang w:val="en-US" w:eastAsia="zh-CN"/>
              </w:rPr>
              <w:t>/</w:t>
            </w:r>
          </w:p>
        </w:tc>
        <w:tc>
          <w:tcPr>
            <w:tcW w:w="1128" w:type="dxa"/>
            <w:noWrap w:val="0"/>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纬度</w:t>
            </w:r>
          </w:p>
        </w:tc>
        <w:tc>
          <w:tcPr>
            <w:tcW w:w="2070" w:type="dxa"/>
            <w:noWrap w:val="0"/>
            <w:vAlign w:val="center"/>
          </w:tcPr>
          <w:p>
            <w:pPr>
              <w:spacing w:line="240" w:lineRule="auto"/>
              <w:ind w:firstLine="0" w:firstLineChars="0"/>
              <w:jc w:val="center"/>
              <w:rPr>
                <w:rFonts w:hint="eastAsia" w:ascii="Times New Roman" w:hAnsi="Times New Roman" w:eastAsia="宋体"/>
                <w:sz w:val="21"/>
                <w:szCs w:val="21"/>
                <w:lang w:eastAsia="zh-CN"/>
              </w:rPr>
            </w:pPr>
            <w:r>
              <w:rPr>
                <w:rFonts w:hint="eastAsia" w:ascii="Times New Roman" w:hAnsi="Times New Roman"/>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c>
          <w:tcPr>
            <w:tcW w:w="1537" w:type="dxa"/>
            <w:noWrap w:val="0"/>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主要危险物质及分布</w:t>
            </w:r>
          </w:p>
        </w:tc>
        <w:tc>
          <w:tcPr>
            <w:tcW w:w="6759" w:type="dxa"/>
            <w:gridSpan w:val="5"/>
            <w:noWrap w:val="0"/>
            <w:vAlign w:val="center"/>
          </w:tcPr>
          <w:p>
            <w:pPr>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氢氧化钠、盐酸：储药房；</w:t>
            </w:r>
          </w:p>
          <w:p>
            <w:pPr>
              <w:spacing w:line="240" w:lineRule="auto"/>
              <w:ind w:firstLine="0" w:firstLineChars="0"/>
              <w:jc w:val="center"/>
              <w:rPr>
                <w:rFonts w:hint="default" w:eastAsia="宋体"/>
                <w:lang w:val="en-US" w:eastAsia="zh-CN"/>
              </w:rPr>
            </w:pPr>
            <w:r>
              <w:rPr>
                <w:rFonts w:hint="eastAsia" w:ascii="Times New Roman" w:hAnsi="Times New Roman" w:eastAsia="宋体" w:cs="Times New Roman"/>
                <w:sz w:val="21"/>
                <w:szCs w:val="21"/>
                <w:lang w:val="en-US" w:eastAsia="zh-CN"/>
              </w:rPr>
              <w:t>含重金属污泥：污泥压缩房；</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537" w:type="dxa"/>
            <w:noWrap w:val="0"/>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环境影响途经及危害后果（大气、地表水、地下水等）</w:t>
            </w:r>
          </w:p>
        </w:tc>
        <w:tc>
          <w:tcPr>
            <w:tcW w:w="6759" w:type="dxa"/>
            <w:gridSpan w:val="5"/>
            <w:noWrap w:val="0"/>
            <w:vAlign w:val="center"/>
          </w:tcPr>
          <w:p>
            <w:pPr>
              <w:spacing w:line="240" w:lineRule="auto"/>
              <w:ind w:firstLine="0" w:firstLineChars="0"/>
              <w:jc w:val="center"/>
              <w:rPr>
                <w:rFonts w:hint="eastAsia" w:ascii="Times New Roman" w:hAnsi="Times New Roman"/>
                <w:sz w:val="21"/>
                <w:szCs w:val="21"/>
              </w:rPr>
            </w:pPr>
            <w:r>
              <w:rPr>
                <w:rFonts w:hint="eastAsia" w:ascii="Times New Roman" w:hAnsi="Times New Roman"/>
                <w:sz w:val="21"/>
                <w:szCs w:val="21"/>
              </w:rPr>
              <w:t>①氢氧化钠、盐酸泄露进入地表水，对区域</w:t>
            </w:r>
            <w:r>
              <w:rPr>
                <w:rFonts w:hint="eastAsia" w:ascii="Times New Roman" w:hAnsi="Times New Roman"/>
                <w:sz w:val="21"/>
                <w:szCs w:val="21"/>
                <w:lang w:eastAsia="zh-CN"/>
              </w:rPr>
              <w:t>花垣河</w:t>
            </w:r>
            <w:r>
              <w:rPr>
                <w:rFonts w:hint="eastAsia" w:ascii="Times New Roman" w:hAnsi="Times New Roman"/>
                <w:sz w:val="21"/>
                <w:szCs w:val="21"/>
              </w:rPr>
              <w:t>水环境造成影响。</w:t>
            </w:r>
          </w:p>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②含重金属污泥泄露，污染土壤、地下水。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537" w:type="dxa"/>
            <w:noWrap w:val="0"/>
            <w:vAlign w:val="center"/>
          </w:tcPr>
          <w:p>
            <w:pPr>
              <w:spacing w:line="240" w:lineRule="auto"/>
              <w:ind w:firstLine="0" w:firstLineChars="0"/>
              <w:jc w:val="center"/>
              <w:rPr>
                <w:rFonts w:ascii="Times New Roman" w:hAnsi="Times New Roman"/>
                <w:sz w:val="21"/>
                <w:szCs w:val="21"/>
              </w:rPr>
            </w:pPr>
            <w:r>
              <w:rPr>
                <w:rFonts w:ascii="Times New Roman" w:hAnsi="Times New Roman"/>
                <w:sz w:val="21"/>
                <w:szCs w:val="21"/>
              </w:rPr>
              <w:t>风险防范措施要求</w:t>
            </w:r>
          </w:p>
        </w:tc>
        <w:tc>
          <w:tcPr>
            <w:tcW w:w="6759" w:type="dxa"/>
            <w:gridSpan w:val="5"/>
            <w:noWrap w:val="0"/>
            <w:vAlign w:val="center"/>
          </w:tcPr>
          <w:p>
            <w:pPr>
              <w:spacing w:line="240" w:lineRule="auto"/>
              <w:ind w:firstLine="0" w:firstLineChars="0"/>
              <w:jc w:val="center"/>
              <w:rPr>
                <w:rFonts w:hint="eastAsia" w:ascii="Times New Roman" w:hAnsi="Times New Roman"/>
                <w:sz w:val="21"/>
                <w:szCs w:val="21"/>
              </w:rPr>
            </w:pPr>
            <w:r>
              <w:rPr>
                <w:rFonts w:hint="eastAsia" w:ascii="Times New Roman" w:hAnsi="Times New Roman"/>
                <w:sz w:val="21"/>
                <w:szCs w:val="21"/>
              </w:rPr>
              <w:t>①对污水处理站加药间、储药间地面进行防腐防渗处理，盐酸、氢氧化钠溶液应设置围堰，对事故泄漏的盐酸要尽快中和、稀释，确保事故在小范围内得到适当的处理；</w:t>
            </w:r>
          </w:p>
          <w:p>
            <w:pPr>
              <w:spacing w:line="240" w:lineRule="auto"/>
              <w:ind w:firstLine="0" w:firstLineChars="0"/>
              <w:jc w:val="center"/>
              <w:rPr>
                <w:rFonts w:hint="eastAsia" w:ascii="Times New Roman" w:hAnsi="Times New Roman"/>
                <w:sz w:val="21"/>
                <w:szCs w:val="21"/>
              </w:rPr>
            </w:pPr>
            <w:r>
              <w:rPr>
                <w:rFonts w:hint="eastAsia" w:ascii="Times New Roman" w:hAnsi="Times New Roman"/>
                <w:sz w:val="21"/>
                <w:szCs w:val="21"/>
              </w:rPr>
              <w:t>②加强日常排查和检修。</w:t>
            </w:r>
          </w:p>
          <w:p>
            <w:pPr>
              <w:spacing w:line="240" w:lineRule="auto"/>
              <w:ind w:firstLine="0" w:firstLineChars="0"/>
              <w:jc w:val="center"/>
              <w:rPr>
                <w:rFonts w:ascii="Times New Roman" w:hAnsi="Times New Roman"/>
                <w:sz w:val="21"/>
                <w:szCs w:val="21"/>
              </w:rPr>
            </w:pPr>
            <w:r>
              <w:rPr>
                <w:rFonts w:hint="eastAsia" w:ascii="Times New Roman" w:hAnsi="Times New Roman"/>
                <w:sz w:val="21"/>
                <w:szCs w:val="21"/>
              </w:rPr>
              <w:t>③规范重金属污泥储存及转运管理</w:t>
            </w:r>
            <w:r>
              <w:rPr>
                <w:rFonts w:ascii="Times New Roman" w:hAnsi="Times New Roman"/>
                <w:sz w:val="21"/>
                <w:szCs w:val="21"/>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8296" w:type="dxa"/>
            <w:gridSpan w:val="6"/>
            <w:noWrap w:val="0"/>
            <w:vAlign w:val="top"/>
          </w:tcPr>
          <w:p>
            <w:pPr>
              <w:spacing w:line="240" w:lineRule="auto"/>
              <w:ind w:firstLine="0" w:firstLineChars="0"/>
              <w:jc w:val="center"/>
              <w:rPr>
                <w:rFonts w:ascii="Times New Roman" w:hAnsi="Times New Roman"/>
                <w:sz w:val="21"/>
                <w:szCs w:val="21"/>
              </w:rPr>
            </w:pPr>
            <w:r>
              <w:rPr>
                <w:rFonts w:ascii="Times New Roman" w:hAnsi="Times New Roman"/>
                <w:sz w:val="21"/>
                <w:szCs w:val="21"/>
              </w:rPr>
              <w:t>填表说明（列出项目相关信息及评价说明）：</w:t>
            </w:r>
          </w:p>
        </w:tc>
      </w:tr>
    </w:tbl>
    <w:p>
      <w:pPr>
        <w:ind w:firstLine="480"/>
        <w:rPr>
          <w:color w:val="000000"/>
          <w:kern w:val="0"/>
        </w:rPr>
      </w:pPr>
    </w:p>
    <w:p>
      <w:pPr>
        <w:ind w:firstLine="480"/>
        <w:rPr>
          <w:color w:val="000000"/>
          <w:kern w:val="0"/>
        </w:rPr>
      </w:pPr>
    </w:p>
    <w:p>
      <w:pPr>
        <w:ind w:firstLine="480"/>
        <w:rPr>
          <w:u w:val="single"/>
        </w:rPr>
        <w:sectPr>
          <w:pgSz w:w="11907" w:h="16840"/>
          <w:pgMar w:top="1440" w:right="1797" w:bottom="1440" w:left="1803"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7"/>
        <w:ind w:firstLine="643"/>
        <w:rPr>
          <w:color w:val="000000"/>
          <w:kern w:val="0"/>
        </w:rPr>
      </w:pPr>
      <w:bookmarkStart w:id="278" w:name="_Toc29308672"/>
      <w:bookmarkStart w:id="279" w:name="_Toc6777"/>
      <w:r>
        <w:rPr>
          <w:rFonts w:hint="eastAsia"/>
          <w:color w:val="000000"/>
          <w:kern w:val="0"/>
        </w:rPr>
        <w:t>第</w:t>
      </w:r>
      <w:r>
        <w:rPr>
          <w:color w:val="000000"/>
          <w:kern w:val="0"/>
        </w:rPr>
        <w:t>5</w:t>
      </w:r>
      <w:r>
        <w:rPr>
          <w:rFonts w:hint="eastAsia"/>
          <w:color w:val="000000"/>
          <w:kern w:val="0"/>
        </w:rPr>
        <w:t>章  环境保护措施及其可行性论证</w:t>
      </w:r>
      <w:bookmarkEnd w:id="278"/>
      <w:bookmarkEnd w:id="279"/>
    </w:p>
    <w:p>
      <w:pPr>
        <w:pStyle w:val="86"/>
        <w:spacing w:before="163" w:after="163"/>
        <w:rPr>
          <w:rFonts w:hint="eastAsia"/>
          <w:color w:val="000000"/>
          <w:kern w:val="0"/>
        </w:rPr>
      </w:pPr>
      <w:bookmarkStart w:id="280" w:name="_Toc29308673"/>
      <w:bookmarkStart w:id="281" w:name="_Toc29261"/>
      <w:r>
        <w:rPr>
          <w:color w:val="000000"/>
          <w:kern w:val="0"/>
        </w:rPr>
        <w:t>5</w:t>
      </w:r>
      <w:r>
        <w:rPr>
          <w:rFonts w:hint="eastAsia"/>
          <w:color w:val="000000"/>
          <w:kern w:val="0"/>
        </w:rPr>
        <w:t>.1施工期环境保护措施分析</w:t>
      </w:r>
      <w:bookmarkEnd w:id="280"/>
      <w:bookmarkEnd w:id="281"/>
    </w:p>
    <w:p>
      <w:pPr>
        <w:pStyle w:val="8"/>
        <w:spacing w:before="163"/>
        <w:rPr>
          <w:rFonts w:hint="eastAsia"/>
          <w:color w:val="000000"/>
        </w:rPr>
      </w:pPr>
      <w:r>
        <w:rPr>
          <w:color w:val="000000"/>
        </w:rPr>
        <w:t>5</w:t>
      </w:r>
      <w:r>
        <w:rPr>
          <w:rFonts w:hint="eastAsia"/>
          <w:color w:val="000000"/>
        </w:rPr>
        <w:t>.1.1  施工期大气污染防治措施</w:t>
      </w:r>
    </w:p>
    <w:p>
      <w:pPr>
        <w:pStyle w:val="81"/>
        <w:rPr>
          <w:rFonts w:hint="eastAsia"/>
          <w:color w:val="000000"/>
        </w:rPr>
      </w:pPr>
      <w:r>
        <w:rPr>
          <w:color w:val="000000"/>
        </w:rPr>
        <w:t>5.1.1.1</w:t>
      </w:r>
      <w:r>
        <w:rPr>
          <w:rFonts w:hint="eastAsia"/>
          <w:color w:val="000000"/>
        </w:rPr>
        <w:t>污水处理</w:t>
      </w:r>
      <w:r>
        <w:rPr>
          <w:rFonts w:hint="eastAsia"/>
          <w:color w:val="000000"/>
          <w:lang w:eastAsia="zh-CN"/>
        </w:rPr>
        <w:t>站</w:t>
      </w:r>
      <w:r>
        <w:rPr>
          <w:rFonts w:hint="eastAsia"/>
          <w:color w:val="000000"/>
        </w:rPr>
        <w:t>施工期大气污染防治措施</w:t>
      </w:r>
    </w:p>
    <w:p>
      <w:pPr>
        <w:ind w:firstLine="480"/>
        <w:rPr>
          <w:rFonts w:hint="eastAsia"/>
          <w:color w:val="auto"/>
          <w:kern w:val="0"/>
          <w:u w:val="single"/>
        </w:rPr>
      </w:pPr>
      <w:r>
        <w:rPr>
          <w:rFonts w:hint="eastAsia"/>
          <w:color w:val="auto"/>
          <w:kern w:val="0"/>
          <w:u w:val="single"/>
          <w:lang w:eastAsia="zh-CN"/>
        </w:rPr>
        <w:t>根据调查施工期已采取的措施为：</w:t>
      </w:r>
      <w:r>
        <w:rPr>
          <w:color w:val="auto"/>
          <w:kern w:val="0"/>
          <w:u w:val="single"/>
        </w:rPr>
        <w:t>施工现场设置封闭围挡，高度2</w:t>
      </w:r>
      <w:r>
        <w:rPr>
          <w:rFonts w:hint="eastAsia"/>
          <w:color w:val="auto"/>
          <w:kern w:val="0"/>
          <w:u w:val="single"/>
        </w:rPr>
        <w:t>.0</w:t>
      </w:r>
      <w:r>
        <w:rPr>
          <w:color w:val="auto"/>
          <w:kern w:val="0"/>
          <w:u w:val="single"/>
        </w:rPr>
        <w:t>m</w:t>
      </w:r>
      <w:r>
        <w:rPr>
          <w:rFonts w:hint="eastAsia"/>
          <w:color w:val="auto"/>
          <w:kern w:val="0"/>
          <w:u w:val="single"/>
          <w:lang w:eastAsia="zh-CN"/>
        </w:rPr>
        <w:t>；</w:t>
      </w:r>
      <w:r>
        <w:rPr>
          <w:color w:val="auto"/>
          <w:kern w:val="0"/>
          <w:u w:val="single"/>
        </w:rPr>
        <w:t>采用密闭式运输车辆进行渣土、垃圾、废渣等运输；水泥等易于飞扬的细颗粒建筑材料应密闭存放或进行覆盖，混凝土应采用商品砼，并对施工场地定时洒水降尘。</w:t>
      </w:r>
    </w:p>
    <w:p>
      <w:pPr>
        <w:ind w:firstLine="480"/>
        <w:rPr>
          <w:rFonts w:hint="eastAsia"/>
          <w:color w:val="auto"/>
          <w:kern w:val="0"/>
          <w:u w:val="single"/>
        </w:rPr>
      </w:pPr>
      <w:r>
        <w:rPr>
          <w:color w:val="auto"/>
          <w:kern w:val="0"/>
          <w:u w:val="single"/>
        </w:rPr>
        <w:t>通过采取以上措施，加强施工管理，</w:t>
      </w:r>
      <w:r>
        <w:rPr>
          <w:rFonts w:hint="eastAsia"/>
          <w:color w:val="auto"/>
          <w:kern w:val="0"/>
          <w:u w:val="single"/>
          <w:lang w:eastAsia="zh-CN"/>
        </w:rPr>
        <w:t>已</w:t>
      </w:r>
      <w:r>
        <w:rPr>
          <w:color w:val="auto"/>
          <w:kern w:val="0"/>
          <w:u w:val="single"/>
        </w:rPr>
        <w:t>减少各类施工废气的产生，大大减少施工扬尘对环境的影响，措施可行</w:t>
      </w:r>
      <w:r>
        <w:rPr>
          <w:rFonts w:hint="eastAsia"/>
          <w:color w:val="auto"/>
          <w:kern w:val="0"/>
          <w:u w:val="single"/>
          <w:lang w:eastAsia="zh-CN"/>
        </w:rPr>
        <w:t>，项目无施工期的环境投诉遗留的环境问题</w:t>
      </w:r>
      <w:r>
        <w:rPr>
          <w:color w:val="auto"/>
          <w:kern w:val="0"/>
          <w:u w:val="single"/>
        </w:rPr>
        <w:t>。</w:t>
      </w:r>
    </w:p>
    <w:p>
      <w:pPr>
        <w:pStyle w:val="8"/>
        <w:spacing w:before="163"/>
        <w:rPr>
          <w:rFonts w:hint="eastAsia"/>
          <w:color w:val="auto"/>
        </w:rPr>
      </w:pPr>
      <w:r>
        <w:rPr>
          <w:color w:val="auto"/>
        </w:rPr>
        <w:t>5</w:t>
      </w:r>
      <w:r>
        <w:rPr>
          <w:rFonts w:hint="eastAsia"/>
          <w:color w:val="auto"/>
        </w:rPr>
        <w:t>.1.2施工期水污染防治措施</w:t>
      </w:r>
    </w:p>
    <w:p>
      <w:pPr>
        <w:ind w:firstLine="480"/>
        <w:rPr>
          <w:rFonts w:hint="eastAsia"/>
          <w:color w:val="auto"/>
          <w:kern w:val="0"/>
          <w:u w:val="single"/>
        </w:rPr>
      </w:pPr>
      <w:r>
        <w:rPr>
          <w:rFonts w:hint="eastAsia"/>
          <w:color w:val="auto"/>
          <w:kern w:val="0"/>
          <w:u w:val="single"/>
        </w:rPr>
        <w:t>施工污水经沉淀后</w:t>
      </w:r>
      <w:r>
        <w:rPr>
          <w:rFonts w:hint="eastAsia"/>
          <w:color w:val="auto"/>
          <w:kern w:val="0"/>
          <w:u w:val="single"/>
          <w:lang w:eastAsia="zh-CN"/>
        </w:rPr>
        <w:t>回用施工洒水降尘</w:t>
      </w:r>
      <w:r>
        <w:rPr>
          <w:rFonts w:hint="eastAsia"/>
          <w:color w:val="auto"/>
          <w:kern w:val="0"/>
          <w:u w:val="single"/>
        </w:rPr>
        <w:t>，</w:t>
      </w:r>
      <w:r>
        <w:rPr>
          <w:rFonts w:hint="eastAsia"/>
          <w:color w:val="auto"/>
          <w:kern w:val="0"/>
          <w:u w:val="single"/>
          <w:lang w:eastAsia="zh-CN"/>
        </w:rPr>
        <w:t>不外排</w:t>
      </w:r>
      <w:r>
        <w:rPr>
          <w:rFonts w:hint="eastAsia"/>
          <w:color w:val="auto"/>
          <w:kern w:val="0"/>
          <w:u w:val="single"/>
        </w:rPr>
        <w:t>。在回填土堆放场、施工泥浆产生点应设置临时沉砂池，含泥砂雨水、泥浆水经沉砂池沉淀后</w:t>
      </w:r>
      <w:r>
        <w:rPr>
          <w:rFonts w:hint="eastAsia"/>
          <w:color w:val="auto"/>
          <w:kern w:val="0"/>
          <w:u w:val="single"/>
          <w:lang w:eastAsia="zh-CN"/>
        </w:rPr>
        <w:t>回用洒水降尘</w:t>
      </w:r>
      <w:r>
        <w:rPr>
          <w:rFonts w:hint="eastAsia"/>
          <w:color w:val="auto"/>
          <w:kern w:val="0"/>
          <w:u w:val="single"/>
        </w:rPr>
        <w:t>。</w:t>
      </w:r>
    </w:p>
    <w:p>
      <w:pPr>
        <w:ind w:firstLine="480"/>
        <w:rPr>
          <w:color w:val="auto"/>
          <w:u w:val="single"/>
        </w:rPr>
      </w:pPr>
      <w:r>
        <w:rPr>
          <w:rFonts w:hint="eastAsia"/>
          <w:color w:val="auto"/>
          <w:kern w:val="0"/>
          <w:u w:val="single"/>
          <w:lang w:eastAsia="zh-CN"/>
        </w:rPr>
        <w:t>施工期生活污水依托园区现有生活污水处理设施收集</w:t>
      </w:r>
      <w:r>
        <w:rPr>
          <w:color w:val="auto"/>
          <w:u w:val="single"/>
        </w:rPr>
        <w:t>。</w:t>
      </w:r>
      <w:r>
        <w:rPr>
          <w:rFonts w:hint="eastAsia"/>
          <w:color w:val="auto"/>
          <w:u w:val="single"/>
        </w:rPr>
        <w:t>经采取上述措施后，</w:t>
      </w:r>
      <w:r>
        <w:rPr>
          <w:rFonts w:hint="eastAsia"/>
          <w:color w:val="auto"/>
          <w:u w:val="single"/>
          <w:lang w:eastAsia="zh-CN"/>
        </w:rPr>
        <w:t>已</w:t>
      </w:r>
      <w:r>
        <w:rPr>
          <w:rFonts w:hint="eastAsia"/>
          <w:color w:val="auto"/>
          <w:u w:val="single"/>
        </w:rPr>
        <w:t>有效减少项目施工期废水对地表水环境的影响，</w:t>
      </w:r>
      <w:r>
        <w:rPr>
          <w:rFonts w:hint="eastAsia"/>
          <w:color w:val="auto"/>
          <w:u w:val="single"/>
          <w:lang w:eastAsia="zh-CN"/>
        </w:rPr>
        <w:t>施工期未遗留有地表水环境问题</w:t>
      </w:r>
      <w:r>
        <w:rPr>
          <w:rFonts w:hint="eastAsia"/>
          <w:color w:val="auto"/>
          <w:u w:val="single"/>
        </w:rPr>
        <w:t>。</w:t>
      </w:r>
    </w:p>
    <w:p>
      <w:pPr>
        <w:pStyle w:val="8"/>
        <w:keepNext w:val="0"/>
        <w:keepLines w:val="0"/>
        <w:spacing w:before="163"/>
        <w:rPr>
          <w:color w:val="auto"/>
        </w:rPr>
      </w:pPr>
      <w:r>
        <w:rPr>
          <w:color w:val="auto"/>
        </w:rPr>
        <w:t>5</w:t>
      </w:r>
      <w:r>
        <w:rPr>
          <w:rFonts w:hint="eastAsia"/>
          <w:color w:val="auto"/>
        </w:rPr>
        <w:t>.1.3</w:t>
      </w:r>
      <w:r>
        <w:rPr>
          <w:color w:val="auto"/>
        </w:rPr>
        <w:t>施工期噪声污染防治措施</w:t>
      </w:r>
    </w:p>
    <w:p>
      <w:pPr>
        <w:ind w:firstLine="480"/>
        <w:rPr>
          <w:rFonts w:hint="eastAsia"/>
          <w:color w:val="auto"/>
          <w:u w:val="single"/>
        </w:rPr>
      </w:pPr>
      <w:r>
        <w:rPr>
          <w:rFonts w:hint="eastAsia"/>
          <w:color w:val="auto"/>
          <w:kern w:val="0"/>
          <w:u w:val="single"/>
          <w:lang w:eastAsia="zh-CN"/>
        </w:rPr>
        <w:t>项目施工期</w:t>
      </w:r>
      <w:r>
        <w:rPr>
          <w:color w:val="auto"/>
          <w:kern w:val="0"/>
          <w:u w:val="single"/>
        </w:rPr>
        <w:t>采用低噪声施工机具和先进工艺进行施工</w:t>
      </w:r>
      <w:r>
        <w:rPr>
          <w:rFonts w:hint="eastAsia"/>
          <w:color w:val="auto"/>
          <w:kern w:val="0"/>
          <w:u w:val="single"/>
          <w:lang w:eastAsia="zh-CN"/>
        </w:rPr>
        <w:t>，</w:t>
      </w:r>
      <w:r>
        <w:rPr>
          <w:color w:val="auto"/>
          <w:kern w:val="0"/>
          <w:u w:val="single"/>
        </w:rPr>
        <w:t>对动力机械设备应进行定期的维修、养护</w:t>
      </w:r>
      <w:r>
        <w:rPr>
          <w:rFonts w:hint="eastAsia"/>
          <w:color w:val="auto"/>
          <w:kern w:val="0"/>
          <w:u w:val="single"/>
          <w:lang w:eastAsia="zh-CN"/>
        </w:rPr>
        <w:t>，</w:t>
      </w:r>
      <w:r>
        <w:rPr>
          <w:rFonts w:hint="eastAsia"/>
          <w:color w:val="auto"/>
          <w:u w:val="single"/>
        </w:rPr>
        <w:t>并在靠近居民点一侧设置施工屏障，降低施工噪声污染。</w:t>
      </w:r>
    </w:p>
    <w:p>
      <w:pPr>
        <w:ind w:firstLine="480"/>
        <w:rPr>
          <w:color w:val="auto"/>
          <w:u w:val="single"/>
        </w:rPr>
      </w:pPr>
      <w:r>
        <w:rPr>
          <w:color w:val="auto"/>
          <w:u w:val="single"/>
        </w:rPr>
        <w:t>对施工场地噪声采取以上减噪措施</w:t>
      </w:r>
      <w:r>
        <w:rPr>
          <w:rFonts w:hint="eastAsia"/>
          <w:color w:val="auto"/>
          <w:u w:val="single"/>
          <w:lang w:eastAsia="zh-CN"/>
        </w:rPr>
        <w:t>大大减少了噪声对周边敏感点的影响，项目施工期未遗留有噪声环境问题</w:t>
      </w:r>
      <w:r>
        <w:rPr>
          <w:color w:val="auto"/>
          <w:u w:val="single"/>
        </w:rPr>
        <w:t>。</w:t>
      </w:r>
    </w:p>
    <w:p>
      <w:pPr>
        <w:pStyle w:val="8"/>
        <w:spacing w:before="163"/>
        <w:rPr>
          <w:color w:val="auto"/>
        </w:rPr>
      </w:pPr>
      <w:r>
        <w:rPr>
          <w:color w:val="auto"/>
        </w:rPr>
        <w:t>5</w:t>
      </w:r>
      <w:r>
        <w:rPr>
          <w:rFonts w:hint="eastAsia"/>
          <w:color w:val="auto"/>
        </w:rPr>
        <w:t xml:space="preserve">.1.4  </w:t>
      </w:r>
      <w:r>
        <w:rPr>
          <w:color w:val="auto"/>
        </w:rPr>
        <w:t>施工期固体废物</w:t>
      </w:r>
    </w:p>
    <w:p>
      <w:pPr>
        <w:ind w:firstLine="480"/>
        <w:rPr>
          <w:color w:val="auto"/>
          <w:kern w:val="0"/>
        </w:rPr>
      </w:pPr>
      <w:r>
        <w:rPr>
          <w:color w:val="auto"/>
          <w:kern w:val="0"/>
        </w:rPr>
        <w:t>施工开挖的表层土单独存放，</w:t>
      </w:r>
      <w:r>
        <w:rPr>
          <w:rFonts w:hint="eastAsia"/>
          <w:color w:val="auto"/>
          <w:kern w:val="0"/>
          <w:lang w:eastAsia="zh-CN"/>
        </w:rPr>
        <w:t>用于</w:t>
      </w:r>
      <w:r>
        <w:rPr>
          <w:color w:val="auto"/>
          <w:kern w:val="0"/>
        </w:rPr>
        <w:t>施工结束后绿化；</w:t>
      </w:r>
      <w:r>
        <w:rPr>
          <w:rFonts w:hint="eastAsia"/>
          <w:color w:val="auto"/>
          <w:kern w:val="0"/>
          <w:lang w:eastAsia="zh-CN"/>
        </w:rPr>
        <w:t>根据现场踏勘，项目开挖区域均已经进行了绿化，临时占地等均已得到恢复；弃土，已交由渣土部门进行了清运，根据调查，现场未发现有施工期堆放的弃土</w:t>
      </w:r>
      <w:r>
        <w:rPr>
          <w:color w:val="auto"/>
          <w:kern w:val="0"/>
        </w:rPr>
        <w:t>。</w:t>
      </w:r>
    </w:p>
    <w:p>
      <w:pPr>
        <w:pStyle w:val="8"/>
        <w:spacing w:before="163"/>
        <w:rPr>
          <w:color w:val="auto"/>
        </w:rPr>
      </w:pPr>
      <w:r>
        <w:rPr>
          <w:color w:val="auto"/>
        </w:rPr>
        <w:t>5</w:t>
      </w:r>
      <w:r>
        <w:rPr>
          <w:rFonts w:hint="eastAsia"/>
          <w:color w:val="auto"/>
        </w:rPr>
        <w:t>.1.5</w:t>
      </w:r>
      <w:r>
        <w:rPr>
          <w:color w:val="auto"/>
        </w:rPr>
        <w:t>生态环境保护措施</w:t>
      </w:r>
    </w:p>
    <w:p>
      <w:pPr>
        <w:ind w:firstLine="480"/>
        <w:rPr>
          <w:rFonts w:hint="eastAsia"/>
          <w:color w:val="auto"/>
          <w:kern w:val="0"/>
        </w:rPr>
      </w:pPr>
      <w:r>
        <w:rPr>
          <w:rFonts w:hint="eastAsia"/>
          <w:color w:val="auto"/>
          <w:kern w:val="0"/>
        </w:rPr>
        <w:t>本项目为新建工程，</w:t>
      </w:r>
      <w:r>
        <w:rPr>
          <w:rFonts w:hint="eastAsia"/>
          <w:color w:val="auto"/>
          <w:kern w:val="0"/>
          <w:lang w:eastAsia="zh-CN"/>
        </w:rPr>
        <w:t>项目在施工期已采取了如下生态环境保护措施</w:t>
      </w:r>
      <w:r>
        <w:rPr>
          <w:rFonts w:hint="eastAsia"/>
          <w:color w:val="auto"/>
          <w:kern w:val="0"/>
        </w:rPr>
        <w:t>：</w:t>
      </w:r>
    </w:p>
    <w:p>
      <w:pPr>
        <w:pStyle w:val="109"/>
        <w:adjustRightInd w:val="0"/>
        <w:snapToGrid w:val="0"/>
        <w:spacing w:line="360" w:lineRule="auto"/>
        <w:rPr>
          <w:rFonts w:hint="eastAsia" w:eastAsia="宋体"/>
          <w:color w:val="auto"/>
          <w:kern w:val="0"/>
          <w:lang w:eastAsia="zh-CN"/>
        </w:rPr>
      </w:pPr>
      <w:r>
        <w:rPr>
          <w:color w:val="auto"/>
          <w:kern w:val="0"/>
        </w:rPr>
        <w:t>在开挖建设中，工程施工中做好土石方平衡工作，产生的弃土在回填后</w:t>
      </w:r>
      <w:r>
        <w:rPr>
          <w:rFonts w:hint="eastAsia"/>
          <w:color w:val="auto"/>
          <w:kern w:val="0"/>
          <w:lang w:eastAsia="zh-CN"/>
        </w:rPr>
        <w:t>当天</w:t>
      </w:r>
      <w:r>
        <w:rPr>
          <w:color w:val="auto"/>
          <w:kern w:val="0"/>
        </w:rPr>
        <w:t>清运。临时堆放场</w:t>
      </w:r>
      <w:r>
        <w:rPr>
          <w:rFonts w:hint="eastAsia"/>
          <w:color w:val="auto"/>
          <w:kern w:val="0"/>
          <w:lang w:eastAsia="zh-CN"/>
        </w:rPr>
        <w:t>现已得到了</w:t>
      </w:r>
      <w:r>
        <w:rPr>
          <w:color w:val="auto"/>
          <w:kern w:val="0"/>
        </w:rPr>
        <w:t>恢复植被。</w:t>
      </w:r>
      <w:r>
        <w:rPr>
          <w:rFonts w:hint="eastAsia"/>
          <w:color w:val="auto"/>
          <w:kern w:val="0"/>
          <w:lang w:eastAsia="zh-CN"/>
        </w:rPr>
        <w:t>项目未遗留有生态环境问题。</w:t>
      </w:r>
    </w:p>
    <w:p>
      <w:pPr>
        <w:pStyle w:val="86"/>
        <w:spacing w:before="163" w:after="163"/>
        <w:rPr>
          <w:rFonts w:hint="eastAsia"/>
          <w:color w:val="000000"/>
        </w:rPr>
      </w:pPr>
      <w:bookmarkStart w:id="282" w:name="_Toc29308674"/>
      <w:bookmarkStart w:id="283" w:name="_Toc24542"/>
      <w:r>
        <w:rPr>
          <w:color w:val="000000"/>
        </w:rPr>
        <w:t>5</w:t>
      </w:r>
      <w:r>
        <w:rPr>
          <w:rFonts w:hint="eastAsia"/>
          <w:color w:val="000000"/>
        </w:rPr>
        <w:t>.2 营运期环境保护措施分析</w:t>
      </w:r>
      <w:bookmarkEnd w:id="282"/>
      <w:bookmarkEnd w:id="283"/>
    </w:p>
    <w:p>
      <w:pPr>
        <w:pStyle w:val="75"/>
      </w:pPr>
      <w:r>
        <w:t>5</w:t>
      </w:r>
      <w:r>
        <w:rPr>
          <w:rFonts w:hint="eastAsia"/>
        </w:rPr>
        <w:t>.2.1 地表水水环境防治措施</w:t>
      </w:r>
    </w:p>
    <w:p>
      <w:pPr>
        <w:pStyle w:val="81"/>
        <w:rPr>
          <w:rFonts w:hint="default" w:ascii="Times New Roman" w:hAnsi="Times New Roman"/>
          <w:b/>
          <w:color w:val="000000"/>
          <w:lang w:val="en-US" w:eastAsia="zh-CN"/>
        </w:rPr>
      </w:pPr>
      <w:r>
        <w:rPr>
          <w:rFonts w:hint="eastAsia" w:ascii="Times New Roman" w:hAnsi="Times New Roman"/>
          <w:b/>
          <w:color w:val="000000"/>
          <w:lang w:val="en-US" w:eastAsia="zh-CN"/>
        </w:rPr>
        <w:t>5.2.1.1 地表水环境防治措施</w:t>
      </w:r>
    </w:p>
    <w:p>
      <w:pPr>
        <w:ind w:firstLine="480"/>
        <w:rPr>
          <w:rFonts w:hint="eastAsia"/>
          <w:b/>
          <w:bCs/>
          <w:color w:val="000000"/>
          <w:kern w:val="0"/>
          <w:lang w:eastAsia="zh-CN"/>
        </w:rPr>
      </w:pPr>
      <w:r>
        <w:rPr>
          <w:rFonts w:hint="eastAsia"/>
          <w:b/>
          <w:bCs/>
          <w:color w:val="000000"/>
          <w:kern w:val="0"/>
          <w:lang w:eastAsia="zh-CN"/>
        </w:rPr>
        <w:t>（</w:t>
      </w:r>
      <w:r>
        <w:rPr>
          <w:rFonts w:hint="eastAsia"/>
          <w:b/>
          <w:bCs/>
          <w:color w:val="000000"/>
          <w:kern w:val="0"/>
          <w:lang w:val="en-US" w:eastAsia="zh-CN"/>
        </w:rPr>
        <w:t>1</w:t>
      </w:r>
      <w:r>
        <w:rPr>
          <w:rFonts w:hint="eastAsia"/>
          <w:b/>
          <w:bCs/>
          <w:color w:val="000000"/>
          <w:kern w:val="0"/>
          <w:lang w:eastAsia="zh-CN"/>
        </w:rPr>
        <w:t>）生活废水</w:t>
      </w:r>
    </w:p>
    <w:p>
      <w:pPr>
        <w:ind w:firstLine="480"/>
        <w:rPr>
          <w:rFonts w:hint="default"/>
          <w:color w:val="000000"/>
          <w:lang w:val="en-US" w:eastAsia="zh-CN"/>
        </w:rPr>
      </w:pPr>
      <w:r>
        <w:rPr>
          <w:color w:val="000000"/>
        </w:rPr>
        <w:t>本项目劳动定员</w:t>
      </w:r>
      <w:r>
        <w:rPr>
          <w:rFonts w:hint="eastAsia"/>
          <w:color w:val="000000"/>
          <w:lang w:val="en-US" w:eastAsia="zh-CN"/>
        </w:rPr>
        <w:t>4</w:t>
      </w:r>
      <w:r>
        <w:rPr>
          <w:color w:val="000000"/>
        </w:rPr>
        <w:t>人，</w:t>
      </w:r>
      <w:r>
        <w:rPr>
          <w:rFonts w:hint="eastAsia"/>
          <w:color w:val="000000"/>
          <w:lang w:eastAsia="zh-CN"/>
        </w:rPr>
        <w:t>仅在厂区值班，不设置食宿，</w:t>
      </w:r>
      <w:r>
        <w:rPr>
          <w:color w:val="000000"/>
        </w:rPr>
        <w:t>本项目员工生活污水产生量为</w:t>
      </w:r>
      <w:r>
        <w:rPr>
          <w:rFonts w:hint="eastAsia"/>
          <w:color w:val="000000"/>
          <w:lang w:val="en-US" w:eastAsia="zh-CN"/>
        </w:rPr>
        <w:t>0.3</w:t>
      </w:r>
      <w:r>
        <w:rPr>
          <w:color w:val="000000"/>
        </w:rPr>
        <w:t>m</w:t>
      </w:r>
      <w:r>
        <w:rPr>
          <w:rFonts w:hint="eastAsia"/>
          <w:color w:val="000000"/>
          <w:vertAlign w:val="superscript"/>
        </w:rPr>
        <w:t>3</w:t>
      </w:r>
      <w:r>
        <w:rPr>
          <w:color w:val="000000"/>
        </w:rPr>
        <w:t>/d</w:t>
      </w:r>
      <w:r>
        <w:rPr>
          <w:rFonts w:hint="eastAsia"/>
          <w:color w:val="000000"/>
        </w:rPr>
        <w:t>。</w:t>
      </w:r>
      <w:r>
        <w:rPr>
          <w:color w:val="000000"/>
        </w:rPr>
        <w:t>主要污染物为COD、BOD</w:t>
      </w:r>
      <w:r>
        <w:rPr>
          <w:color w:val="000000"/>
          <w:vertAlign w:val="subscript"/>
        </w:rPr>
        <w:t>5</w:t>
      </w:r>
      <w:r>
        <w:rPr>
          <w:color w:val="000000"/>
        </w:rPr>
        <w:t>、SS、氨氮等，废水经</w:t>
      </w:r>
      <w:r>
        <w:rPr>
          <w:rFonts w:hint="eastAsia"/>
          <w:color w:val="000000"/>
          <w:lang w:eastAsia="zh-CN"/>
        </w:rPr>
        <w:t>化粪池收集后排污花垣工业集中区污水处理厂处理</w:t>
      </w:r>
      <w:r>
        <w:rPr>
          <w:color w:val="000000"/>
        </w:rPr>
        <w:t>。</w:t>
      </w:r>
      <w:r>
        <w:rPr>
          <w:rFonts w:hint="eastAsia"/>
          <w:color w:val="000000"/>
          <w:lang w:eastAsia="zh-CN"/>
        </w:rPr>
        <w:t>根据调查，花垣县工业集中区污水处理厂</w:t>
      </w:r>
      <w:r>
        <w:rPr>
          <w:rFonts w:hint="eastAsia"/>
          <w:color w:val="000000"/>
          <w:lang w:val="en-US" w:eastAsia="zh-CN"/>
        </w:rPr>
        <w:t>，近期纳污范围为花垣工业集中区新区（张花高速公路西侧）；远期纳污范围为集中区新区西南侧，项目位于花垣工业集中区污水处理厂南侧50米处，属于该污水处理厂的纳污范围，且项目生活污水水质简单，经化粪池收集后可以满足花垣工业集中区污水处理厂的进水水质要求。项目生活污水经花垣工业集中区污水处理厂处理后达到《城镇污水处理厂污染物排放标准》（GB18918-2002） 一级A标准外排至花垣河。项目生活污水处理措施可行。</w:t>
      </w:r>
    </w:p>
    <w:p>
      <w:pPr>
        <w:ind w:firstLine="480"/>
        <w:rPr>
          <w:rFonts w:hint="eastAsia"/>
          <w:b/>
          <w:bCs/>
          <w:color w:val="000000"/>
          <w:lang w:eastAsia="zh-CN"/>
        </w:rPr>
      </w:pPr>
      <w:r>
        <w:rPr>
          <w:rFonts w:hint="eastAsia"/>
          <w:b/>
          <w:bCs/>
          <w:color w:val="000000"/>
          <w:lang w:eastAsia="zh-CN"/>
        </w:rPr>
        <w:t>（</w:t>
      </w:r>
      <w:r>
        <w:rPr>
          <w:rFonts w:hint="eastAsia"/>
          <w:b/>
          <w:bCs/>
          <w:color w:val="000000"/>
          <w:lang w:val="en-US" w:eastAsia="zh-CN"/>
        </w:rPr>
        <w:t>2</w:t>
      </w:r>
      <w:r>
        <w:rPr>
          <w:rFonts w:hint="eastAsia"/>
          <w:b/>
          <w:bCs/>
          <w:color w:val="000000"/>
          <w:lang w:eastAsia="zh-CN"/>
        </w:rPr>
        <w:t>）处理工艺废水</w:t>
      </w:r>
    </w:p>
    <w:p>
      <w:pPr>
        <w:ind w:firstLine="480"/>
        <w:rPr>
          <w:rFonts w:hint="default" w:ascii="Times New Roman" w:hAnsi="Times New Roman" w:eastAsia="宋体" w:cs="Times New Roman"/>
          <w:color w:val="000000"/>
          <w:lang w:val="en-US" w:eastAsia="zh-CN"/>
        </w:rPr>
      </w:pPr>
      <w:r>
        <w:rPr>
          <w:rFonts w:hint="eastAsia"/>
          <w:color w:val="000000"/>
          <w:lang w:eastAsia="zh-CN"/>
        </w:rPr>
        <w:t>本项目废水处理工艺为“化学沉淀分离+石英砂过滤”，设计处理规模为</w:t>
      </w:r>
      <w:r>
        <w:rPr>
          <w:rFonts w:hint="eastAsia"/>
          <w:color w:val="000000"/>
          <w:lang w:val="en-US" w:eastAsia="zh-CN"/>
        </w:rPr>
        <w:t>3000t/d，根据建设单位提供的资料，本项目采取“化学混凝沉淀分离+石英砂过滤”处理方法，涉重企业排放的废水通过本次建设的重金属专用管道输送管网输送至本项目建设的污水处理站的调节池，在调节池内进行水量水质的均衡。调节池的废水由提升泵提升进入二级混凝沉淀处理系统，该系统由反应池1#、反应池2#、混凝反应池1#、絮凝反应池1#、二沉池和反应池3#、反应池4#、混凝反应池2#、絮凝反应池2#、絮凝沉淀池组成，投加片碱、生物制剂和混凝、絮凝</w:t>
      </w:r>
      <w:r>
        <w:rPr>
          <w:rFonts w:hint="eastAsia" w:ascii="Times New Roman" w:hAnsi="Times New Roman" w:eastAsia="宋体" w:cs="Times New Roman"/>
          <w:color w:val="000000"/>
          <w:lang w:val="en-US" w:eastAsia="zh-CN"/>
        </w:rPr>
        <w:t>药剂，进行反应，然后进行入沉淀段进行固液分离；固液分离后出水进入中间水池投加酸调节pH至中性，出水泵入至石英砂过滤器，过滤掉水中细微悬浮物。</w:t>
      </w:r>
    </w:p>
    <w:p>
      <w:pPr>
        <w:ind w:firstLine="480"/>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t>废水处理主要污染物为重金属：锰、铅、锌、六价铬、钒等。目前对含重金属离子工业废水的处理技术主要有三种：</w:t>
      </w:r>
    </w:p>
    <w:p>
      <w:pPr>
        <w:ind w:firstLine="480"/>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t>第一种是废水中重金属离子通过发生反应沉淀的去除方法，包括中和沉淀法、硫化物沉淀法、铁氧体共沉淀法、化学还原法、电化学还原法、生物制剂为代表的重金属捕集法等；</w:t>
      </w:r>
    </w:p>
    <w:p>
      <w:pPr>
        <w:ind w:firstLine="480"/>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t>第二种是使废水中的重金属在不改变其化学形态的条件下进行吸附、浓缩、分离的方法，包括吸附、溶剂萃取、离子交换等方法；</w:t>
      </w:r>
    </w:p>
    <w:p>
      <w:pPr>
        <w:ind w:firstLine="480"/>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t>第三种使借助微生物或植物的絮凝、吸收、积累、富集等作用去除废水中重金属的方法，包括生物絮凝、生物吸附、植物整治等方法。</w:t>
      </w:r>
    </w:p>
    <w:p>
      <w:pPr>
        <w:pStyle w:val="2"/>
        <w:jc w:val="center"/>
        <w:rPr>
          <w:rFonts w:hint="default"/>
          <w:b/>
          <w:bCs/>
          <w:lang w:val="en-US" w:eastAsia="zh-CN"/>
        </w:rPr>
      </w:pPr>
      <w:r>
        <w:rPr>
          <w:rFonts w:hint="eastAsia" w:ascii="Times New Roman" w:hAnsi="Times New Roman" w:eastAsia="宋体" w:cs="Times New Roman"/>
          <w:b/>
          <w:bCs/>
          <w:color w:val="000000"/>
          <w:lang w:val="en-US" w:eastAsia="zh-CN"/>
        </w:rPr>
        <w:t>表5.2-1  重金属废水处理原理一览表</w:t>
      </w:r>
    </w:p>
    <w:tbl>
      <w:tblPr>
        <w:tblStyle w:val="38"/>
        <w:tblW w:w="905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2925"/>
        <w:gridCol w:w="3623"/>
        <w:gridCol w:w="810"/>
        <w:gridCol w:w="7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9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废水处理方法</w:t>
            </w:r>
          </w:p>
        </w:tc>
        <w:tc>
          <w:tcPr>
            <w:tcW w:w="29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处理原理</w:t>
            </w:r>
          </w:p>
        </w:tc>
        <w:tc>
          <w:tcPr>
            <w:tcW w:w="362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处理效果</w:t>
            </w:r>
          </w:p>
        </w:tc>
        <w:tc>
          <w:tcPr>
            <w:tcW w:w="8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运行成本</w:t>
            </w:r>
          </w:p>
        </w:tc>
        <w:tc>
          <w:tcPr>
            <w:tcW w:w="7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二次污染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84" w:hRule="atLeast"/>
          <w:jc w:val="center"/>
        </w:trPr>
        <w:tc>
          <w:tcPr>
            <w:tcW w:w="9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中和沉淀法</w:t>
            </w:r>
          </w:p>
        </w:tc>
        <w:tc>
          <w:tcPr>
            <w:tcW w:w="29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在含有重金属离子的废水中加碱进行中和反应，使重金属生成难溶于水的氢氧化物从而进一步分离</w:t>
            </w:r>
          </w:p>
        </w:tc>
        <w:tc>
          <w:tcPr>
            <w:tcW w:w="362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中和沉淀后，pH过高需要中和后才能排放，废水中有些阴离子如氰根、腐殖质、硫氢根等，可能同重金属离子反应生产络合物，需预处理去除。有些颗粒小，不易生成沉淀，需加入絮凝物进一步沉淀，处理低浓度的废水效果不佳。</w:t>
            </w:r>
          </w:p>
        </w:tc>
        <w:tc>
          <w:tcPr>
            <w:tcW w:w="8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spacing w:val="10"/>
                <w:sz w:val="21"/>
                <w:szCs w:val="21"/>
              </w:rPr>
              <w:t>高</w:t>
            </w:r>
          </w:p>
        </w:tc>
        <w:tc>
          <w:tcPr>
            <w:tcW w:w="7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spacing w:val="10"/>
                <w:sz w:val="21"/>
                <w:szCs w:val="21"/>
              </w:rPr>
              <w:t>容易造成二次污染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9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重金属捕集法</w:t>
            </w:r>
          </w:p>
        </w:tc>
        <w:tc>
          <w:tcPr>
            <w:tcW w:w="29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生物制剂中的复合基团可与重金属离子成键，形成生物配合体。生物制剂水解、诱导生物配合长大形成溶度积非常小的非晶态化合物，从而使重金属离子高效脱除。</w:t>
            </w:r>
          </w:p>
        </w:tc>
        <w:tc>
          <w:tcPr>
            <w:tcW w:w="362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可处理低浓度重金属废水，重金属去除率高，共存金属离子不存在干扰，沉淀物稳定性好，污泥产生量小，出水效果好</w:t>
            </w:r>
          </w:p>
        </w:tc>
        <w:tc>
          <w:tcPr>
            <w:tcW w:w="8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spacing w:val="10"/>
                <w:sz w:val="21"/>
                <w:szCs w:val="21"/>
              </w:rPr>
              <w:t>较低</w:t>
            </w:r>
          </w:p>
        </w:tc>
        <w:tc>
          <w:tcPr>
            <w:tcW w:w="7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spacing w:val="10"/>
                <w:sz w:val="21"/>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9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离子交换法</w:t>
            </w:r>
          </w:p>
        </w:tc>
        <w:tc>
          <w:tcPr>
            <w:tcW w:w="29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一种电镀废水治理方法，重金属离子与离子交换剂进行交换，达到去除废水中重金属离子的方法</w:t>
            </w:r>
          </w:p>
        </w:tc>
        <w:tc>
          <w:tcPr>
            <w:tcW w:w="362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处理效果好，重金属离子可回收使用，但是交换剂容易被氧化，更换频繁，操作费用和处理成本较高</w:t>
            </w:r>
          </w:p>
        </w:tc>
        <w:tc>
          <w:tcPr>
            <w:tcW w:w="8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spacing w:val="10"/>
                <w:sz w:val="21"/>
                <w:szCs w:val="21"/>
              </w:rPr>
              <w:t>高</w:t>
            </w:r>
          </w:p>
        </w:tc>
        <w:tc>
          <w:tcPr>
            <w:tcW w:w="7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spacing w:val="10"/>
                <w:sz w:val="21"/>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92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ascii="Times New Roman" w:hAnsi="Times New Roman" w:eastAsia="宋体" w:cs="Times New Roman"/>
                <w:sz w:val="21"/>
                <w:szCs w:val="21"/>
              </w:rPr>
              <w:t>生物絮凝、吸附法</w:t>
            </w:r>
          </w:p>
        </w:tc>
        <w:tc>
          <w:tcPr>
            <w:tcW w:w="292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借助微生物或植物的絮凝、吸收、积累、富集等作用去除废水中重金属的方法</w:t>
            </w:r>
          </w:p>
        </w:tc>
        <w:tc>
          <w:tcPr>
            <w:tcW w:w="362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处理效果好, 且生物生长快、易于实现工业化，适用于电镀重金属废水处理</w:t>
            </w:r>
          </w:p>
        </w:tc>
        <w:tc>
          <w:tcPr>
            <w:tcW w:w="81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spacing w:val="10"/>
                <w:sz w:val="21"/>
                <w:szCs w:val="21"/>
              </w:rPr>
              <w:t>低</w:t>
            </w:r>
          </w:p>
        </w:tc>
        <w:tc>
          <w:tcPr>
            <w:tcW w:w="7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spacing w:val="10"/>
                <w:sz w:val="21"/>
                <w:szCs w:val="21"/>
              </w:rPr>
              <w:t>无</w:t>
            </w:r>
          </w:p>
        </w:tc>
      </w:tr>
    </w:tbl>
    <w:p>
      <w:pPr>
        <w:ind w:firstLine="480"/>
        <w:rPr>
          <w:rFonts w:hint="eastAsia" w:ascii="Times New Roman" w:hAnsi="Times New Roman" w:eastAsia="宋体" w:cs="Times New Roman"/>
          <w:color w:val="000000"/>
          <w:kern w:val="0"/>
          <w:lang w:eastAsia="zh-CN"/>
        </w:rPr>
      </w:pPr>
      <w:r>
        <w:rPr>
          <w:rFonts w:hint="eastAsia" w:ascii="Times New Roman" w:hAnsi="Times New Roman" w:eastAsia="宋体" w:cs="Times New Roman"/>
          <w:color w:val="000000"/>
          <w:kern w:val="0"/>
          <w:lang w:eastAsia="zh-CN"/>
        </w:rPr>
        <w:t>本工程采用投加生物制剂的重金属捕集方法。采用投加生物制剂的重金属捕集方法处理低浓度重金属废水具有重金属去除率高、共存金属离子不存在干扰、沉淀物稳定性好等优点。生物制剂中的复合基团可与重金属离子成键，形成生物配合体。生物制剂水解、诱导生物配合长大形成溶度积非常小的非晶态化合物，从而使重金属离子高效脱除。</w:t>
      </w:r>
    </w:p>
    <w:p>
      <w:pPr>
        <w:ind w:firstLine="480"/>
        <w:rPr>
          <w:rFonts w:hint="eastAsia" w:ascii="Times New Roman" w:hAnsi="Times New Roman" w:eastAsia="宋体" w:cs="Times New Roman"/>
          <w:b/>
          <w:bCs/>
          <w:color w:val="000000"/>
          <w:kern w:val="0"/>
          <w:lang w:eastAsia="zh-CN"/>
        </w:rPr>
      </w:pPr>
      <w:r>
        <w:rPr>
          <w:rFonts w:hint="eastAsia" w:ascii="Times New Roman" w:hAnsi="Times New Roman" w:eastAsia="宋体" w:cs="Times New Roman"/>
          <w:b/>
          <w:bCs/>
          <w:color w:val="000000"/>
          <w:kern w:val="0"/>
          <w:lang w:eastAsia="zh-CN"/>
        </w:rPr>
        <w:t>（</w:t>
      </w:r>
      <w:r>
        <w:rPr>
          <w:rFonts w:hint="eastAsia" w:ascii="Times New Roman" w:hAnsi="Times New Roman" w:eastAsia="宋体" w:cs="Times New Roman"/>
          <w:b/>
          <w:bCs/>
          <w:color w:val="000000"/>
          <w:kern w:val="0"/>
          <w:lang w:val="en-US" w:eastAsia="zh-CN"/>
        </w:rPr>
        <w:t>3</w:t>
      </w:r>
      <w:r>
        <w:rPr>
          <w:rFonts w:hint="eastAsia" w:ascii="Times New Roman" w:hAnsi="Times New Roman" w:eastAsia="宋体" w:cs="Times New Roman"/>
          <w:b/>
          <w:bCs/>
          <w:color w:val="000000"/>
          <w:kern w:val="0"/>
          <w:lang w:eastAsia="zh-CN"/>
        </w:rPr>
        <w:t>）项目尾水排放情况</w:t>
      </w:r>
    </w:p>
    <w:p>
      <w:pPr>
        <w:ind w:firstLine="480"/>
        <w:rPr>
          <w:rFonts w:hint="eastAsia" w:ascii="Times New Roman" w:hAnsi="Times New Roman" w:eastAsia="宋体" w:cs="Times New Roman"/>
          <w:color w:val="000000"/>
          <w:kern w:val="0"/>
          <w:lang w:val="en-US" w:eastAsia="zh-CN"/>
        </w:rPr>
      </w:pPr>
      <w:r>
        <w:rPr>
          <w:rFonts w:hint="eastAsia" w:ascii="Times New Roman" w:hAnsi="Times New Roman" w:eastAsia="宋体" w:cs="Times New Roman"/>
          <w:color w:val="000000"/>
          <w:kern w:val="0"/>
          <w:lang w:eastAsia="zh-CN"/>
        </w:rPr>
        <w:t>根据项目设计方案以及项目工程验收资料，含一类污染物（铬、铅）的废水经处理在车间排口达到《污水综合排放标准</w:t>
      </w:r>
      <w:r>
        <w:rPr>
          <w:rFonts w:hint="default" w:ascii="Times New Roman" w:hAnsi="Times New Roman" w:eastAsia="宋体" w:cs="Times New Roman"/>
          <w:color w:val="000000"/>
          <w:kern w:val="0"/>
          <w:lang w:eastAsia="zh-CN"/>
        </w:rPr>
        <w:t>》( GB8978-1996)表1最高</w:t>
      </w:r>
      <w:r>
        <w:rPr>
          <w:rFonts w:hint="eastAsia" w:ascii="Times New Roman" w:hAnsi="Times New Roman" w:eastAsia="宋体" w:cs="Times New Roman"/>
          <w:color w:val="000000"/>
          <w:kern w:val="0"/>
          <w:lang w:eastAsia="zh-CN"/>
        </w:rPr>
        <w:t>允许排放浓度要求后方可接管。本环评根据调查项目收纳范围内的</w:t>
      </w:r>
      <w:r>
        <w:rPr>
          <w:rFonts w:hint="default" w:ascii="Times New Roman" w:hAnsi="Times New Roman" w:eastAsia="宋体" w:cs="Times New Roman"/>
          <w:color w:val="000000"/>
          <w:kern w:val="0"/>
          <w:lang w:val="en-US" w:eastAsia="zh-CN"/>
        </w:rPr>
        <w:t>4</w:t>
      </w:r>
      <w:r>
        <w:rPr>
          <w:rFonts w:hint="eastAsia" w:ascii="Times New Roman" w:hAnsi="Times New Roman" w:eastAsia="宋体" w:cs="Times New Roman"/>
          <w:color w:val="000000"/>
          <w:kern w:val="0"/>
          <w:lang w:val="en-US" w:eastAsia="zh-CN"/>
        </w:rPr>
        <w:t>家企业的环评报告以及环保验收报告可知，涉及第一类污染物的企业均在厂区建设了污水处理站，含第一类污染物重金属废水经企业自建污水处理站处理后达到</w:t>
      </w:r>
      <w:r>
        <w:rPr>
          <w:rFonts w:hint="eastAsia" w:ascii="Times New Roman" w:hAnsi="Times New Roman" w:eastAsia="宋体" w:cs="Times New Roman"/>
          <w:color w:val="000000"/>
          <w:kern w:val="0"/>
          <w:lang w:eastAsia="zh-CN"/>
        </w:rPr>
        <w:t>《污水综合排放标准</w:t>
      </w:r>
      <w:r>
        <w:rPr>
          <w:rFonts w:hint="default" w:ascii="Times New Roman" w:hAnsi="Times New Roman" w:eastAsia="宋体" w:cs="Times New Roman"/>
          <w:color w:val="000000"/>
          <w:kern w:val="0"/>
          <w:lang w:eastAsia="zh-CN"/>
        </w:rPr>
        <w:t>》( GB8978-1996)表1最高</w:t>
      </w:r>
      <w:r>
        <w:rPr>
          <w:rFonts w:hint="eastAsia" w:ascii="Times New Roman" w:hAnsi="Times New Roman" w:eastAsia="宋体" w:cs="Times New Roman"/>
          <w:color w:val="000000"/>
          <w:kern w:val="0"/>
          <w:lang w:eastAsia="zh-CN"/>
        </w:rPr>
        <w:t>允许排放浓度要求后方可接管</w:t>
      </w:r>
      <w:r>
        <w:rPr>
          <w:rFonts w:hint="eastAsia" w:ascii="Times New Roman" w:hAnsi="Times New Roman" w:eastAsia="宋体" w:cs="Times New Roman"/>
          <w:color w:val="000000"/>
          <w:kern w:val="0"/>
          <w:lang w:val="en-US" w:eastAsia="zh-CN"/>
        </w:rPr>
        <w:t>。</w:t>
      </w:r>
    </w:p>
    <w:p>
      <w:pPr>
        <w:ind w:firstLine="480"/>
        <w:rPr>
          <w:rFonts w:hint="eastAsia" w:ascii="Times New Roman" w:hAnsi="Times New Roman" w:eastAsia="宋体" w:cs="Times New Roman"/>
          <w:color w:val="000000"/>
          <w:kern w:val="0"/>
          <w:lang w:eastAsia="zh-CN"/>
        </w:rPr>
      </w:pPr>
      <w:r>
        <w:rPr>
          <w:rFonts w:hint="eastAsia" w:ascii="Times New Roman" w:hAnsi="Times New Roman" w:eastAsia="宋体" w:cs="Times New Roman"/>
          <w:color w:val="auto"/>
          <w:kern w:val="0"/>
          <w:lang w:eastAsia="zh-CN"/>
        </w:rPr>
        <w:t>本项目废水经处理后出水水质总钒指标执行《钒工业污染物排放标准》（GB26452-2001）</w:t>
      </w:r>
      <w:r>
        <w:rPr>
          <w:rFonts w:hint="eastAsia" w:eastAsia="宋体" w:cs="Times New Roman"/>
          <w:color w:val="auto"/>
          <w:kern w:val="0"/>
          <w:lang w:eastAsia="zh-CN"/>
        </w:rPr>
        <w:t>表</w:t>
      </w:r>
      <w:r>
        <w:rPr>
          <w:rFonts w:hint="eastAsia" w:eastAsia="宋体" w:cs="Times New Roman"/>
          <w:color w:val="auto"/>
          <w:kern w:val="0"/>
          <w:lang w:val="en-US" w:eastAsia="zh-CN"/>
        </w:rPr>
        <w:t>2标准限值</w:t>
      </w:r>
      <w:r>
        <w:rPr>
          <w:rFonts w:hint="eastAsia" w:ascii="Times New Roman" w:hAnsi="Times New Roman" w:eastAsia="宋体" w:cs="Times New Roman"/>
          <w:color w:val="auto"/>
          <w:kern w:val="0"/>
          <w:lang w:eastAsia="zh-CN"/>
        </w:rPr>
        <w:t>，其</w:t>
      </w:r>
      <w:r>
        <w:rPr>
          <w:rFonts w:hint="eastAsia" w:ascii="Times New Roman" w:hAnsi="Times New Roman" w:eastAsia="宋体" w:cs="Times New Roman"/>
          <w:color w:val="000000"/>
          <w:kern w:val="0"/>
          <w:lang w:eastAsia="zh-CN"/>
        </w:rPr>
        <w:t>他污染物指标达到《城镇污水处理厂污染物排放标准》（GB18918-2002）表2、表3中标准限值，后进入花垣工业集中区污水处理厂进水口，经花垣工业集中区污水处理厂处理后排入花垣河。</w:t>
      </w:r>
    </w:p>
    <w:p>
      <w:pPr>
        <w:rPr>
          <w:rFonts w:hint="eastAsia"/>
          <w:b/>
          <w:bCs/>
          <w:lang w:eastAsia="zh-CN"/>
        </w:rPr>
      </w:pPr>
      <w:r>
        <w:rPr>
          <w:rFonts w:hint="eastAsia"/>
          <w:b/>
          <w:bCs/>
          <w:lang w:eastAsia="zh-CN"/>
        </w:rPr>
        <w:t>（</w:t>
      </w:r>
      <w:r>
        <w:rPr>
          <w:rFonts w:hint="eastAsia"/>
          <w:b/>
          <w:bCs/>
          <w:lang w:val="en-US" w:eastAsia="zh-CN"/>
        </w:rPr>
        <w:t>4</w:t>
      </w:r>
      <w:r>
        <w:rPr>
          <w:rFonts w:hint="eastAsia"/>
          <w:b/>
          <w:bCs/>
          <w:lang w:eastAsia="zh-CN"/>
        </w:rPr>
        <w:t>）处理措施可行性分析</w:t>
      </w:r>
    </w:p>
    <w:p>
      <w:pPr>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26" w:charSpace="0"/>
        </w:sectPr>
      </w:pPr>
      <w:r>
        <w:rPr>
          <w:rFonts w:hint="eastAsia"/>
          <w:lang w:eastAsia="zh-CN"/>
        </w:rPr>
        <w:t>由于重金属污水处理工艺在《排污许可证申请与核发技术规范 水处理（试 行）》（HJ978-2018）未单独列出，本次评价采用项目工程验收监测数据对本项目处理工艺进行分析其处理达标可行性。根据工程验收报告可知，验收期间，收集企业生产废水，企业重金属废水在验收期间不进行回用至生产工艺，企业将废水在厂区暂存，达到本项目处理规模时，通过专用管道排放至本项目污水处理站。项目工程验收对进水、出水分别进行了监测，监测数据见下表：</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sz w:val="21"/>
          <w:szCs w:val="21"/>
          <w:highlight w:val="none"/>
          <w:lang w:eastAsia="zh-CN"/>
        </w:rPr>
      </w:pPr>
      <w:r>
        <w:rPr>
          <w:rFonts w:hint="default" w:ascii="Times New Roman" w:hAnsi="Times New Roman" w:eastAsia="宋体" w:cs="Times New Roman"/>
          <w:b/>
          <w:sz w:val="21"/>
          <w:szCs w:val="21"/>
          <w:highlight w:val="none"/>
        </w:rPr>
        <w:t>表</w:t>
      </w:r>
      <w:r>
        <w:rPr>
          <w:rFonts w:hint="eastAsia" w:eastAsia="宋体" w:cs="Times New Roman"/>
          <w:b/>
          <w:sz w:val="21"/>
          <w:szCs w:val="21"/>
          <w:highlight w:val="none"/>
          <w:lang w:val="en-US" w:eastAsia="zh-CN"/>
        </w:rPr>
        <w:t>5.2-2</w:t>
      </w:r>
      <w:r>
        <w:rPr>
          <w:rFonts w:hint="default" w:ascii="Times New Roman" w:hAnsi="Times New Roman" w:eastAsia="宋体" w:cs="Times New Roman"/>
          <w:b/>
          <w:sz w:val="21"/>
          <w:szCs w:val="21"/>
          <w:highlight w:val="none"/>
          <w:lang w:val="en-US" w:eastAsia="zh-CN"/>
        </w:rPr>
        <w:t xml:space="preserve"> </w:t>
      </w:r>
      <w:r>
        <w:rPr>
          <w:rFonts w:hint="default" w:ascii="Times New Roman" w:hAnsi="Times New Roman" w:eastAsia="宋体" w:cs="Times New Roman"/>
          <w:b/>
          <w:sz w:val="21"/>
          <w:szCs w:val="21"/>
          <w:highlight w:val="none"/>
        </w:rPr>
        <w:t xml:space="preserve"> </w:t>
      </w:r>
      <w:r>
        <w:rPr>
          <w:rFonts w:hint="default" w:ascii="Times New Roman" w:hAnsi="Times New Roman" w:cs="Times New Roman"/>
          <w:b/>
          <w:sz w:val="21"/>
          <w:szCs w:val="21"/>
          <w:highlight w:val="none"/>
          <w:lang w:eastAsia="zh-CN"/>
        </w:rPr>
        <w:t>废水</w:t>
      </w:r>
      <w:r>
        <w:rPr>
          <w:rFonts w:hint="eastAsia" w:cs="Times New Roman"/>
          <w:b/>
          <w:sz w:val="21"/>
          <w:szCs w:val="21"/>
          <w:highlight w:val="none"/>
          <w:lang w:eastAsia="zh-CN"/>
        </w:rPr>
        <w:t>进</w:t>
      </w:r>
      <w:r>
        <w:rPr>
          <w:rFonts w:hint="default" w:ascii="Times New Roman" w:hAnsi="Times New Roman" w:cs="Times New Roman"/>
          <w:b/>
          <w:sz w:val="21"/>
          <w:szCs w:val="21"/>
          <w:highlight w:val="none"/>
          <w:lang w:eastAsia="zh-CN"/>
        </w:rPr>
        <w:t>口监测结果</w:t>
      </w:r>
    </w:p>
    <w:tbl>
      <w:tblPr>
        <w:tblStyle w:val="38"/>
        <w:tblW w:w="13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521"/>
        <w:gridCol w:w="1365"/>
        <w:gridCol w:w="1425"/>
        <w:gridCol w:w="1463"/>
        <w:gridCol w:w="1425"/>
        <w:gridCol w:w="1213"/>
        <w:gridCol w:w="1245"/>
        <w:gridCol w:w="2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jc w:val="center"/>
        </w:trPr>
        <w:tc>
          <w:tcPr>
            <w:tcW w:w="91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采样点位/样品编号/采样时间</w:t>
            </w:r>
          </w:p>
        </w:tc>
        <w:tc>
          <w:tcPr>
            <w:tcW w:w="152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w:t>
            </w:r>
          </w:p>
        </w:tc>
        <w:tc>
          <w:tcPr>
            <w:tcW w:w="6891" w:type="dxa"/>
            <w:gridSpan w:val="5"/>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c>
          <w:tcPr>
            <w:tcW w:w="124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计量</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单位</w:t>
            </w:r>
          </w:p>
        </w:tc>
        <w:tc>
          <w:tcPr>
            <w:tcW w:w="292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花垣县工业集中区重金属废水处理工程设计进水水质要求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5" w:hRule="atLeast"/>
          <w:jc w:val="center"/>
        </w:trPr>
        <w:tc>
          <w:tcPr>
            <w:tcW w:w="91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1"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3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S20042505</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HYJ401</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09:00</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S20042505</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HYJ402</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11:00</w:t>
            </w:r>
          </w:p>
        </w:tc>
        <w:tc>
          <w:tcPr>
            <w:tcW w:w="1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S20042505</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HYJ403</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13:00</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S20042505</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HYJ404</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15:00</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范围</w:t>
            </w:r>
          </w:p>
        </w:tc>
        <w:tc>
          <w:tcPr>
            <w:tcW w:w="124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292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jc w:val="center"/>
        </w:trPr>
        <w:tc>
          <w:tcPr>
            <w:tcW w:w="91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废水处理设施进口W1#★</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2020-04-25</w:t>
            </w:r>
          </w:p>
        </w:tc>
        <w:tc>
          <w:tcPr>
            <w:tcW w:w="152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w:t>
            </w:r>
          </w:p>
        </w:tc>
        <w:tc>
          <w:tcPr>
            <w:tcW w:w="13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6.91</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6.94</w:t>
            </w:r>
          </w:p>
        </w:tc>
        <w:tc>
          <w:tcPr>
            <w:tcW w:w="1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6.93</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6.95</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6.91-6.95</w:t>
            </w:r>
          </w:p>
        </w:tc>
        <w:tc>
          <w:tcPr>
            <w:tcW w:w="12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无量纲</w:t>
            </w:r>
          </w:p>
        </w:tc>
        <w:tc>
          <w:tcPr>
            <w:tcW w:w="29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jc w:val="center"/>
        </w:trPr>
        <w:tc>
          <w:tcPr>
            <w:tcW w:w="91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六价铬</w:t>
            </w:r>
          </w:p>
        </w:tc>
        <w:tc>
          <w:tcPr>
            <w:tcW w:w="13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29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jc w:val="center"/>
        </w:trPr>
        <w:tc>
          <w:tcPr>
            <w:tcW w:w="91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锌</w:t>
            </w:r>
          </w:p>
        </w:tc>
        <w:tc>
          <w:tcPr>
            <w:tcW w:w="13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0.005</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0.008</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0.005</w:t>
            </w:r>
          </w:p>
        </w:tc>
        <w:tc>
          <w:tcPr>
            <w:tcW w:w="12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29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jc w:val="center"/>
        </w:trPr>
        <w:tc>
          <w:tcPr>
            <w:tcW w:w="91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总铬</w:t>
            </w:r>
          </w:p>
        </w:tc>
        <w:tc>
          <w:tcPr>
            <w:tcW w:w="13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29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jc w:val="center"/>
        </w:trPr>
        <w:tc>
          <w:tcPr>
            <w:tcW w:w="91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铅</w:t>
            </w:r>
          </w:p>
        </w:tc>
        <w:tc>
          <w:tcPr>
            <w:tcW w:w="13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29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jc w:val="center"/>
        </w:trPr>
        <w:tc>
          <w:tcPr>
            <w:tcW w:w="91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锰</w:t>
            </w:r>
          </w:p>
        </w:tc>
        <w:tc>
          <w:tcPr>
            <w:tcW w:w="13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69.3</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53.2</w:t>
            </w:r>
          </w:p>
        </w:tc>
        <w:tc>
          <w:tcPr>
            <w:tcW w:w="1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66.3</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68.8</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64.4</w:t>
            </w:r>
          </w:p>
        </w:tc>
        <w:tc>
          <w:tcPr>
            <w:tcW w:w="12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29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9" w:hRule="atLeast"/>
          <w:jc w:val="center"/>
        </w:trPr>
        <w:tc>
          <w:tcPr>
            <w:tcW w:w="91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钒</w:t>
            </w:r>
          </w:p>
        </w:tc>
        <w:tc>
          <w:tcPr>
            <w:tcW w:w="13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29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jc w:val="center"/>
        </w:trPr>
        <w:tc>
          <w:tcPr>
            <w:tcW w:w="91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采样点位/样品编号/采样时间</w:t>
            </w:r>
          </w:p>
        </w:tc>
        <w:tc>
          <w:tcPr>
            <w:tcW w:w="1521"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w:t>
            </w:r>
          </w:p>
        </w:tc>
        <w:tc>
          <w:tcPr>
            <w:tcW w:w="6891" w:type="dxa"/>
            <w:gridSpan w:val="5"/>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检测结果</w:t>
            </w:r>
          </w:p>
        </w:tc>
        <w:tc>
          <w:tcPr>
            <w:tcW w:w="124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计量</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单位</w:t>
            </w:r>
          </w:p>
        </w:tc>
        <w:tc>
          <w:tcPr>
            <w:tcW w:w="292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花垣县工业集中区重金属废水处理工程设计进水水质要求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5" w:hRule="atLeast"/>
          <w:jc w:val="center"/>
        </w:trPr>
        <w:tc>
          <w:tcPr>
            <w:tcW w:w="91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1"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3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S20042605</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HYJ401</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09:10</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S20042605</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HYJ402</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11:20</w:t>
            </w:r>
          </w:p>
        </w:tc>
        <w:tc>
          <w:tcPr>
            <w:tcW w:w="1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S20042605</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HYJ403</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13:30</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S20042605</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HYJ404</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15:40</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均值/</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范围</w:t>
            </w:r>
          </w:p>
        </w:tc>
        <w:tc>
          <w:tcPr>
            <w:tcW w:w="124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292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jc w:val="center"/>
        </w:trPr>
        <w:tc>
          <w:tcPr>
            <w:tcW w:w="91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废水处理设施进口W1#★</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2020-04-26</w:t>
            </w:r>
          </w:p>
        </w:tc>
        <w:tc>
          <w:tcPr>
            <w:tcW w:w="152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w:t>
            </w:r>
          </w:p>
        </w:tc>
        <w:tc>
          <w:tcPr>
            <w:tcW w:w="13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6.89</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6.94</w:t>
            </w:r>
          </w:p>
        </w:tc>
        <w:tc>
          <w:tcPr>
            <w:tcW w:w="1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6.94</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6.89</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6.89-6.94</w:t>
            </w:r>
          </w:p>
        </w:tc>
        <w:tc>
          <w:tcPr>
            <w:tcW w:w="12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无量纲</w:t>
            </w:r>
          </w:p>
        </w:tc>
        <w:tc>
          <w:tcPr>
            <w:tcW w:w="29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jc w:val="center"/>
        </w:trPr>
        <w:tc>
          <w:tcPr>
            <w:tcW w:w="91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六价铬</w:t>
            </w:r>
          </w:p>
        </w:tc>
        <w:tc>
          <w:tcPr>
            <w:tcW w:w="13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29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jc w:val="center"/>
        </w:trPr>
        <w:tc>
          <w:tcPr>
            <w:tcW w:w="91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锌</w:t>
            </w:r>
          </w:p>
        </w:tc>
        <w:tc>
          <w:tcPr>
            <w:tcW w:w="13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w:t>
            </w:r>
          </w:p>
        </w:tc>
        <w:tc>
          <w:tcPr>
            <w:tcW w:w="1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0.008</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0.004</w:t>
            </w:r>
          </w:p>
        </w:tc>
        <w:tc>
          <w:tcPr>
            <w:tcW w:w="12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29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jc w:val="center"/>
        </w:trPr>
        <w:tc>
          <w:tcPr>
            <w:tcW w:w="91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总铬</w:t>
            </w:r>
          </w:p>
        </w:tc>
        <w:tc>
          <w:tcPr>
            <w:tcW w:w="13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29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jc w:val="center"/>
        </w:trPr>
        <w:tc>
          <w:tcPr>
            <w:tcW w:w="91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铅</w:t>
            </w:r>
          </w:p>
        </w:tc>
        <w:tc>
          <w:tcPr>
            <w:tcW w:w="13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29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jc w:val="center"/>
        </w:trPr>
        <w:tc>
          <w:tcPr>
            <w:tcW w:w="91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锰</w:t>
            </w:r>
          </w:p>
        </w:tc>
        <w:tc>
          <w:tcPr>
            <w:tcW w:w="13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54.4</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68.7</w:t>
            </w:r>
          </w:p>
        </w:tc>
        <w:tc>
          <w:tcPr>
            <w:tcW w:w="1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56.3</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68.1</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61.9</w:t>
            </w:r>
          </w:p>
        </w:tc>
        <w:tc>
          <w:tcPr>
            <w:tcW w:w="12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29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jc w:val="center"/>
        </w:trPr>
        <w:tc>
          <w:tcPr>
            <w:tcW w:w="915"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1521"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钒</w:t>
            </w:r>
          </w:p>
        </w:tc>
        <w:tc>
          <w:tcPr>
            <w:tcW w:w="136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4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1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2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mg/L</w:t>
            </w:r>
          </w:p>
        </w:tc>
        <w:tc>
          <w:tcPr>
            <w:tcW w:w="292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sz w:val="21"/>
          <w:szCs w:val="21"/>
          <w:highlight w:val="none"/>
          <w:lang w:eastAsia="zh-CN"/>
        </w:rPr>
      </w:pPr>
      <w:r>
        <w:rPr>
          <w:rFonts w:hint="default" w:ascii="Times New Roman" w:hAnsi="Times New Roman" w:eastAsia="宋体" w:cs="Times New Roman"/>
          <w:b/>
          <w:sz w:val="21"/>
          <w:szCs w:val="21"/>
          <w:highlight w:val="none"/>
        </w:rPr>
        <w:t>表</w:t>
      </w:r>
      <w:r>
        <w:rPr>
          <w:rFonts w:hint="eastAsia" w:eastAsia="宋体" w:cs="Times New Roman"/>
          <w:b/>
          <w:sz w:val="21"/>
          <w:szCs w:val="21"/>
          <w:highlight w:val="none"/>
          <w:lang w:val="en-US" w:eastAsia="zh-CN"/>
        </w:rPr>
        <w:t>5.2-2</w:t>
      </w:r>
      <w:r>
        <w:rPr>
          <w:rFonts w:hint="default" w:ascii="Times New Roman" w:hAnsi="Times New Roman" w:eastAsia="宋体" w:cs="Times New Roman"/>
          <w:b/>
          <w:sz w:val="21"/>
          <w:szCs w:val="21"/>
          <w:highlight w:val="none"/>
          <w:lang w:val="en-US" w:eastAsia="zh-CN"/>
        </w:rPr>
        <w:t xml:space="preserve"> </w:t>
      </w:r>
      <w:r>
        <w:rPr>
          <w:rFonts w:hint="default" w:ascii="Times New Roman" w:hAnsi="Times New Roman" w:eastAsia="宋体" w:cs="Times New Roman"/>
          <w:b/>
          <w:sz w:val="21"/>
          <w:szCs w:val="21"/>
          <w:highlight w:val="none"/>
        </w:rPr>
        <w:t xml:space="preserve"> </w:t>
      </w:r>
      <w:r>
        <w:rPr>
          <w:rFonts w:hint="default" w:ascii="Times New Roman" w:hAnsi="Times New Roman" w:cs="Times New Roman"/>
          <w:b/>
          <w:sz w:val="21"/>
          <w:szCs w:val="21"/>
          <w:highlight w:val="none"/>
          <w:lang w:eastAsia="zh-CN"/>
        </w:rPr>
        <w:t>废水出口监测结果</w:t>
      </w:r>
    </w:p>
    <w:tbl>
      <w:tblPr>
        <w:tblStyle w:val="38"/>
        <w:tblW w:w="13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847"/>
        <w:gridCol w:w="1710"/>
        <w:gridCol w:w="1740"/>
        <w:gridCol w:w="1710"/>
        <w:gridCol w:w="1395"/>
        <w:gridCol w:w="1545"/>
        <w:gridCol w:w="1303"/>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208" w:type="dxa"/>
            <w:vMerge w:val="restart"/>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采样点位</w:t>
            </w:r>
          </w:p>
        </w:tc>
        <w:tc>
          <w:tcPr>
            <w:tcW w:w="847" w:type="dxa"/>
            <w:vMerge w:val="restart"/>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8100" w:type="dxa"/>
            <w:gridSpan w:val="5"/>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样品编号/采样时间</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检测结果</w:t>
            </w:r>
          </w:p>
        </w:tc>
        <w:tc>
          <w:tcPr>
            <w:tcW w:w="130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计量</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218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《城镇污水处理厂污染物排放标准》GB18918-2002中表2</w:t>
            </w:r>
            <w:r>
              <w:rPr>
                <w:rFonts w:hint="default" w:ascii="Times New Roman" w:hAnsi="Times New Roman" w:eastAsia="宋体" w:cs="Times New Roman"/>
                <w:sz w:val="21"/>
                <w:szCs w:val="21"/>
                <w:lang w:val="en-US" w:eastAsia="zh-CN"/>
              </w:rPr>
              <w:t>部分</w:t>
            </w:r>
            <w:r>
              <w:rPr>
                <w:rFonts w:hint="default" w:ascii="Times New Roman" w:hAnsi="Times New Roman" w:eastAsia="宋体" w:cs="Times New Roman"/>
                <w:sz w:val="21"/>
                <w:szCs w:val="21"/>
              </w:rPr>
              <w:t>一类污染物</w:t>
            </w:r>
            <w:r>
              <w:rPr>
                <w:rFonts w:hint="default" w:ascii="Times New Roman" w:hAnsi="Times New Roman" w:eastAsia="宋体" w:cs="Times New Roman"/>
                <w:sz w:val="21"/>
                <w:szCs w:val="21"/>
                <w:lang w:val="en-US" w:eastAsia="zh-CN"/>
              </w:rPr>
              <w:t>最高允许排放浓度</w:t>
            </w:r>
            <w:r>
              <w:rPr>
                <w:rFonts w:hint="default" w:ascii="Times New Roman" w:hAnsi="Times New Roman" w:eastAsia="宋体" w:cs="Times New Roman"/>
                <w:sz w:val="21"/>
                <w:szCs w:val="21"/>
              </w:rPr>
              <w:t>（日均值）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3"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S20042505HYJ4050</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9:40</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S20042505HYJ40611:40</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S20042505HYJ40713:50</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S20042505HYJ408</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15:50</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均值</w:t>
            </w:r>
          </w:p>
        </w:tc>
        <w:tc>
          <w:tcPr>
            <w:tcW w:w="1303"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2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208" w:type="dxa"/>
            <w:vMerge w:val="restart"/>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废水处理设施出口W2#</w:t>
            </w:r>
            <w:r>
              <w:rPr>
                <w:rFonts w:hint="default" w:ascii="Times New Roman" w:hAnsi="Times New Roman" w:eastAsia="宋体" w:cs="Times New Roman"/>
                <w:sz w:val="21"/>
                <w:szCs w:val="21"/>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2020-04-25</w:t>
            </w:r>
          </w:p>
        </w:tc>
        <w:tc>
          <w:tcPr>
            <w:tcW w:w="84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7.41</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7.38</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7.34</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7.39</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w:t>
            </w: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-7.41</w:t>
            </w:r>
          </w:p>
        </w:tc>
        <w:tc>
          <w:tcPr>
            <w:tcW w:w="13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无量纲</w:t>
            </w:r>
          </w:p>
        </w:tc>
        <w:tc>
          <w:tcPr>
            <w:tcW w:w="21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84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六价铬</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mg/L</w:t>
            </w:r>
          </w:p>
        </w:tc>
        <w:tc>
          <w:tcPr>
            <w:tcW w:w="21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锌</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21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铬</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mg/L</w:t>
            </w:r>
          </w:p>
        </w:tc>
        <w:tc>
          <w:tcPr>
            <w:tcW w:w="21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铅</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mg/L</w:t>
            </w:r>
          </w:p>
        </w:tc>
        <w:tc>
          <w:tcPr>
            <w:tcW w:w="21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4"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vMerge w:val="restart"/>
            <w:tcBorders>
              <w:top w:val="single" w:color="000000" w:sz="8"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8100" w:type="dxa"/>
            <w:gridSpan w:val="5"/>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样品编号/采样时间</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检测结果</w:t>
            </w:r>
          </w:p>
        </w:tc>
        <w:tc>
          <w:tcPr>
            <w:tcW w:w="130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计量</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218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《城镇污水处理厂污染物排放标准》GB18918-2002中表</w:t>
            </w:r>
            <w:r>
              <w:rPr>
                <w:rFonts w:hint="default" w:ascii="Times New Roman" w:hAnsi="Times New Roman" w:eastAsia="宋体" w:cs="Times New Roman"/>
                <w:sz w:val="21"/>
                <w:szCs w:val="21"/>
                <w:lang w:val="en-US" w:eastAsia="zh-CN"/>
              </w:rPr>
              <w:t>3选择控制项目最高允许排放浓度（日均值）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S20042505HYJ405</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09:40</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S20042505HYJ406</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11:40</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S20042505HYJ407</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13:50</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S20042505HYJ408</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15:50</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均值</w:t>
            </w:r>
          </w:p>
        </w:tc>
        <w:tc>
          <w:tcPr>
            <w:tcW w:w="1303"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2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tcBorders>
              <w:bottom w:val="single" w:color="000000" w:sz="8"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锰</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0.10</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0.04</w:t>
            </w:r>
          </w:p>
        </w:tc>
        <w:tc>
          <w:tcPr>
            <w:tcW w:w="13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21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vMerge w:val="restart"/>
            <w:tcBorders>
              <w:top w:val="single" w:color="000000" w:sz="8"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8100" w:type="dxa"/>
            <w:gridSpan w:val="5"/>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样品编号/采样时间</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检测结果</w:t>
            </w:r>
          </w:p>
        </w:tc>
        <w:tc>
          <w:tcPr>
            <w:tcW w:w="130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计量</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218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《钒工业污染物排放标准》GB26452-2011表</w:t>
            </w:r>
            <w:r>
              <w:rPr>
                <w:rFonts w:hint="eastAsia"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水污染物排放浓度限值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4"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S20042505HYJ405</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09:40</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S20042505HYJ406</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11:40</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S20042505HYJ407</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13:50</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S20042505HYJ408</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15:50</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均值</w:t>
            </w:r>
          </w:p>
        </w:tc>
        <w:tc>
          <w:tcPr>
            <w:tcW w:w="1303"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2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208" w:type="dxa"/>
            <w:vMerge w:val="continue"/>
            <w:tcBorders>
              <w:bottom w:val="single" w:color="000000" w:sz="8" w:space="0"/>
            </w:tcBorders>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tcBorders>
              <w:bottom w:val="single" w:color="000000" w:sz="8"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钒</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21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4" w:hRule="atLeast"/>
          <w:jc w:val="center"/>
        </w:trPr>
        <w:tc>
          <w:tcPr>
            <w:tcW w:w="1208" w:type="dxa"/>
            <w:vMerge w:val="restart"/>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采样点位</w:t>
            </w:r>
          </w:p>
        </w:tc>
        <w:tc>
          <w:tcPr>
            <w:tcW w:w="847" w:type="dxa"/>
            <w:vMerge w:val="restart"/>
            <w:tcBorders>
              <w:top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8100" w:type="dxa"/>
            <w:gridSpan w:val="5"/>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样品编号/采样时间</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检测结果</w:t>
            </w:r>
          </w:p>
        </w:tc>
        <w:tc>
          <w:tcPr>
            <w:tcW w:w="130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计量</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218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《城镇污水处理厂污染物排放标准》GB18918-2002中表2</w:t>
            </w:r>
            <w:r>
              <w:rPr>
                <w:rFonts w:hint="default" w:ascii="Times New Roman" w:hAnsi="Times New Roman" w:eastAsia="宋体" w:cs="Times New Roman"/>
                <w:sz w:val="21"/>
                <w:szCs w:val="21"/>
                <w:lang w:val="en-US" w:eastAsia="zh-CN"/>
              </w:rPr>
              <w:t>部分</w:t>
            </w:r>
            <w:r>
              <w:rPr>
                <w:rFonts w:hint="default" w:ascii="Times New Roman" w:hAnsi="Times New Roman" w:eastAsia="宋体" w:cs="Times New Roman"/>
                <w:sz w:val="21"/>
                <w:szCs w:val="21"/>
              </w:rPr>
              <w:t>一类污染物</w:t>
            </w:r>
            <w:r>
              <w:rPr>
                <w:rFonts w:hint="default" w:ascii="Times New Roman" w:hAnsi="Times New Roman" w:eastAsia="宋体" w:cs="Times New Roman"/>
                <w:sz w:val="21"/>
                <w:szCs w:val="21"/>
                <w:lang w:val="en-US" w:eastAsia="zh-CN"/>
              </w:rPr>
              <w:t>最高允许排放浓度</w:t>
            </w:r>
            <w:r>
              <w:rPr>
                <w:rFonts w:hint="default" w:ascii="Times New Roman" w:hAnsi="Times New Roman" w:eastAsia="宋体" w:cs="Times New Roman"/>
                <w:sz w:val="21"/>
                <w:szCs w:val="21"/>
              </w:rPr>
              <w:t>（日均值）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S20042605HYJ405</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10:10</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S20042605HYJ406</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12:00</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S20042605HYJ407</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14:10</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S20042605HYJ408</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16:50</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均值</w:t>
            </w:r>
          </w:p>
        </w:tc>
        <w:tc>
          <w:tcPr>
            <w:tcW w:w="1303"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2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jc w:val="center"/>
        </w:trPr>
        <w:tc>
          <w:tcPr>
            <w:tcW w:w="1208" w:type="dxa"/>
            <w:vMerge w:val="restart"/>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废水处理设施出口W2#</w:t>
            </w:r>
            <w:r>
              <w:rPr>
                <w:rFonts w:hint="default" w:ascii="Times New Roman" w:hAnsi="Times New Roman" w:eastAsia="宋体" w:cs="Times New Roman"/>
                <w:sz w:val="21"/>
                <w:szCs w:val="21"/>
                <w:lang w:eastAsia="zh-CN"/>
              </w:rPr>
              <w:t>★</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2020-04-26</w:t>
            </w:r>
          </w:p>
        </w:tc>
        <w:tc>
          <w:tcPr>
            <w:tcW w:w="84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7.42</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7.36</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7.36</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7.42</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7.36-7.42</w:t>
            </w:r>
          </w:p>
        </w:tc>
        <w:tc>
          <w:tcPr>
            <w:tcW w:w="13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无量纲</w:t>
            </w:r>
          </w:p>
        </w:tc>
        <w:tc>
          <w:tcPr>
            <w:tcW w:w="21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84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六价铬</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mg/L</w:t>
            </w:r>
          </w:p>
        </w:tc>
        <w:tc>
          <w:tcPr>
            <w:tcW w:w="21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锌</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0.005</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0.003</w:t>
            </w:r>
          </w:p>
        </w:tc>
        <w:tc>
          <w:tcPr>
            <w:tcW w:w="13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21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铬</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mg/L</w:t>
            </w:r>
          </w:p>
        </w:tc>
        <w:tc>
          <w:tcPr>
            <w:tcW w:w="21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铅</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mg/L</w:t>
            </w:r>
          </w:p>
        </w:tc>
        <w:tc>
          <w:tcPr>
            <w:tcW w:w="21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vMerge w:val="restart"/>
            <w:tcBorders>
              <w:top w:val="single" w:color="000000" w:sz="8"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8100" w:type="dxa"/>
            <w:gridSpan w:val="5"/>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样品编号/采样时间</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检测结果</w:t>
            </w:r>
          </w:p>
        </w:tc>
        <w:tc>
          <w:tcPr>
            <w:tcW w:w="130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计量</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218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《城镇污水处理厂污染物排放标准》GB18918-2002中表</w:t>
            </w:r>
            <w:r>
              <w:rPr>
                <w:rFonts w:hint="default" w:ascii="Times New Roman" w:hAnsi="Times New Roman" w:eastAsia="宋体" w:cs="Times New Roman"/>
                <w:sz w:val="21"/>
                <w:szCs w:val="21"/>
                <w:lang w:val="en-US" w:eastAsia="zh-CN"/>
              </w:rPr>
              <w:t>3选择控制项目最高允许排放浓度（日均值）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4"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S20042605HYJ405</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10:10</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S20042605HYJ406</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12:00</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S20042605HYJ407</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14:10</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S20042605HYJ408</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16:50</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均值</w:t>
            </w:r>
          </w:p>
        </w:tc>
        <w:tc>
          <w:tcPr>
            <w:tcW w:w="1303"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2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tcBorders>
              <w:bottom w:val="single" w:color="000000" w:sz="8"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锰</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0.04</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0.03</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w:t>
            </w:r>
          </w:p>
        </w:tc>
        <w:tc>
          <w:tcPr>
            <w:tcW w:w="13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mg/L</w:t>
            </w:r>
          </w:p>
        </w:tc>
        <w:tc>
          <w:tcPr>
            <w:tcW w:w="21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4"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vMerge w:val="restart"/>
            <w:tcBorders>
              <w:top w:val="single" w:color="000000" w:sz="8"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8100" w:type="dxa"/>
            <w:gridSpan w:val="5"/>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样品编号/采样时间</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检测结果</w:t>
            </w:r>
          </w:p>
        </w:tc>
        <w:tc>
          <w:tcPr>
            <w:tcW w:w="1303"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计量</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218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《钒工业污染物排放标准》GB26452-2011表</w:t>
            </w:r>
            <w:r>
              <w:rPr>
                <w:rFonts w:hint="eastAsia"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水污染物排放浓度限值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208"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S20042605HYJ405</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10:10</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S20042605HYJ406</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12:00</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S20042605HYJ407</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14:10</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S20042605HYJ408</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16:50</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rPr>
              <w:t>均值</w:t>
            </w:r>
          </w:p>
        </w:tc>
        <w:tc>
          <w:tcPr>
            <w:tcW w:w="1303" w:type="dxa"/>
            <w:vMerge w:val="continue"/>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218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9" w:hRule="atLeast"/>
          <w:jc w:val="center"/>
        </w:trPr>
        <w:tc>
          <w:tcPr>
            <w:tcW w:w="1208" w:type="dxa"/>
            <w:vMerge w:val="continue"/>
            <w:tcBorders>
              <w:bottom w:val="single" w:color="000000" w:sz="8" w:space="0"/>
            </w:tcBorders>
            <w:noWrap w:val="0"/>
            <w:vAlign w:val="top"/>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47" w:type="dxa"/>
            <w:tcBorders>
              <w:bottom w:val="single" w:color="000000" w:sz="8"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钒</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4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71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9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545"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30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218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1.0</w:t>
            </w:r>
          </w:p>
        </w:tc>
      </w:tr>
    </w:tbl>
    <w:p>
      <w:pPr>
        <w:rPr>
          <w:rFonts w:hint="eastAsia"/>
          <w:lang w:eastAsia="zh-CN"/>
        </w:rPr>
      </w:pPr>
    </w:p>
    <w:p>
      <w:pPr>
        <w:pStyle w:val="16"/>
        <w:rPr>
          <w:rFonts w:hint="eastAsia"/>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rPr>
          <w:rFonts w:hint="eastAsia"/>
          <w:lang w:eastAsia="zh-CN"/>
        </w:rPr>
      </w:pPr>
      <w:r>
        <w:rPr>
          <w:rFonts w:hint="eastAsia"/>
          <w:lang w:eastAsia="zh-CN"/>
        </w:rPr>
        <w:t>根据工程验收监测数据可知，总锰的进口检测结果超过设计进水水质要求，最高浓度超过进水限值浓度的2.77倍，进水浓度较高因工程验收采用企业累计蓄水在储水池达到本项目处理规模再排放至本项目污水处理站，企业蓄水过程中未管理不到位，导致企业污水处理站含锰废水处理效率降低，导致进水浓度增加，工程验收期间虽然可以做到处理达标，考虑长期运行会对本项目污水处理站造成冲击，环评要求本项目正式运行，应严格控制项目进水浓度控制在设计浓度范围内。</w:t>
      </w:r>
    </w:p>
    <w:p>
      <w:pPr>
        <w:rPr>
          <w:rFonts w:hint="eastAsia"/>
          <w:lang w:eastAsia="zh-CN"/>
        </w:rPr>
      </w:pPr>
      <w:r>
        <w:rPr>
          <w:rFonts w:hint="eastAsia"/>
          <w:lang w:eastAsia="zh-CN"/>
        </w:rPr>
        <w:t>工程验收监测期间污水处理站总锰去除率为99.9%，总铬、六价铬、总钒、总锌、总铅未检出。总锰处理效率符合技术方案要求，由于总铬、六价铬、总钒、总锌、总铅进、出口浓度较低，故不对其处理效率做评价。根据项目工程验收结论，项目处理效率见下表：</w:t>
      </w:r>
    </w:p>
    <w:p>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b/>
          <w:sz w:val="21"/>
          <w:szCs w:val="21"/>
          <w:highlight w:val="none"/>
        </w:rPr>
        <w:t>表</w:t>
      </w:r>
      <w:r>
        <w:rPr>
          <w:rFonts w:hint="eastAsia" w:eastAsia="宋体" w:cs="Times New Roman"/>
          <w:b/>
          <w:sz w:val="21"/>
          <w:szCs w:val="21"/>
          <w:highlight w:val="none"/>
          <w:lang w:val="en-US" w:eastAsia="zh-CN"/>
        </w:rPr>
        <w:t>5.2-4</w:t>
      </w:r>
      <w:r>
        <w:rPr>
          <w:rFonts w:hint="eastAsia" w:ascii="宋体" w:hAnsi="宋体" w:cs="宋体"/>
          <w:b/>
          <w:sz w:val="21"/>
          <w:szCs w:val="21"/>
          <w:highlight w:val="none"/>
          <w:lang w:val="en-US" w:eastAsia="zh-CN"/>
        </w:rPr>
        <w:t xml:space="preserve"> </w:t>
      </w:r>
      <w:r>
        <w:rPr>
          <w:rFonts w:hint="eastAsia" w:ascii="宋体" w:hAnsi="宋体" w:eastAsia="宋体" w:cs="宋体"/>
          <w:b/>
          <w:sz w:val="21"/>
          <w:szCs w:val="21"/>
          <w:highlight w:val="none"/>
        </w:rPr>
        <w:t xml:space="preserve"> </w:t>
      </w:r>
      <w:r>
        <w:rPr>
          <w:rFonts w:hint="eastAsia" w:ascii="宋体" w:hAnsi="宋体" w:cs="宋体"/>
          <w:b/>
          <w:sz w:val="21"/>
          <w:szCs w:val="21"/>
          <w:highlight w:val="none"/>
          <w:lang w:eastAsia="zh-CN"/>
        </w:rPr>
        <w:t>废水处理站处理效率</w:t>
      </w:r>
    </w:p>
    <w:tbl>
      <w:tblPr>
        <w:tblStyle w:val="37"/>
        <w:tblW w:w="85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1"/>
        <w:gridCol w:w="1860"/>
        <w:gridCol w:w="1993"/>
        <w:gridCol w:w="1503"/>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54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18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进水水质平均浓度#（mg/L）</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出水水质平均浓度#（mg/L）</w:t>
            </w:r>
          </w:p>
        </w:tc>
        <w:tc>
          <w:tcPr>
            <w:tcW w:w="15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去除率（%）</w:t>
            </w:r>
          </w:p>
        </w:tc>
        <w:tc>
          <w:tcPr>
            <w:tcW w:w="16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技术方案要求处理效率</w:t>
            </w: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54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w:t>
            </w:r>
            <w:r>
              <w:rPr>
                <w:rFonts w:hint="default" w:ascii="Times New Roman" w:hAnsi="Times New Roman" w:eastAsia="宋体" w:cs="Times New Roman"/>
                <w:sz w:val="21"/>
                <w:szCs w:val="21"/>
                <w:lang w:val="en-US" w:eastAsia="zh-CN"/>
              </w:rPr>
              <w:t>锰</w:t>
            </w:r>
          </w:p>
        </w:tc>
        <w:tc>
          <w:tcPr>
            <w:tcW w:w="18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63.1</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0.03</w:t>
            </w:r>
          </w:p>
        </w:tc>
        <w:tc>
          <w:tcPr>
            <w:tcW w:w="15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99.9</w:t>
            </w:r>
          </w:p>
        </w:tc>
        <w:tc>
          <w:tcPr>
            <w:tcW w:w="16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54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总铬</w:t>
            </w:r>
          </w:p>
        </w:tc>
        <w:tc>
          <w:tcPr>
            <w:tcW w:w="18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5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6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jc w:val="center"/>
        </w:trPr>
        <w:tc>
          <w:tcPr>
            <w:tcW w:w="154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六价铬</w:t>
            </w:r>
          </w:p>
        </w:tc>
        <w:tc>
          <w:tcPr>
            <w:tcW w:w="18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5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6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54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总钒</w:t>
            </w:r>
          </w:p>
        </w:tc>
        <w:tc>
          <w:tcPr>
            <w:tcW w:w="18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5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6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54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总锌</w:t>
            </w:r>
          </w:p>
        </w:tc>
        <w:tc>
          <w:tcPr>
            <w:tcW w:w="18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5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6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54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总铅</w:t>
            </w:r>
          </w:p>
        </w:tc>
        <w:tc>
          <w:tcPr>
            <w:tcW w:w="1860"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99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ND</w:t>
            </w:r>
          </w:p>
        </w:tc>
        <w:tc>
          <w:tcPr>
            <w:tcW w:w="1503"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66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90</w:t>
            </w:r>
          </w:p>
        </w:tc>
      </w:tr>
    </w:tbl>
    <w:p>
      <w:pPr>
        <w:ind w:firstLine="480"/>
        <w:rPr>
          <w:color w:val="000000"/>
          <w:kern w:val="0"/>
        </w:rPr>
      </w:pPr>
      <w:r>
        <w:rPr>
          <w:rFonts w:hint="eastAsia"/>
          <w:color w:val="auto"/>
          <w:lang w:eastAsia="zh-CN"/>
        </w:rPr>
        <w:t>根据工程验收监测数据可知，项目采用工艺可以使废水出水总钒指标可以达到《钒工业污染物排放标准》（GB26452-2001）表</w:t>
      </w:r>
      <w:r>
        <w:rPr>
          <w:rFonts w:hint="eastAsia"/>
          <w:color w:val="auto"/>
          <w:lang w:val="en-US" w:eastAsia="zh-CN"/>
        </w:rPr>
        <w:t>2标准限值</w:t>
      </w:r>
      <w:r>
        <w:rPr>
          <w:rFonts w:hint="eastAsia"/>
          <w:color w:val="auto"/>
          <w:lang w:eastAsia="zh-CN"/>
        </w:rPr>
        <w:t>，其</w:t>
      </w:r>
      <w:r>
        <w:rPr>
          <w:rFonts w:hint="eastAsia"/>
          <w:lang w:eastAsia="zh-CN"/>
        </w:rPr>
        <w:t>他污染物指标达到《城镇污水处理厂污染物排放标准》（GB18918-2002）表2、表3中标准限值。结合《水污染治理工程技术导则》(HJ 2015-2012)进行分析，本项目采用的化学沉淀法，属于技术导则中规定的化学沉淀法，该处理方法适用于去除废水中中重金属离子项目采用的处理工艺为可行技术</w:t>
      </w:r>
      <w:r>
        <w:rPr>
          <w:color w:val="000000"/>
          <w:kern w:val="0"/>
        </w:rPr>
        <w:t>。</w:t>
      </w:r>
    </w:p>
    <w:p>
      <w:pPr>
        <w:pStyle w:val="81"/>
        <w:rPr>
          <w:rFonts w:hint="eastAsia"/>
          <w:color w:val="000000"/>
        </w:rPr>
      </w:pPr>
      <w:r>
        <w:rPr>
          <w:color w:val="000000"/>
        </w:rPr>
        <w:t>5</w:t>
      </w:r>
      <w:r>
        <w:rPr>
          <w:rFonts w:hint="eastAsia"/>
          <w:color w:val="000000"/>
        </w:rPr>
        <w:t>.2</w:t>
      </w:r>
      <w:r>
        <w:rPr>
          <w:color w:val="000000"/>
        </w:rPr>
        <w:t>.1.2</w:t>
      </w:r>
      <w:r>
        <w:rPr>
          <w:rFonts w:hint="eastAsia"/>
          <w:color w:val="000000"/>
        </w:rPr>
        <w:t xml:space="preserve">区域污染源控制 </w:t>
      </w:r>
    </w:p>
    <w:p>
      <w:pPr>
        <w:ind w:firstLine="480"/>
        <w:rPr>
          <w:rFonts w:hint="eastAsia"/>
          <w:color w:val="000000"/>
          <w:kern w:val="0"/>
        </w:rPr>
      </w:pPr>
      <w:r>
        <w:rPr>
          <w:rFonts w:hint="eastAsia"/>
          <w:color w:val="000000"/>
          <w:kern w:val="0"/>
        </w:rPr>
        <w:t>为了确保污水处理</w:t>
      </w:r>
      <w:r>
        <w:rPr>
          <w:rFonts w:hint="eastAsia"/>
          <w:color w:val="000000"/>
          <w:kern w:val="0"/>
          <w:lang w:eastAsia="zh-CN"/>
        </w:rPr>
        <w:t>站</w:t>
      </w:r>
      <w:r>
        <w:rPr>
          <w:rFonts w:hint="eastAsia"/>
          <w:color w:val="000000"/>
          <w:kern w:val="0"/>
        </w:rPr>
        <w:t>的正常运转和处理后的尾水稳定达标运行，一定要做好进水污染源的源头控制和管理。因此，本环评针对区域污染源情况提出本项目进水接管要求：</w:t>
      </w:r>
    </w:p>
    <w:p>
      <w:pPr>
        <w:ind w:firstLine="480"/>
        <w:rPr>
          <w:color w:val="000000"/>
          <w:kern w:val="0"/>
        </w:rPr>
      </w:pPr>
      <w:r>
        <w:rPr>
          <w:rFonts w:hint="eastAsia"/>
          <w:color w:val="000000"/>
          <w:kern w:val="0"/>
        </w:rPr>
        <w:t>①制定严格的污水排入许可制度，进水污水处理</w:t>
      </w:r>
      <w:r>
        <w:rPr>
          <w:rFonts w:hint="eastAsia"/>
          <w:color w:val="000000"/>
          <w:kern w:val="0"/>
          <w:lang w:eastAsia="zh-CN"/>
        </w:rPr>
        <w:t>站</w:t>
      </w:r>
      <w:r>
        <w:rPr>
          <w:rFonts w:hint="eastAsia"/>
          <w:color w:val="000000"/>
          <w:kern w:val="0"/>
        </w:rPr>
        <w:t>的废水必须达到接管要求后进入污水管网。为了确保进入污水管网的各企业污水符合接管要求</w:t>
      </w:r>
      <w:r>
        <w:rPr>
          <w:rFonts w:hint="eastAsia"/>
          <w:color w:val="000000"/>
          <w:kern w:val="0"/>
          <w:lang w:eastAsia="zh-CN"/>
        </w:rPr>
        <w:t>项目</w:t>
      </w:r>
      <w:r>
        <w:rPr>
          <w:rFonts w:hint="eastAsia"/>
          <w:color w:val="000000"/>
          <w:kern w:val="0"/>
        </w:rPr>
        <w:t>对主要排污企业污水排放口建设在线监测装置，对污水流量、</w:t>
      </w:r>
      <w:r>
        <w:rPr>
          <w:rFonts w:hint="eastAsia"/>
          <w:color w:val="000000"/>
          <w:kern w:val="0"/>
          <w:lang w:eastAsia="zh-CN"/>
        </w:rPr>
        <w:t>六价铬、锰等重金属</w:t>
      </w:r>
      <w:r>
        <w:rPr>
          <w:rFonts w:hint="eastAsia"/>
          <w:color w:val="000000"/>
          <w:kern w:val="0"/>
        </w:rPr>
        <w:t>浓度进行在线监测，在线监测装置必须与污水处理</w:t>
      </w:r>
      <w:r>
        <w:rPr>
          <w:rFonts w:hint="eastAsia"/>
          <w:color w:val="000000"/>
          <w:kern w:val="0"/>
          <w:lang w:eastAsia="zh-CN"/>
        </w:rPr>
        <w:t>站</w:t>
      </w:r>
      <w:r>
        <w:rPr>
          <w:rFonts w:hint="eastAsia"/>
          <w:color w:val="000000"/>
          <w:kern w:val="0"/>
        </w:rPr>
        <w:t>监控室、当地环保部门连通，以便接受监督。</w:t>
      </w:r>
    </w:p>
    <w:p>
      <w:pPr>
        <w:ind w:firstLine="480"/>
        <w:rPr>
          <w:rFonts w:hint="eastAsia"/>
          <w:color w:val="000000"/>
          <w:kern w:val="0"/>
        </w:rPr>
      </w:pPr>
      <w:r>
        <w:rPr>
          <w:rFonts w:hint="eastAsia"/>
          <w:color w:val="000000"/>
          <w:kern w:val="0"/>
        </w:rPr>
        <w:t>②为了使进入污水处理</w:t>
      </w:r>
      <w:r>
        <w:rPr>
          <w:rFonts w:hint="eastAsia"/>
          <w:color w:val="000000"/>
          <w:kern w:val="0"/>
          <w:lang w:eastAsia="zh-CN"/>
        </w:rPr>
        <w:t>站</w:t>
      </w:r>
      <w:r>
        <w:rPr>
          <w:rFonts w:hint="eastAsia"/>
          <w:color w:val="000000"/>
          <w:kern w:val="0"/>
        </w:rPr>
        <w:t>的污水水质稳定，各排污企业必须建设足够容量的污水调节池，以便排放水质稳定。</w:t>
      </w:r>
    </w:p>
    <w:p>
      <w:pPr>
        <w:ind w:firstLine="480"/>
        <w:rPr>
          <w:color w:val="000000"/>
          <w:kern w:val="0"/>
        </w:rPr>
      </w:pPr>
      <w:r>
        <w:rPr>
          <w:rFonts w:hint="eastAsia"/>
          <w:color w:val="000000"/>
          <w:kern w:val="0"/>
        </w:rPr>
        <w:t>③加强对区域内排污单位的监管，对于纳污范围内工业企业，根据各行业废水特点，严格要求各企业废水排入污水管网前经过厂内污水处理设施预处理，涉及《污水综合排放标准》（GB8979-1996）中第一类污染物的废水必须在生产车间处理达标，不得直接排入</w:t>
      </w:r>
      <w:r>
        <w:rPr>
          <w:rFonts w:hint="eastAsia"/>
          <w:color w:val="000000"/>
          <w:kern w:val="0"/>
          <w:lang w:eastAsia="zh-CN"/>
        </w:rPr>
        <w:t>本项目</w:t>
      </w:r>
      <w:r>
        <w:rPr>
          <w:rFonts w:hint="eastAsia"/>
          <w:color w:val="000000"/>
          <w:kern w:val="0"/>
        </w:rPr>
        <w:t>污水处理</w:t>
      </w:r>
      <w:r>
        <w:rPr>
          <w:rFonts w:hint="eastAsia"/>
          <w:color w:val="000000"/>
          <w:kern w:val="0"/>
          <w:lang w:eastAsia="zh-CN"/>
        </w:rPr>
        <w:t>站</w:t>
      </w:r>
      <w:r>
        <w:rPr>
          <w:rFonts w:hint="eastAsia"/>
          <w:color w:val="000000"/>
          <w:kern w:val="0"/>
        </w:rPr>
        <w:t>。</w:t>
      </w:r>
    </w:p>
    <w:p>
      <w:pPr>
        <w:ind w:firstLine="480"/>
        <w:rPr>
          <w:color w:val="000000"/>
          <w:kern w:val="0"/>
        </w:rPr>
      </w:pPr>
      <w:r>
        <w:rPr>
          <w:rFonts w:hint="eastAsia"/>
          <w:color w:val="000000"/>
          <w:kern w:val="0"/>
        </w:rPr>
        <w:t>④污水处理</w:t>
      </w:r>
      <w:r>
        <w:rPr>
          <w:rFonts w:hint="eastAsia"/>
          <w:color w:val="000000"/>
          <w:kern w:val="0"/>
          <w:lang w:eastAsia="zh-CN"/>
        </w:rPr>
        <w:t>站</w:t>
      </w:r>
      <w:r>
        <w:rPr>
          <w:rFonts w:hint="eastAsia"/>
          <w:color w:val="000000"/>
          <w:kern w:val="0"/>
        </w:rPr>
        <w:t>需要与主要的污水排放企业建立畅通的信息交流管道，建立企业的事故报告制度。一旦排水进入污水处理</w:t>
      </w:r>
      <w:r>
        <w:rPr>
          <w:rFonts w:hint="eastAsia"/>
          <w:color w:val="000000"/>
          <w:kern w:val="0"/>
          <w:lang w:eastAsia="zh-CN"/>
        </w:rPr>
        <w:t>站</w:t>
      </w:r>
      <w:r>
        <w:rPr>
          <w:rFonts w:hint="eastAsia"/>
          <w:color w:val="000000"/>
          <w:kern w:val="0"/>
        </w:rPr>
        <w:t>的企业发生事故，应要求企业在第一时间向污水处理</w:t>
      </w:r>
      <w:r>
        <w:rPr>
          <w:rFonts w:hint="eastAsia"/>
          <w:color w:val="000000"/>
          <w:kern w:val="0"/>
          <w:lang w:eastAsia="zh-CN"/>
        </w:rPr>
        <w:t>站</w:t>
      </w:r>
      <w:r>
        <w:rPr>
          <w:rFonts w:hint="eastAsia"/>
          <w:color w:val="000000"/>
          <w:kern w:val="0"/>
        </w:rPr>
        <w:t>报告事故的类型，估计事故源强。</w:t>
      </w:r>
    </w:p>
    <w:p>
      <w:pPr>
        <w:ind w:firstLine="480"/>
        <w:rPr>
          <w:color w:val="000000"/>
          <w:kern w:val="0"/>
        </w:rPr>
      </w:pPr>
      <w:r>
        <w:rPr>
          <w:rFonts w:hint="eastAsia"/>
          <w:color w:val="000000"/>
          <w:kern w:val="0"/>
        </w:rPr>
        <w:t>⑤制定严格的奖惩制度，对超标排放污水的企业进行严格超处理，并限期整改。</w:t>
      </w:r>
    </w:p>
    <w:p>
      <w:pPr>
        <w:pStyle w:val="81"/>
        <w:rPr>
          <w:color w:val="000000"/>
        </w:rPr>
      </w:pPr>
      <w:r>
        <w:rPr>
          <w:color w:val="000000"/>
        </w:rPr>
        <w:t>5</w:t>
      </w:r>
      <w:r>
        <w:rPr>
          <w:rFonts w:hint="eastAsia"/>
          <w:color w:val="000000"/>
        </w:rPr>
        <w:t>.2</w:t>
      </w:r>
      <w:r>
        <w:rPr>
          <w:color w:val="000000"/>
        </w:rPr>
        <w:t>.1.3</w:t>
      </w:r>
      <w:r>
        <w:rPr>
          <w:rFonts w:hint="eastAsia"/>
          <w:color w:val="000000"/>
        </w:rPr>
        <w:t>厂内运行管理</w:t>
      </w:r>
    </w:p>
    <w:p>
      <w:pPr>
        <w:ind w:firstLine="480"/>
        <w:rPr>
          <w:color w:val="000000"/>
          <w:kern w:val="0"/>
        </w:rPr>
      </w:pPr>
      <w:r>
        <w:rPr>
          <w:rFonts w:hint="eastAsia"/>
          <w:color w:val="000000"/>
          <w:kern w:val="0"/>
        </w:rPr>
        <w:t>在保证污水处理</w:t>
      </w:r>
      <w:r>
        <w:rPr>
          <w:rFonts w:hint="eastAsia"/>
          <w:color w:val="000000"/>
          <w:kern w:val="0"/>
          <w:lang w:eastAsia="zh-CN"/>
        </w:rPr>
        <w:t>站</w:t>
      </w:r>
      <w:r>
        <w:rPr>
          <w:rFonts w:hint="eastAsia"/>
          <w:color w:val="000000"/>
          <w:kern w:val="0"/>
        </w:rPr>
        <w:t>出水水质稳定达标排放，高效运转，减小运行经费，提高能源利用率，应加强对污水处理</w:t>
      </w:r>
      <w:r>
        <w:rPr>
          <w:rFonts w:hint="eastAsia"/>
          <w:color w:val="000000"/>
          <w:kern w:val="0"/>
          <w:lang w:eastAsia="zh-CN"/>
        </w:rPr>
        <w:t>站</w:t>
      </w:r>
      <w:r>
        <w:rPr>
          <w:rFonts w:hint="eastAsia"/>
          <w:color w:val="000000"/>
          <w:kern w:val="0"/>
        </w:rPr>
        <w:t>内部的运行管理。</w:t>
      </w:r>
    </w:p>
    <w:p>
      <w:pPr>
        <w:ind w:firstLine="480"/>
        <w:rPr>
          <w:color w:val="000000"/>
          <w:kern w:val="0"/>
        </w:rPr>
      </w:pPr>
      <w:r>
        <w:rPr>
          <w:rFonts w:hint="eastAsia"/>
          <w:color w:val="000000"/>
          <w:kern w:val="0"/>
        </w:rPr>
        <w:t>①专业培训</w:t>
      </w:r>
    </w:p>
    <w:p>
      <w:pPr>
        <w:ind w:firstLine="480"/>
        <w:rPr>
          <w:color w:val="000000"/>
          <w:kern w:val="0"/>
        </w:rPr>
      </w:pPr>
      <w:r>
        <w:rPr>
          <w:rFonts w:hint="eastAsia"/>
          <w:color w:val="000000"/>
          <w:kern w:val="0"/>
        </w:rPr>
        <w:t>污水处理</w:t>
      </w:r>
      <w:r>
        <w:rPr>
          <w:rFonts w:hint="eastAsia"/>
          <w:color w:val="000000"/>
          <w:kern w:val="0"/>
          <w:lang w:eastAsia="zh-CN"/>
        </w:rPr>
        <w:t>站</w:t>
      </w:r>
      <w:r>
        <w:rPr>
          <w:rFonts w:hint="eastAsia"/>
          <w:color w:val="000000"/>
          <w:kern w:val="0"/>
        </w:rPr>
        <w:t>投入运行前，对操作人员的专业化培训和考核是重要的一环，应作为污水处理</w:t>
      </w:r>
      <w:r>
        <w:rPr>
          <w:rFonts w:hint="eastAsia"/>
          <w:color w:val="000000"/>
          <w:kern w:val="0"/>
          <w:lang w:eastAsia="zh-CN"/>
        </w:rPr>
        <w:t>站</w:t>
      </w:r>
      <w:r>
        <w:rPr>
          <w:rFonts w:hint="eastAsia"/>
          <w:color w:val="000000"/>
          <w:kern w:val="0"/>
        </w:rPr>
        <w:t>运行准备工作的必要条件，特别是对主要操作人员进行理论和实际的操作的培训。</w:t>
      </w:r>
    </w:p>
    <w:p>
      <w:pPr>
        <w:ind w:firstLine="480"/>
        <w:rPr>
          <w:color w:val="000000"/>
          <w:kern w:val="0"/>
        </w:rPr>
      </w:pPr>
      <w:r>
        <w:rPr>
          <w:rFonts w:hint="eastAsia"/>
          <w:color w:val="000000"/>
          <w:kern w:val="0"/>
        </w:rPr>
        <w:t>②加强常规化验分析</w:t>
      </w:r>
    </w:p>
    <w:p>
      <w:pPr>
        <w:ind w:firstLine="480"/>
        <w:rPr>
          <w:color w:val="000000"/>
          <w:kern w:val="0"/>
        </w:rPr>
      </w:pPr>
      <w:r>
        <w:rPr>
          <w:rFonts w:hint="eastAsia"/>
          <w:color w:val="000000"/>
          <w:kern w:val="0"/>
        </w:rPr>
        <w:t>常规化验分析是污水处理</w:t>
      </w:r>
      <w:r>
        <w:rPr>
          <w:rFonts w:hint="eastAsia"/>
          <w:color w:val="000000"/>
          <w:kern w:val="0"/>
          <w:lang w:eastAsia="zh-CN"/>
        </w:rPr>
        <w:t>站内</w:t>
      </w:r>
      <w:r>
        <w:rPr>
          <w:rFonts w:hint="eastAsia"/>
          <w:color w:val="000000"/>
          <w:kern w:val="0"/>
        </w:rPr>
        <w:t>重要的组成成分之一。污水处理的操作人员，必须依据水质变化，及时改变运行状态，实现最佳运行条件，在确保污水达标排放前提下减小运转费用。</w:t>
      </w:r>
    </w:p>
    <w:p>
      <w:pPr>
        <w:ind w:firstLine="480"/>
        <w:rPr>
          <w:color w:val="000000"/>
          <w:kern w:val="0"/>
        </w:rPr>
      </w:pPr>
      <w:r>
        <w:rPr>
          <w:rFonts w:hint="eastAsia"/>
          <w:color w:val="000000"/>
          <w:kern w:val="0"/>
        </w:rPr>
        <w:t>③建立先进的自动控制系统</w:t>
      </w:r>
    </w:p>
    <w:p>
      <w:pPr>
        <w:ind w:firstLine="480"/>
        <w:rPr>
          <w:rFonts w:hint="eastAsia"/>
          <w:color w:val="000000"/>
          <w:kern w:val="0"/>
        </w:rPr>
      </w:pPr>
      <w:r>
        <w:rPr>
          <w:rFonts w:hint="eastAsia"/>
          <w:color w:val="000000"/>
          <w:kern w:val="0"/>
        </w:rPr>
        <w:t>先进的自动控制系统是实现污水处理</w:t>
      </w:r>
      <w:r>
        <w:rPr>
          <w:rFonts w:hint="eastAsia"/>
          <w:color w:val="000000"/>
          <w:kern w:val="0"/>
          <w:lang w:eastAsia="zh-CN"/>
        </w:rPr>
        <w:t>站</w:t>
      </w:r>
      <w:r>
        <w:rPr>
          <w:rFonts w:hint="eastAsia"/>
          <w:color w:val="000000"/>
          <w:kern w:val="0"/>
        </w:rPr>
        <w:t>现代化管理的重要标志，也是提高操作水平，及时发现事故隐患的重要手段。但同时应加强自动化仪器仪表的维护管理。</w:t>
      </w:r>
    </w:p>
    <w:p>
      <w:pPr>
        <w:ind w:firstLine="480"/>
        <w:rPr>
          <w:rFonts w:hint="eastAsia"/>
          <w:color w:val="000000"/>
          <w:kern w:val="0"/>
        </w:rPr>
      </w:pPr>
      <w:r>
        <w:rPr>
          <w:rFonts w:hint="eastAsia"/>
          <w:color w:val="000000"/>
          <w:kern w:val="0"/>
        </w:rPr>
        <w:t>④建立一个完整的管理机构和制定一套完善的管理制度</w:t>
      </w:r>
    </w:p>
    <w:p>
      <w:pPr>
        <w:ind w:firstLine="480"/>
        <w:rPr>
          <w:rFonts w:hint="eastAsia"/>
          <w:color w:val="000000"/>
          <w:kern w:val="0"/>
        </w:rPr>
      </w:pPr>
      <w:r>
        <w:rPr>
          <w:rFonts w:hint="eastAsia"/>
          <w:color w:val="000000"/>
          <w:kern w:val="0"/>
        </w:rPr>
        <w:t>污水处理</w:t>
      </w:r>
      <w:r>
        <w:rPr>
          <w:rFonts w:hint="eastAsia"/>
          <w:color w:val="000000"/>
          <w:kern w:val="0"/>
          <w:lang w:eastAsia="zh-CN"/>
        </w:rPr>
        <w:t>站</w:t>
      </w:r>
      <w:r>
        <w:rPr>
          <w:rFonts w:hint="eastAsia"/>
          <w:color w:val="000000"/>
          <w:kern w:val="0"/>
        </w:rPr>
        <w:t>应建立一套以厂长负责制为主要内容的责权利清晰的管理体系。</w:t>
      </w:r>
    </w:p>
    <w:p>
      <w:pPr>
        <w:pStyle w:val="81"/>
        <w:rPr>
          <w:color w:val="000000"/>
        </w:rPr>
      </w:pPr>
      <w:r>
        <w:rPr>
          <w:color w:val="000000"/>
        </w:rPr>
        <w:t>5</w:t>
      </w:r>
      <w:r>
        <w:rPr>
          <w:rFonts w:hint="eastAsia"/>
          <w:color w:val="000000"/>
        </w:rPr>
        <w:t>.2</w:t>
      </w:r>
      <w:r>
        <w:rPr>
          <w:color w:val="000000"/>
        </w:rPr>
        <w:t>.1.</w:t>
      </w:r>
      <w:r>
        <w:rPr>
          <w:rFonts w:hint="eastAsia"/>
          <w:color w:val="000000"/>
          <w:lang w:val="en-US" w:eastAsia="zh-CN"/>
        </w:rPr>
        <w:t>4</w:t>
      </w:r>
      <w:r>
        <w:rPr>
          <w:rFonts w:hint="eastAsia"/>
          <w:color w:val="000000"/>
        </w:rPr>
        <w:t>出水稳定达标的可行性</w:t>
      </w:r>
    </w:p>
    <w:p>
      <w:pPr>
        <w:pStyle w:val="118"/>
        <w:spacing w:line="480" w:lineRule="exact"/>
        <w:rPr>
          <w:rFonts w:cs="Times New Roman"/>
          <w:color w:val="000000"/>
          <w:szCs w:val="24"/>
          <w:highlight w:val="yellow"/>
        </w:rPr>
      </w:pPr>
      <w:r>
        <w:rPr>
          <w:rFonts w:hint="eastAsia" w:cs="Times New Roman"/>
          <w:color w:val="000000"/>
          <w:szCs w:val="24"/>
        </w:rPr>
        <w:t>根据《排污许可证申请与核发技术规范水处理（试行）》（</w:t>
      </w:r>
      <w:r>
        <w:rPr>
          <w:rFonts w:cs="Times New Roman"/>
          <w:color w:val="000000"/>
          <w:szCs w:val="24"/>
        </w:rPr>
        <w:t>HJ 978-2018</w:t>
      </w:r>
      <w:r>
        <w:rPr>
          <w:rFonts w:hint="eastAsia" w:cs="Times New Roman"/>
          <w:color w:val="000000"/>
          <w:szCs w:val="24"/>
        </w:rPr>
        <w:t>），处理单一行业废水的工业污水集中处理厂，按相应行业的排污许可证申请与核发技术规范执行，其他水处理排污单位污水处理可行技术参照下表。</w:t>
      </w:r>
    </w:p>
    <w:p>
      <w:pPr>
        <w:pStyle w:val="98"/>
        <w:rPr>
          <w:color w:val="000000"/>
        </w:rPr>
      </w:pPr>
      <w:r>
        <w:rPr>
          <w:rFonts w:hint="eastAsia"/>
          <w:color w:val="000000"/>
        </w:rPr>
        <w:t>表</w:t>
      </w:r>
      <w:r>
        <w:rPr>
          <w:color w:val="000000"/>
        </w:rPr>
        <w:t>5.2-</w:t>
      </w:r>
      <w:r>
        <w:rPr>
          <w:rFonts w:hint="eastAsia"/>
          <w:color w:val="000000"/>
          <w:lang w:val="en-US" w:eastAsia="zh-CN"/>
        </w:rPr>
        <w:t>5</w:t>
      </w:r>
      <w:r>
        <w:rPr>
          <w:color w:val="000000"/>
        </w:rPr>
        <w:t xml:space="preserve"> </w:t>
      </w:r>
      <w:r>
        <w:rPr>
          <w:rFonts w:hint="eastAsia"/>
          <w:color w:val="000000"/>
        </w:rPr>
        <w:t>污水处理可行技术参照表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575"/>
        <w:gridCol w:w="5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263" w:type="dxa"/>
            <w:tcBorders>
              <w:top w:val="single" w:color="auto" w:sz="4" w:space="0"/>
              <w:left w:val="single" w:color="auto" w:sz="4" w:space="0"/>
              <w:bottom w:val="single" w:color="auto" w:sz="4" w:space="0"/>
              <w:right w:val="single" w:color="auto" w:sz="4" w:space="0"/>
            </w:tcBorders>
            <w:noWrap w:val="0"/>
            <w:vAlign w:val="center"/>
          </w:tcPr>
          <w:p>
            <w:pPr>
              <w:pStyle w:val="118"/>
              <w:spacing w:line="300" w:lineRule="exact"/>
              <w:ind w:firstLine="0" w:firstLineChars="0"/>
              <w:jc w:val="center"/>
              <w:rPr>
                <w:rFonts w:cs="Times New Roman"/>
                <w:b/>
                <w:bCs/>
                <w:color w:val="000000"/>
                <w:sz w:val="21"/>
                <w:szCs w:val="21"/>
              </w:rPr>
            </w:pPr>
            <w:r>
              <w:rPr>
                <w:rFonts w:hint="eastAsia" w:cs="Times New Roman"/>
                <w:b/>
                <w:bCs/>
                <w:color w:val="000000"/>
                <w:sz w:val="21"/>
                <w:szCs w:val="21"/>
              </w:rPr>
              <w:t>废水类别</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pStyle w:val="118"/>
              <w:spacing w:line="300" w:lineRule="exact"/>
              <w:ind w:firstLine="0" w:firstLineChars="0"/>
              <w:jc w:val="center"/>
              <w:rPr>
                <w:rFonts w:cs="Times New Roman"/>
                <w:b/>
                <w:bCs/>
                <w:color w:val="000000"/>
                <w:sz w:val="21"/>
                <w:szCs w:val="21"/>
              </w:rPr>
            </w:pPr>
            <w:r>
              <w:rPr>
                <w:rFonts w:hint="eastAsia" w:cs="Times New Roman"/>
                <w:b/>
                <w:bCs/>
                <w:color w:val="000000"/>
                <w:sz w:val="21"/>
                <w:szCs w:val="21"/>
              </w:rPr>
              <w:t>执行标准</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pStyle w:val="118"/>
              <w:spacing w:line="300" w:lineRule="exact"/>
              <w:ind w:firstLine="0" w:firstLineChars="0"/>
              <w:jc w:val="center"/>
              <w:rPr>
                <w:rFonts w:cs="Times New Roman"/>
                <w:b/>
                <w:bCs/>
                <w:color w:val="000000"/>
                <w:sz w:val="21"/>
                <w:szCs w:val="21"/>
              </w:rPr>
            </w:pPr>
            <w:r>
              <w:rPr>
                <w:rFonts w:hint="eastAsia" w:cs="Times New Roman"/>
                <w:b/>
                <w:bCs/>
                <w:color w:val="000000"/>
                <w:sz w:val="21"/>
                <w:szCs w:val="21"/>
              </w:rPr>
              <w:t>可行技术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tcBorders>
              <w:top w:val="single" w:color="auto" w:sz="4" w:space="0"/>
              <w:left w:val="single" w:color="auto" w:sz="4" w:space="0"/>
              <w:bottom w:val="single" w:color="auto" w:sz="4" w:space="0"/>
              <w:right w:val="single" w:color="auto" w:sz="4" w:space="0"/>
            </w:tcBorders>
            <w:noWrap w:val="0"/>
            <w:vAlign w:val="center"/>
          </w:tcPr>
          <w:p>
            <w:pPr>
              <w:pStyle w:val="118"/>
              <w:spacing w:line="300" w:lineRule="exact"/>
              <w:ind w:firstLine="0" w:firstLineChars="0"/>
              <w:jc w:val="center"/>
              <w:rPr>
                <w:rFonts w:cs="Times New Roman"/>
                <w:b/>
                <w:color w:val="000000"/>
                <w:sz w:val="21"/>
                <w:szCs w:val="21"/>
              </w:rPr>
            </w:pPr>
            <w:r>
              <w:rPr>
                <w:rFonts w:hint="eastAsia" w:cs="Times New Roman"/>
                <w:b/>
                <w:color w:val="000000"/>
                <w:sz w:val="21"/>
                <w:szCs w:val="21"/>
              </w:rPr>
              <w:t>生活污水</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pStyle w:val="118"/>
              <w:spacing w:line="300" w:lineRule="exact"/>
              <w:ind w:firstLine="0" w:firstLineChars="0"/>
              <w:rPr>
                <w:rFonts w:cs="Times New Roman"/>
                <w:b/>
                <w:color w:val="000000"/>
                <w:sz w:val="21"/>
                <w:szCs w:val="21"/>
              </w:rPr>
            </w:pPr>
            <w:r>
              <w:rPr>
                <w:rFonts w:hint="eastAsia" w:cs="Times New Roman"/>
                <w:color w:val="000000"/>
                <w:sz w:val="21"/>
                <w:szCs w:val="21"/>
              </w:rPr>
              <w:t>执行</w:t>
            </w:r>
            <w:r>
              <w:rPr>
                <w:rFonts w:cs="Times New Roman"/>
                <w:color w:val="000000"/>
                <w:sz w:val="21"/>
                <w:szCs w:val="21"/>
              </w:rPr>
              <w:t xml:space="preserve"> GB18918 </w:t>
            </w:r>
            <w:r>
              <w:rPr>
                <w:rFonts w:hint="eastAsia" w:cs="Times New Roman"/>
                <w:color w:val="000000"/>
                <w:sz w:val="21"/>
                <w:szCs w:val="21"/>
              </w:rPr>
              <w:t>中一级标准的</w:t>
            </w:r>
            <w:r>
              <w:rPr>
                <w:rFonts w:cs="Times New Roman"/>
                <w:color w:val="000000"/>
                <w:sz w:val="21"/>
                <w:szCs w:val="21"/>
              </w:rPr>
              <w:t xml:space="preserve"> A </w:t>
            </w:r>
            <w:r>
              <w:rPr>
                <w:rFonts w:hint="eastAsia" w:cs="Times New Roman"/>
                <w:color w:val="000000"/>
                <w:sz w:val="21"/>
                <w:szCs w:val="21"/>
              </w:rPr>
              <w:t>标准或更严格标准</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pStyle w:val="118"/>
              <w:spacing w:line="300" w:lineRule="exact"/>
              <w:ind w:firstLine="0" w:firstLineChars="0"/>
              <w:rPr>
                <w:rFonts w:cs="Times New Roman"/>
                <w:b/>
                <w:color w:val="000000"/>
                <w:sz w:val="21"/>
                <w:szCs w:val="21"/>
              </w:rPr>
            </w:pPr>
            <w:r>
              <w:rPr>
                <w:rFonts w:hint="eastAsia" w:cs="Times New Roman"/>
                <w:color w:val="000000"/>
                <w:sz w:val="21"/>
                <w:szCs w:val="21"/>
              </w:rPr>
              <w:t>预处理：格栅、沉淀（沉砂、初沉）、调节；生化处理：缺氧好氧、厌氧缺氧好氧、序批式活性污泥、接触氧化、氧化沟、移动生物床反应器、膜生物反应器；深度处理：混凝沉淀、过滤、曝气生物滤池、微滤、超滤、消毒（氯气、次氯酸钠、臭氧、紫外、二氧化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tcBorders>
              <w:top w:val="single" w:color="auto" w:sz="4" w:space="0"/>
              <w:left w:val="single" w:color="auto" w:sz="4" w:space="0"/>
              <w:bottom w:val="single" w:color="auto" w:sz="4" w:space="0"/>
              <w:right w:val="single" w:color="auto" w:sz="4" w:space="0"/>
            </w:tcBorders>
            <w:noWrap w:val="0"/>
            <w:vAlign w:val="center"/>
          </w:tcPr>
          <w:p>
            <w:pPr>
              <w:pStyle w:val="118"/>
              <w:spacing w:line="300" w:lineRule="exact"/>
              <w:ind w:firstLine="0" w:firstLineChars="0"/>
              <w:jc w:val="center"/>
              <w:rPr>
                <w:rFonts w:cs="Times New Roman"/>
                <w:b/>
                <w:color w:val="000000"/>
                <w:sz w:val="21"/>
                <w:szCs w:val="21"/>
              </w:rPr>
            </w:pPr>
            <w:r>
              <w:rPr>
                <w:rFonts w:hint="eastAsia" w:cs="Times New Roman"/>
                <w:b/>
                <w:color w:val="000000"/>
                <w:sz w:val="21"/>
                <w:szCs w:val="21"/>
              </w:rPr>
              <w:t>工业废水</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pStyle w:val="118"/>
              <w:spacing w:line="300" w:lineRule="exact"/>
              <w:ind w:firstLine="0" w:firstLineChars="0"/>
              <w:jc w:val="center"/>
              <w:rPr>
                <w:rFonts w:cs="Times New Roman"/>
                <w:b/>
                <w:color w:val="000000"/>
                <w:sz w:val="21"/>
                <w:szCs w:val="21"/>
              </w:rPr>
            </w:pPr>
            <w:r>
              <w:rPr>
                <w:rFonts w:cs="Times New Roman"/>
                <w:b/>
                <w:color w:val="000000"/>
                <w:sz w:val="21"/>
                <w:szCs w:val="21"/>
              </w:rPr>
              <w:t>—</w:t>
            </w:r>
          </w:p>
        </w:tc>
        <w:tc>
          <w:tcPr>
            <w:tcW w:w="5460" w:type="dxa"/>
            <w:tcBorders>
              <w:top w:val="single" w:color="auto" w:sz="4" w:space="0"/>
              <w:left w:val="single" w:color="auto" w:sz="4" w:space="0"/>
              <w:bottom w:val="single" w:color="auto" w:sz="4" w:space="0"/>
              <w:right w:val="single" w:color="auto" w:sz="4" w:space="0"/>
            </w:tcBorders>
            <w:noWrap w:val="0"/>
            <w:vAlign w:val="center"/>
          </w:tcPr>
          <w:p>
            <w:pPr>
              <w:pStyle w:val="118"/>
              <w:spacing w:line="300" w:lineRule="exact"/>
              <w:ind w:firstLine="0" w:firstLineChars="0"/>
              <w:rPr>
                <w:rFonts w:cs="Times New Roman"/>
                <w:color w:val="000000"/>
                <w:sz w:val="21"/>
                <w:szCs w:val="21"/>
              </w:rPr>
            </w:pPr>
            <w:r>
              <w:rPr>
                <w:rFonts w:hint="eastAsia" w:cs="Times New Roman"/>
                <w:color w:val="000000"/>
                <w:sz w:val="21"/>
                <w:szCs w:val="21"/>
              </w:rPr>
              <w:t>预处理：沉淀、调节、气浮、水解酸化；</w:t>
            </w:r>
          </w:p>
          <w:p>
            <w:pPr>
              <w:pStyle w:val="118"/>
              <w:spacing w:line="300" w:lineRule="exact"/>
              <w:ind w:firstLine="0" w:firstLineChars="0"/>
              <w:rPr>
                <w:rFonts w:cs="Times New Roman"/>
                <w:color w:val="000000"/>
                <w:sz w:val="21"/>
                <w:szCs w:val="21"/>
              </w:rPr>
            </w:pPr>
            <w:r>
              <w:rPr>
                <w:rFonts w:hint="eastAsia" w:cs="Times New Roman"/>
                <w:color w:val="000000"/>
                <w:sz w:val="21"/>
                <w:szCs w:val="21"/>
              </w:rPr>
              <w:t>生化处理：好氧、缺氧好氧、厌氧缺氧好氧、序批式活性污泥、氧化沟、移动生物床反应器、膜生物反应器；</w:t>
            </w:r>
          </w:p>
          <w:p>
            <w:pPr>
              <w:pStyle w:val="118"/>
              <w:spacing w:line="300" w:lineRule="exact"/>
              <w:ind w:firstLine="0" w:firstLineChars="0"/>
              <w:rPr>
                <w:rFonts w:cs="Times New Roman"/>
                <w:color w:val="000000"/>
                <w:sz w:val="21"/>
                <w:szCs w:val="21"/>
              </w:rPr>
            </w:pPr>
            <w:r>
              <w:rPr>
                <w:rFonts w:hint="eastAsia" w:cs="Times New Roman"/>
                <w:color w:val="000000"/>
                <w:sz w:val="21"/>
                <w:szCs w:val="21"/>
              </w:rPr>
              <w:t>深度处理：反硝化滤池、化学沉淀、过滤、高级氧化、曝气生物滤池、生物接触氧化、膜分离、离子交换。</w:t>
            </w:r>
          </w:p>
          <w:p>
            <w:pPr>
              <w:pStyle w:val="118"/>
              <w:spacing w:line="300" w:lineRule="exact"/>
              <w:ind w:firstLine="0" w:firstLineChars="0"/>
              <w:rPr>
                <w:rFonts w:cs="Times New Roman"/>
                <w:b/>
                <w:color w:val="000000"/>
                <w:sz w:val="21"/>
                <w:szCs w:val="21"/>
              </w:rPr>
            </w:pPr>
            <w:r>
              <w:rPr>
                <w:rFonts w:hint="eastAsia" w:cs="Times New Roman"/>
                <w:color w:val="000000"/>
                <w:sz w:val="21"/>
                <w:szCs w:val="21"/>
              </w:rPr>
              <w:t>工业废水间接排放时可以只有预处理段</w:t>
            </w:r>
          </w:p>
        </w:tc>
      </w:tr>
    </w:tbl>
    <w:p>
      <w:pPr>
        <w:ind w:firstLine="480"/>
        <w:rPr>
          <w:rFonts w:hint="eastAsia"/>
          <w:color w:val="000000"/>
          <w:kern w:val="0"/>
        </w:rPr>
      </w:pPr>
      <w:r>
        <w:rPr>
          <w:color w:val="000000"/>
          <w:kern w:val="0"/>
        </w:rPr>
        <w:t>综上分析，本项目采取的上述措施均为污水处理厂常见的污染防控措施，可有效防控对区域地表水和地下水的污染，措施可行。</w:t>
      </w:r>
    </w:p>
    <w:p>
      <w:pPr>
        <w:pStyle w:val="8"/>
        <w:spacing w:before="163"/>
        <w:rPr>
          <w:rFonts w:hint="eastAsia"/>
          <w:color w:val="000000"/>
        </w:rPr>
      </w:pPr>
      <w:r>
        <w:rPr>
          <w:color w:val="000000"/>
        </w:rPr>
        <w:t>5</w:t>
      </w:r>
      <w:r>
        <w:rPr>
          <w:rFonts w:hint="eastAsia"/>
          <w:color w:val="000000"/>
        </w:rPr>
        <w:t>.2</w:t>
      </w:r>
      <w:r>
        <w:rPr>
          <w:color w:val="000000"/>
        </w:rPr>
        <w:t>.2</w:t>
      </w:r>
      <w:r>
        <w:rPr>
          <w:rFonts w:hint="eastAsia"/>
          <w:color w:val="000000"/>
        </w:rPr>
        <w:t>地下水</w:t>
      </w:r>
      <w:r>
        <w:rPr>
          <w:rFonts w:hint="eastAsia"/>
          <w:color w:val="000000"/>
          <w:lang w:eastAsia="zh-CN"/>
        </w:rPr>
        <w:t>和土壤</w:t>
      </w:r>
      <w:r>
        <w:rPr>
          <w:rFonts w:hint="eastAsia"/>
          <w:color w:val="000000"/>
        </w:rPr>
        <w:t>防治措施</w:t>
      </w:r>
    </w:p>
    <w:p>
      <w:pPr>
        <w:ind w:firstLine="480"/>
        <w:rPr>
          <w:rFonts w:hint="eastAsia"/>
          <w:color w:val="000000"/>
          <w:kern w:val="0"/>
        </w:rPr>
      </w:pPr>
      <w:r>
        <w:rPr>
          <w:rFonts w:hint="eastAsia"/>
          <w:color w:val="000000"/>
          <w:kern w:val="0"/>
        </w:rPr>
        <w:t>针对厂区生产过程中废水输送和处理过程，通过采取合理有效的工程措施可防止污染物对地下水</w:t>
      </w:r>
      <w:r>
        <w:rPr>
          <w:rFonts w:hint="eastAsia"/>
          <w:color w:val="000000"/>
          <w:kern w:val="0"/>
          <w:lang w:eastAsia="zh-CN"/>
        </w:rPr>
        <w:t>和土壤</w:t>
      </w:r>
      <w:r>
        <w:rPr>
          <w:rFonts w:hint="eastAsia"/>
          <w:color w:val="000000"/>
          <w:kern w:val="0"/>
        </w:rPr>
        <w:t>的污染。本项目可能对下水</w:t>
      </w:r>
      <w:r>
        <w:rPr>
          <w:rFonts w:hint="eastAsia"/>
          <w:color w:val="000000"/>
          <w:kern w:val="0"/>
          <w:lang w:eastAsia="zh-CN"/>
        </w:rPr>
        <w:t>和土壤</w:t>
      </w:r>
      <w:r>
        <w:rPr>
          <w:rFonts w:hint="eastAsia"/>
          <w:color w:val="000000"/>
          <w:kern w:val="0"/>
        </w:rPr>
        <w:t>造成污染的途径主要有污水处理池和污水管道等污水下渗对地下水造成的污染。</w:t>
      </w:r>
    </w:p>
    <w:p>
      <w:pPr>
        <w:ind w:firstLine="480"/>
        <w:rPr>
          <w:color w:val="000000"/>
          <w:kern w:val="0"/>
        </w:rPr>
      </w:pPr>
      <w:r>
        <w:rPr>
          <w:rFonts w:hint="eastAsia"/>
          <w:color w:val="000000"/>
          <w:kern w:val="0"/>
        </w:rPr>
        <w:t>正常情况下，地下水的污染主要是由于污染物迁移穿过包气带进入含水层造成。若废水发生渗漏，首先污染所在土壤，同时污染物会较快穿过包气带进入浅层地下水，对浅层地下水造成污染。由于地下水一旦受污染其发现和治理难度都非常难，为了更好的保护地下水资源，将本项目对地下水的影响降至最低限度，建议采取以下的污染防治措施。</w:t>
      </w:r>
    </w:p>
    <w:p>
      <w:pPr>
        <w:ind w:firstLine="480"/>
        <w:rPr>
          <w:color w:val="000000"/>
          <w:kern w:val="0"/>
        </w:rPr>
      </w:pPr>
      <w:r>
        <w:rPr>
          <w:color w:val="000000"/>
          <w:kern w:val="0"/>
        </w:rPr>
        <w:t>针对项目可能发生的地下水污染，本项目地下水污染防治措施按照</w:t>
      </w:r>
      <w:r>
        <w:rPr>
          <w:rFonts w:hint="eastAsia"/>
          <w:color w:val="000000"/>
          <w:kern w:val="0"/>
        </w:rPr>
        <w:t>“</w:t>
      </w:r>
      <w:r>
        <w:rPr>
          <w:color w:val="000000"/>
          <w:kern w:val="0"/>
        </w:rPr>
        <w:t>源头控制、分区防治、污染监控、应急响应</w:t>
      </w:r>
      <w:r>
        <w:rPr>
          <w:rFonts w:hint="eastAsia"/>
          <w:color w:val="000000"/>
          <w:kern w:val="0"/>
        </w:rPr>
        <w:t>”</w:t>
      </w:r>
      <w:r>
        <w:rPr>
          <w:color w:val="000000"/>
          <w:kern w:val="0"/>
        </w:rPr>
        <w:t>相结合的原则，从污染物的生产、入渗、扩散、应急响应全方位进行控制。</w:t>
      </w:r>
    </w:p>
    <w:p>
      <w:pPr>
        <w:pStyle w:val="6"/>
        <w:rPr>
          <w:rFonts w:hint="eastAsia"/>
        </w:rPr>
      </w:pPr>
      <w:r>
        <w:rPr>
          <w:rFonts w:hint="eastAsia"/>
        </w:rPr>
        <w:t>根据《地下工程防水技术规范》（GB50108-2001）的要求，地下水污染防治措施按照“源头控制、末端治理、污染监控、应急响应”相结合的原则，从污染物的产生、入渗、扩散、应急响应全阶段进行控制。</w:t>
      </w:r>
    </w:p>
    <w:p>
      <w:pPr>
        <w:pStyle w:val="6"/>
        <w:rPr>
          <w:rFonts w:hint="eastAsia"/>
        </w:rPr>
      </w:pPr>
      <w:r>
        <w:rPr>
          <w:rFonts w:hint="eastAsia"/>
        </w:rPr>
        <w:t>（1）源头控制措施</w:t>
      </w:r>
    </w:p>
    <w:p>
      <w:pPr>
        <w:pStyle w:val="6"/>
        <w:rPr>
          <w:rFonts w:hint="eastAsia"/>
        </w:rPr>
      </w:pPr>
      <w:r>
        <w:rPr>
          <w:rFonts w:hint="eastAsia"/>
        </w:rPr>
        <w:t>根据建设单位提供的相关资料可知，本项目在管道、设备、污水储存及处理构筑物均已采取相应防渗措施，防止和降低污染物跑、冒、滴、漏，将污染物泄露的环境风险事故降到最低程度。</w:t>
      </w:r>
    </w:p>
    <w:p>
      <w:pPr>
        <w:pStyle w:val="6"/>
        <w:rPr>
          <w:rFonts w:hint="eastAsia"/>
        </w:rPr>
      </w:pPr>
      <w:r>
        <w:rPr>
          <w:rFonts w:hint="eastAsia"/>
        </w:rPr>
        <w:t>（2）末端控制措施</w:t>
      </w:r>
    </w:p>
    <w:p>
      <w:pPr>
        <w:pStyle w:val="6"/>
        <w:rPr>
          <w:rFonts w:hint="eastAsia"/>
        </w:rPr>
      </w:pPr>
      <w:r>
        <w:rPr>
          <w:rFonts w:hint="eastAsia"/>
        </w:rPr>
        <w:t>主要包括防渗措施和泄露、渗漏污染物收集措施，即在污染区地面进行防渗处理，防止洒落地面的污染物渗入地下，并把滞留在地面的污染物收集起来，集中送至污水处理站处理；末端控制采取分区防渗，重点污染防治区、一般污染防治区和非污染防治区防渗措施有区别的防渗原则。</w:t>
      </w:r>
    </w:p>
    <w:p>
      <w:pPr>
        <w:pStyle w:val="6"/>
        <w:rPr>
          <w:rFonts w:hint="eastAsia"/>
        </w:rPr>
      </w:pPr>
      <w:r>
        <w:rPr>
          <w:rFonts w:hint="eastAsia"/>
        </w:rPr>
        <w:t>（3）污染监控体系</w:t>
      </w:r>
    </w:p>
    <w:p>
      <w:pPr>
        <w:pStyle w:val="6"/>
        <w:rPr>
          <w:rFonts w:hint="eastAsia"/>
        </w:rPr>
      </w:pPr>
      <w:r>
        <w:rPr>
          <w:rFonts w:hint="eastAsia"/>
        </w:rPr>
        <w:t>本次环评建议实施覆盖生产区的地下水污染监控系统，包括尽力完善的监测制度、配备监测仪器和设备、科学、合理设置地下水污染监控井，及时发现污染、及时控制。</w:t>
      </w:r>
    </w:p>
    <w:p>
      <w:pPr>
        <w:pStyle w:val="6"/>
        <w:rPr>
          <w:rFonts w:hint="eastAsia"/>
        </w:rPr>
      </w:pPr>
      <w:r>
        <w:rPr>
          <w:rFonts w:hint="eastAsia"/>
        </w:rPr>
        <w:t>（4）应急响应措施</w:t>
      </w:r>
    </w:p>
    <w:p>
      <w:pPr>
        <w:pStyle w:val="6"/>
      </w:pPr>
      <w:r>
        <w:rPr>
          <w:rFonts w:hint="eastAsia"/>
        </w:rPr>
        <w:t>一旦发现地下水污染事故，立即启动应急预案、采取应急措施控制地下水污染，并使污染得到治理。</w:t>
      </w:r>
    </w:p>
    <w:p>
      <w:pPr>
        <w:pStyle w:val="81"/>
        <w:rPr>
          <w:color w:val="000000"/>
        </w:rPr>
      </w:pPr>
      <w:r>
        <w:rPr>
          <w:color w:val="000000"/>
        </w:rPr>
        <w:t>5</w:t>
      </w:r>
      <w:r>
        <w:rPr>
          <w:rFonts w:hint="eastAsia"/>
          <w:color w:val="000000"/>
        </w:rPr>
        <w:t>.2</w:t>
      </w:r>
      <w:r>
        <w:rPr>
          <w:color w:val="000000"/>
        </w:rPr>
        <w:t>.2</w:t>
      </w:r>
      <w:r>
        <w:rPr>
          <w:rFonts w:hint="eastAsia"/>
          <w:color w:val="000000"/>
        </w:rPr>
        <w:t>.1</w:t>
      </w:r>
      <w:r>
        <w:rPr>
          <w:color w:val="000000"/>
        </w:rPr>
        <w:t>污染源控制措施</w:t>
      </w:r>
    </w:p>
    <w:p>
      <w:pPr>
        <w:ind w:firstLine="480"/>
        <w:rPr>
          <w:color w:val="000000"/>
          <w:kern w:val="0"/>
        </w:rPr>
      </w:pPr>
      <w:r>
        <w:rPr>
          <w:color w:val="000000"/>
          <w:kern w:val="0"/>
        </w:rPr>
        <w:t>严格按照国家相关规范要求，对污水管道、污水储存及处理构筑物采取相应的防渗措施，以防止和降低污染物的跑、冒、滴、漏，将污染物泄漏的环境风险事故降低到最低程度；管线敷设尽量采用</w:t>
      </w:r>
      <w:r>
        <w:rPr>
          <w:rFonts w:hint="eastAsia"/>
          <w:color w:val="000000"/>
          <w:kern w:val="0"/>
        </w:rPr>
        <w:t>“</w:t>
      </w:r>
      <w:r>
        <w:rPr>
          <w:color w:val="000000"/>
          <w:kern w:val="0"/>
        </w:rPr>
        <w:t>可视化</w:t>
      </w:r>
      <w:r>
        <w:rPr>
          <w:rFonts w:hint="eastAsia"/>
          <w:color w:val="000000"/>
          <w:kern w:val="0"/>
        </w:rPr>
        <w:t>”</w:t>
      </w:r>
      <w:r>
        <w:rPr>
          <w:color w:val="000000"/>
          <w:kern w:val="0"/>
        </w:rPr>
        <w:t>原则，即管道尽可能地上敷设，做到污染物</w:t>
      </w:r>
      <w:r>
        <w:rPr>
          <w:rFonts w:hint="eastAsia"/>
          <w:color w:val="000000"/>
          <w:kern w:val="0"/>
        </w:rPr>
        <w:t>“</w:t>
      </w:r>
      <w:r>
        <w:rPr>
          <w:color w:val="000000"/>
          <w:kern w:val="0"/>
        </w:rPr>
        <w:t>早发现、早处理</w:t>
      </w:r>
      <w:r>
        <w:rPr>
          <w:rFonts w:hint="eastAsia"/>
          <w:color w:val="000000"/>
          <w:kern w:val="0"/>
        </w:rPr>
        <w:t>”，</w:t>
      </w:r>
      <w:r>
        <w:rPr>
          <w:color w:val="000000"/>
          <w:kern w:val="0"/>
        </w:rPr>
        <w:t>以减少由于埋地管道泄漏而可能造成的地下水污染。</w:t>
      </w:r>
    </w:p>
    <w:p>
      <w:pPr>
        <w:widowControl w:val="0"/>
        <w:ind w:firstLine="480"/>
        <w:jc w:val="both"/>
        <w:rPr>
          <w:color w:val="000000"/>
          <w:kern w:val="0"/>
        </w:rPr>
      </w:pPr>
      <w:r>
        <w:rPr>
          <w:rFonts w:hint="eastAsia"/>
          <w:color w:val="000000"/>
        </w:rPr>
        <w:t>为保护区域地下水安全，需要防渗的区域包括：</w:t>
      </w:r>
      <w:r>
        <w:rPr>
          <w:color w:val="000000"/>
          <w:kern w:val="0"/>
        </w:rPr>
        <w:t>污水池构筑物</w:t>
      </w:r>
      <w:r>
        <w:rPr>
          <w:rFonts w:hint="eastAsia"/>
          <w:color w:val="000000"/>
          <w:kern w:val="0"/>
        </w:rPr>
        <w:t>、管道、提升泵房、危废间</w:t>
      </w:r>
      <w:r>
        <w:rPr>
          <w:rFonts w:hint="eastAsia"/>
          <w:color w:val="000000"/>
        </w:rPr>
        <w:t xml:space="preserve">。根据《环境影响评价技术导则-地下水环境》（HJ610-2016），地下水污染防渗分区划分原则见下表 </w:t>
      </w:r>
      <w:r>
        <w:rPr>
          <w:color w:val="000000"/>
        </w:rPr>
        <w:t>5.2-</w:t>
      </w:r>
      <w:r>
        <w:rPr>
          <w:rFonts w:hint="eastAsia"/>
          <w:color w:val="000000"/>
          <w:lang w:val="en-US" w:eastAsia="zh-CN"/>
        </w:rPr>
        <w:t>5</w:t>
      </w:r>
      <w:r>
        <w:rPr>
          <w:rFonts w:hint="eastAsia"/>
          <w:color w:val="000000"/>
        </w:rPr>
        <w:t>、</w:t>
      </w:r>
      <w:r>
        <w:rPr>
          <w:color w:val="000000"/>
        </w:rPr>
        <w:t>5.2-</w:t>
      </w:r>
      <w:r>
        <w:rPr>
          <w:rFonts w:hint="eastAsia"/>
          <w:color w:val="000000"/>
          <w:lang w:val="en-US" w:eastAsia="zh-CN"/>
        </w:rPr>
        <w:t>6</w:t>
      </w:r>
      <w:r>
        <w:rPr>
          <w:rFonts w:hint="eastAsia"/>
          <w:color w:val="000000"/>
        </w:rPr>
        <w:t>、</w:t>
      </w:r>
      <w:r>
        <w:rPr>
          <w:color w:val="000000"/>
        </w:rPr>
        <w:t>5.2-</w:t>
      </w:r>
      <w:r>
        <w:rPr>
          <w:rFonts w:hint="eastAsia"/>
          <w:color w:val="000000"/>
          <w:lang w:val="en-US" w:eastAsia="zh-CN"/>
        </w:rPr>
        <w:t>7</w:t>
      </w:r>
      <w:r>
        <w:rPr>
          <w:rFonts w:hint="eastAsia"/>
          <w:color w:val="000000"/>
        </w:rPr>
        <w:t>。</w:t>
      </w:r>
    </w:p>
    <w:p>
      <w:pPr>
        <w:pStyle w:val="98"/>
        <w:rPr>
          <w:color w:val="000000"/>
        </w:rPr>
      </w:pPr>
      <w:r>
        <w:rPr>
          <w:rFonts w:hint="eastAsia"/>
          <w:color w:val="000000"/>
        </w:rPr>
        <w:t>表</w:t>
      </w:r>
      <w:r>
        <w:rPr>
          <w:color w:val="000000"/>
        </w:rPr>
        <w:t>5</w:t>
      </w:r>
      <w:r>
        <w:rPr>
          <w:rFonts w:hint="eastAsia"/>
          <w:color w:val="000000"/>
        </w:rPr>
        <w:t>.2</w:t>
      </w:r>
      <w:r>
        <w:rPr>
          <w:color w:val="000000"/>
        </w:rPr>
        <w:t>-</w:t>
      </w:r>
      <w:r>
        <w:rPr>
          <w:rFonts w:hint="eastAsia"/>
          <w:color w:val="000000"/>
          <w:lang w:val="en-US" w:eastAsia="zh-CN"/>
        </w:rPr>
        <w:t>5</w:t>
      </w:r>
      <w:r>
        <w:rPr>
          <w:color w:val="000000"/>
        </w:rPr>
        <w:t xml:space="preserve">  污染控制难易程度分级参照表</w:t>
      </w:r>
    </w:p>
    <w:tbl>
      <w:tblPr>
        <w:tblStyle w:val="37"/>
        <w:tblpPr w:leftFromText="180" w:rightFromText="180" w:vertAnchor="text" w:horzAnchor="margin" w:tblpY="106"/>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19"/>
        <w:gridCol w:w="6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trPr>
        <w:tc>
          <w:tcPr>
            <w:tcW w:w="1819" w:type="dxa"/>
            <w:noWrap w:val="0"/>
            <w:vAlign w:val="top"/>
          </w:tcPr>
          <w:p>
            <w:pPr>
              <w:widowControl w:val="0"/>
              <w:suppressAutoHyphens/>
              <w:topLinePunct/>
              <w:snapToGrid w:val="0"/>
              <w:spacing w:line="240" w:lineRule="auto"/>
              <w:ind w:firstLine="0" w:firstLineChars="0"/>
              <w:jc w:val="center"/>
              <w:rPr>
                <w:rFonts w:cs="黑体"/>
                <w:b/>
                <w:color w:val="000000"/>
                <w:sz w:val="21"/>
                <w:szCs w:val="21"/>
              </w:rPr>
            </w:pPr>
            <w:r>
              <w:rPr>
                <w:rFonts w:hint="eastAsia" w:cs="黑体"/>
                <w:b/>
                <w:color w:val="000000"/>
                <w:sz w:val="21"/>
                <w:szCs w:val="21"/>
              </w:rPr>
              <w:t>污染控制难易程度</w:t>
            </w:r>
          </w:p>
        </w:tc>
        <w:tc>
          <w:tcPr>
            <w:tcW w:w="6487" w:type="dxa"/>
            <w:noWrap w:val="0"/>
            <w:vAlign w:val="top"/>
          </w:tcPr>
          <w:p>
            <w:pPr>
              <w:widowControl w:val="0"/>
              <w:suppressAutoHyphens/>
              <w:topLinePunct/>
              <w:snapToGrid w:val="0"/>
              <w:spacing w:line="240" w:lineRule="auto"/>
              <w:ind w:firstLine="0" w:firstLineChars="0"/>
              <w:jc w:val="center"/>
              <w:rPr>
                <w:rFonts w:cs="黑体"/>
                <w:b/>
                <w:color w:val="000000"/>
                <w:sz w:val="21"/>
                <w:szCs w:val="21"/>
              </w:rPr>
            </w:pPr>
            <w:r>
              <w:rPr>
                <w:rFonts w:hint="eastAsia" w:cs="黑体"/>
                <w:b/>
                <w:color w:val="000000"/>
                <w:sz w:val="21"/>
                <w:szCs w:val="21"/>
              </w:rPr>
              <w:t>主要特征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19" w:type="dxa"/>
            <w:noWrap w:val="0"/>
            <w:vAlign w:val="top"/>
          </w:tcPr>
          <w:p>
            <w:pPr>
              <w:widowControl w:val="0"/>
              <w:suppressAutoHyphens/>
              <w:topLinePunct/>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w w:val="99"/>
                <w:sz w:val="21"/>
                <w:szCs w:val="21"/>
              </w:rPr>
              <w:t>难</w:t>
            </w:r>
          </w:p>
        </w:tc>
        <w:tc>
          <w:tcPr>
            <w:tcW w:w="6487" w:type="dxa"/>
            <w:noWrap w:val="0"/>
            <w:vAlign w:val="top"/>
          </w:tcPr>
          <w:p>
            <w:pPr>
              <w:widowControl w:val="0"/>
              <w:suppressAutoHyphens/>
              <w:topLinePunct/>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对地下水环境有污染的物料或污染物泄漏后，不能及时发现和处理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19" w:type="dxa"/>
            <w:noWrap w:val="0"/>
            <w:vAlign w:val="top"/>
          </w:tcPr>
          <w:p>
            <w:pPr>
              <w:widowControl w:val="0"/>
              <w:suppressAutoHyphens/>
              <w:topLinePunct/>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w w:val="99"/>
                <w:sz w:val="21"/>
                <w:szCs w:val="21"/>
              </w:rPr>
              <w:t>易</w:t>
            </w:r>
          </w:p>
        </w:tc>
        <w:tc>
          <w:tcPr>
            <w:tcW w:w="6487" w:type="dxa"/>
            <w:noWrap w:val="0"/>
            <w:vAlign w:val="top"/>
          </w:tcPr>
          <w:p>
            <w:pPr>
              <w:widowControl w:val="0"/>
              <w:suppressAutoHyphens/>
              <w:topLinePunct/>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对地下水环境有污染的物料或污染物泄漏后，可及时发现和处理</w:t>
            </w:r>
          </w:p>
        </w:tc>
      </w:tr>
    </w:tbl>
    <w:p>
      <w:pPr>
        <w:pStyle w:val="98"/>
        <w:rPr>
          <w:rFonts w:hint="default" w:ascii="Times New Roman" w:hAnsi="Times New Roman" w:cs="Times New Roman"/>
          <w:color w:val="000000"/>
        </w:rPr>
      </w:pPr>
      <w:r>
        <w:rPr>
          <w:rFonts w:hint="default" w:ascii="Times New Roman" w:hAnsi="Times New Roman" w:cs="Times New Roman"/>
          <w:color w:val="000000"/>
        </w:rPr>
        <w:t>表5.2-</w:t>
      </w:r>
      <w:r>
        <w:rPr>
          <w:rFonts w:hint="eastAsia" w:cs="Times New Roman"/>
          <w:color w:val="000000"/>
          <w:lang w:val="en-US" w:eastAsia="zh-CN"/>
        </w:rPr>
        <w:t>6</w:t>
      </w:r>
      <w:r>
        <w:rPr>
          <w:rFonts w:hint="default" w:ascii="Times New Roman" w:hAnsi="Times New Roman" w:cs="Times New Roman"/>
          <w:color w:val="000000"/>
        </w:rPr>
        <w:t>天然包气带防污性能分级参照表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8"/>
        <w:gridCol w:w="7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8" w:type="dxa"/>
            <w:noWrap w:val="0"/>
            <w:vAlign w:val="center"/>
          </w:tcPr>
          <w:p>
            <w:pPr>
              <w:widowControl w:val="0"/>
              <w:suppressAutoHyphens/>
              <w:topLinePunct/>
              <w:snapToGri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分级</w:t>
            </w:r>
          </w:p>
        </w:tc>
        <w:tc>
          <w:tcPr>
            <w:tcW w:w="7328" w:type="dxa"/>
            <w:noWrap w:val="0"/>
            <w:vAlign w:val="center"/>
          </w:tcPr>
          <w:p>
            <w:pPr>
              <w:widowControl w:val="0"/>
              <w:suppressAutoHyphens/>
              <w:topLinePunct/>
              <w:snapToGrid w:val="0"/>
              <w:spacing w:line="240" w:lineRule="auto"/>
              <w:ind w:firstLine="0" w:firstLineChars="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包气带岩土的渗透性能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8" w:type="dxa"/>
            <w:noWrap w:val="0"/>
            <w:vAlign w:val="center"/>
          </w:tcPr>
          <w:p>
            <w:pPr>
              <w:widowControl w:val="0"/>
              <w:suppressAutoHyphens/>
              <w:topLinePunct/>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强</w:t>
            </w:r>
          </w:p>
        </w:tc>
        <w:tc>
          <w:tcPr>
            <w:tcW w:w="7328" w:type="dxa"/>
            <w:noWrap w:val="0"/>
            <w:vAlign w:val="center"/>
          </w:tcPr>
          <w:p>
            <w:pPr>
              <w:widowControl w:val="0"/>
              <w:suppressAutoHyphens/>
              <w:topLinePunct/>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岩（土）层单层厚度 Mb≥1.0m，渗透系数 K≤1×10-6cm/s，且分布连续、稳定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978" w:type="dxa"/>
            <w:noWrap w:val="0"/>
            <w:vAlign w:val="center"/>
          </w:tcPr>
          <w:p>
            <w:pPr>
              <w:widowControl w:val="0"/>
              <w:suppressAutoHyphens/>
              <w:topLinePunct/>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中</w:t>
            </w:r>
          </w:p>
        </w:tc>
        <w:tc>
          <w:tcPr>
            <w:tcW w:w="7328" w:type="dxa"/>
            <w:noWrap w:val="0"/>
            <w:vAlign w:val="center"/>
          </w:tcPr>
          <w:p>
            <w:pPr>
              <w:widowControl w:val="0"/>
              <w:suppressAutoHyphens/>
              <w:topLinePunct/>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岩（土）层单层厚度 0.5m≤Mb＜1.0m，渗透系数 K≤1×10-6cm/s，且分布连续、稳定。岩（土）层单层厚度 Mb≥1.0m，渗透系数 1×10-6cm/s＜K≤1×10-4cm/s，且分布连续、稳定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78" w:type="dxa"/>
            <w:noWrap w:val="0"/>
            <w:vAlign w:val="center"/>
          </w:tcPr>
          <w:p>
            <w:pPr>
              <w:widowControl w:val="0"/>
              <w:suppressAutoHyphens/>
              <w:topLinePunct/>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弱</w:t>
            </w:r>
          </w:p>
        </w:tc>
        <w:tc>
          <w:tcPr>
            <w:tcW w:w="7328" w:type="dxa"/>
            <w:noWrap w:val="0"/>
            <w:vAlign w:val="center"/>
          </w:tcPr>
          <w:p>
            <w:pPr>
              <w:widowControl w:val="0"/>
              <w:suppressAutoHyphens/>
              <w:topLinePunct/>
              <w:snapToGrid w:val="0"/>
              <w:spacing w:line="240" w:lineRule="auto"/>
              <w:ind w:firstLine="0" w:firstLineChars="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岩（土）层不满足上述“强”和“中”条件</w:t>
            </w:r>
          </w:p>
        </w:tc>
      </w:tr>
    </w:tbl>
    <w:p>
      <w:pPr>
        <w:pStyle w:val="98"/>
        <w:rPr>
          <w:color w:val="000000"/>
        </w:rPr>
      </w:pPr>
      <w:r>
        <w:rPr>
          <w:rFonts w:hint="eastAsia"/>
          <w:color w:val="000000"/>
        </w:rPr>
        <w:t>表</w:t>
      </w:r>
      <w:r>
        <w:rPr>
          <w:color w:val="000000"/>
        </w:rPr>
        <w:t>5</w:t>
      </w:r>
      <w:r>
        <w:rPr>
          <w:rFonts w:hint="eastAsia"/>
          <w:color w:val="000000"/>
        </w:rPr>
        <w:t>.2</w:t>
      </w:r>
      <w:r>
        <w:rPr>
          <w:color w:val="000000"/>
        </w:rPr>
        <w:t>-</w:t>
      </w:r>
      <w:r>
        <w:rPr>
          <w:rFonts w:hint="eastAsia"/>
          <w:color w:val="000000"/>
          <w:lang w:val="en-US" w:eastAsia="zh-CN"/>
        </w:rPr>
        <w:t>7</w:t>
      </w:r>
      <w:r>
        <w:rPr>
          <w:color w:val="000000"/>
        </w:rPr>
        <w:t xml:space="preserve">   </w:t>
      </w:r>
      <w:r>
        <w:rPr>
          <w:rFonts w:hint="eastAsia"/>
          <w:color w:val="000000"/>
        </w:rPr>
        <w:t>地下水污染防渗分区参照表</w:t>
      </w:r>
    </w:p>
    <w:tbl>
      <w:tblPr>
        <w:tblStyle w:val="37"/>
        <w:tblW w:w="50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61"/>
        <w:gridCol w:w="1992"/>
        <w:gridCol w:w="1725"/>
        <w:gridCol w:w="1445"/>
        <w:gridCol w:w="2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6" w:type="pct"/>
            <w:noWrap w:val="0"/>
            <w:vAlign w:val="center"/>
          </w:tcPr>
          <w:p>
            <w:pPr>
              <w:pStyle w:val="79"/>
              <w:rPr>
                <w:b/>
                <w:bCs/>
              </w:rPr>
            </w:pPr>
            <w:r>
              <w:rPr>
                <w:rFonts w:hint="eastAsia"/>
                <w:b/>
                <w:bCs/>
              </w:rPr>
              <w:t>防渗分区</w:t>
            </w:r>
          </w:p>
        </w:tc>
        <w:tc>
          <w:tcPr>
            <w:tcW w:w="1194" w:type="pct"/>
            <w:noWrap w:val="0"/>
            <w:vAlign w:val="center"/>
          </w:tcPr>
          <w:p>
            <w:pPr>
              <w:pStyle w:val="79"/>
              <w:rPr>
                <w:b/>
                <w:bCs/>
              </w:rPr>
            </w:pPr>
            <w:r>
              <w:rPr>
                <w:rFonts w:hint="eastAsia"/>
                <w:b/>
                <w:bCs/>
              </w:rPr>
              <w:t>天然包气带防污性能</w:t>
            </w:r>
          </w:p>
        </w:tc>
        <w:tc>
          <w:tcPr>
            <w:tcW w:w="1034" w:type="pct"/>
            <w:noWrap w:val="0"/>
            <w:vAlign w:val="center"/>
          </w:tcPr>
          <w:p>
            <w:pPr>
              <w:pStyle w:val="79"/>
              <w:rPr>
                <w:b/>
                <w:bCs/>
              </w:rPr>
            </w:pPr>
            <w:r>
              <w:rPr>
                <w:rFonts w:hint="eastAsia"/>
                <w:b/>
                <w:bCs/>
              </w:rPr>
              <w:t>污染控制难易程度</w:t>
            </w:r>
          </w:p>
        </w:tc>
        <w:tc>
          <w:tcPr>
            <w:tcW w:w="866" w:type="pct"/>
            <w:noWrap w:val="0"/>
            <w:vAlign w:val="center"/>
          </w:tcPr>
          <w:p>
            <w:pPr>
              <w:pStyle w:val="79"/>
              <w:rPr>
                <w:b/>
                <w:bCs/>
              </w:rPr>
            </w:pPr>
            <w:r>
              <w:rPr>
                <w:rFonts w:hint="eastAsia"/>
                <w:b/>
                <w:bCs/>
              </w:rPr>
              <w:t>污染物类型</w:t>
            </w:r>
          </w:p>
        </w:tc>
        <w:tc>
          <w:tcPr>
            <w:tcW w:w="1208" w:type="pct"/>
            <w:noWrap w:val="0"/>
            <w:vAlign w:val="center"/>
          </w:tcPr>
          <w:p>
            <w:pPr>
              <w:pStyle w:val="79"/>
              <w:rPr>
                <w:b/>
                <w:bCs/>
              </w:rPr>
            </w:pPr>
            <w:r>
              <w:rPr>
                <w:rFonts w:hint="eastAsia"/>
                <w:b/>
                <w:bCs/>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6" w:type="pct"/>
            <w:vMerge w:val="restart"/>
            <w:noWrap w:val="0"/>
            <w:vAlign w:val="center"/>
          </w:tcPr>
          <w:p>
            <w:pPr>
              <w:pStyle w:val="79"/>
            </w:pPr>
          </w:p>
          <w:p>
            <w:pPr>
              <w:pStyle w:val="79"/>
            </w:pPr>
            <w:r>
              <w:rPr>
                <w:rFonts w:hint="eastAsia"/>
              </w:rPr>
              <w:t>重点防渗区</w:t>
            </w:r>
          </w:p>
        </w:tc>
        <w:tc>
          <w:tcPr>
            <w:tcW w:w="1194" w:type="pct"/>
            <w:noWrap w:val="0"/>
            <w:vAlign w:val="center"/>
          </w:tcPr>
          <w:p>
            <w:pPr>
              <w:pStyle w:val="79"/>
            </w:pPr>
            <w:r>
              <w:rPr>
                <w:rFonts w:hint="eastAsia"/>
              </w:rPr>
              <w:t>弱</w:t>
            </w:r>
          </w:p>
        </w:tc>
        <w:tc>
          <w:tcPr>
            <w:tcW w:w="1034" w:type="pct"/>
            <w:noWrap w:val="0"/>
            <w:vAlign w:val="center"/>
          </w:tcPr>
          <w:p>
            <w:pPr>
              <w:pStyle w:val="79"/>
            </w:pPr>
            <w:r>
              <w:rPr>
                <w:rFonts w:hint="eastAsia"/>
              </w:rPr>
              <w:t>难</w:t>
            </w:r>
          </w:p>
        </w:tc>
        <w:tc>
          <w:tcPr>
            <w:tcW w:w="866" w:type="pct"/>
            <w:vMerge w:val="restart"/>
            <w:noWrap w:val="0"/>
            <w:vAlign w:val="center"/>
          </w:tcPr>
          <w:p>
            <w:pPr>
              <w:pStyle w:val="79"/>
              <w:rPr>
                <w:rFonts w:hint="default" w:ascii="Times New Roman" w:hAnsi="Times New Roman" w:cs="Times New Roman"/>
              </w:rPr>
            </w:pPr>
          </w:p>
          <w:p>
            <w:pPr>
              <w:pStyle w:val="79"/>
              <w:rPr>
                <w:rFonts w:hint="default" w:ascii="Times New Roman" w:hAnsi="Times New Roman" w:cs="Times New Roman"/>
              </w:rPr>
            </w:pPr>
            <w:r>
              <w:rPr>
                <w:rFonts w:hint="default" w:ascii="Times New Roman" w:hAnsi="Times New Roman" w:cs="Times New Roman"/>
              </w:rPr>
              <w:t>重金属、持久性有机污染物</w:t>
            </w:r>
          </w:p>
        </w:tc>
        <w:tc>
          <w:tcPr>
            <w:tcW w:w="1208" w:type="pct"/>
            <w:vMerge w:val="restart"/>
            <w:noWrap w:val="0"/>
            <w:vAlign w:val="center"/>
          </w:tcPr>
          <w:p>
            <w:pPr>
              <w:pStyle w:val="79"/>
              <w:rPr>
                <w:rFonts w:hint="default" w:ascii="Times New Roman" w:hAnsi="Times New Roman" w:cs="Times New Roman"/>
              </w:rPr>
            </w:pPr>
            <w:r>
              <w:rPr>
                <w:rFonts w:hint="default" w:ascii="Times New Roman" w:hAnsi="Times New Roman" w:cs="Times New Roman"/>
              </w:rPr>
              <w:t>等效黏土防渗层</w:t>
            </w:r>
          </w:p>
          <w:p>
            <w:pPr>
              <w:pStyle w:val="79"/>
              <w:rPr>
                <w:rFonts w:hint="default" w:ascii="Times New Roman" w:hAnsi="Times New Roman" w:cs="Times New Roman"/>
              </w:rPr>
            </w:pPr>
            <w:r>
              <w:rPr>
                <w:rFonts w:hint="default" w:ascii="Times New Roman" w:hAnsi="Times New Roman" w:cs="Times New Roman"/>
              </w:rPr>
              <w:t>Mb≥6.0m，</w:t>
            </w:r>
            <w:r>
              <w:rPr>
                <w:rFonts w:hint="default" w:ascii="Times New Roman" w:hAnsi="Times New Roman" w:cs="Times New Roman"/>
                <w:spacing w:val="-1"/>
              </w:rPr>
              <w:t>K≤1×10</w:t>
            </w:r>
            <w:r>
              <w:rPr>
                <w:rFonts w:hint="default" w:ascii="Times New Roman" w:hAnsi="Times New Roman" w:cs="Times New Roman"/>
                <w:spacing w:val="-1"/>
                <w:position w:val="7"/>
              </w:rPr>
              <w:t>-7</w:t>
            </w:r>
            <w:r>
              <w:rPr>
                <w:rFonts w:hint="default" w:ascii="Times New Roman" w:hAnsi="Times New Roman" w:cs="Times New Roman"/>
                <w:spacing w:val="-1"/>
              </w:rPr>
              <w:t>cm/s；或参照</w:t>
            </w:r>
            <w:r>
              <w:rPr>
                <w:rFonts w:hint="default" w:ascii="Times New Roman" w:hAnsi="Times New Roman" w:cs="Times New Roman"/>
              </w:rPr>
              <w:t>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6" w:type="pct"/>
            <w:vMerge w:val="continue"/>
            <w:noWrap w:val="0"/>
            <w:vAlign w:val="center"/>
          </w:tcPr>
          <w:p>
            <w:pPr>
              <w:pStyle w:val="79"/>
              <w:rPr>
                <w:szCs w:val="2"/>
              </w:rPr>
            </w:pPr>
          </w:p>
        </w:tc>
        <w:tc>
          <w:tcPr>
            <w:tcW w:w="1194" w:type="pct"/>
            <w:noWrap w:val="0"/>
            <w:vAlign w:val="center"/>
          </w:tcPr>
          <w:p>
            <w:pPr>
              <w:pStyle w:val="79"/>
            </w:pPr>
            <w:r>
              <w:rPr>
                <w:rFonts w:hint="eastAsia"/>
              </w:rPr>
              <w:t>中</w:t>
            </w:r>
            <w:r>
              <w:t>-</w:t>
            </w:r>
            <w:r>
              <w:rPr>
                <w:rFonts w:hint="eastAsia"/>
              </w:rPr>
              <w:t>强</w:t>
            </w:r>
          </w:p>
        </w:tc>
        <w:tc>
          <w:tcPr>
            <w:tcW w:w="1034" w:type="pct"/>
            <w:noWrap w:val="0"/>
            <w:vAlign w:val="center"/>
          </w:tcPr>
          <w:p>
            <w:pPr>
              <w:pStyle w:val="79"/>
            </w:pPr>
            <w:r>
              <w:rPr>
                <w:rFonts w:hint="eastAsia"/>
              </w:rPr>
              <w:t>难</w:t>
            </w:r>
          </w:p>
        </w:tc>
        <w:tc>
          <w:tcPr>
            <w:tcW w:w="866" w:type="pct"/>
            <w:vMerge w:val="continue"/>
            <w:noWrap w:val="0"/>
            <w:vAlign w:val="center"/>
          </w:tcPr>
          <w:p>
            <w:pPr>
              <w:pStyle w:val="79"/>
              <w:rPr>
                <w:rFonts w:hint="default" w:ascii="Times New Roman" w:hAnsi="Times New Roman" w:cs="Times New Roman"/>
              </w:rPr>
            </w:pPr>
          </w:p>
        </w:tc>
        <w:tc>
          <w:tcPr>
            <w:tcW w:w="1208" w:type="pct"/>
            <w:vMerge w:val="continue"/>
            <w:noWrap w:val="0"/>
            <w:vAlign w:val="center"/>
          </w:tcPr>
          <w:p>
            <w:pPr>
              <w:pStyle w:val="79"/>
              <w:rPr>
                <w:rFonts w:hint="default" w:ascii="Times New Roman" w:hAnsi="Times New Roman" w:cs="Times New Roman"/>
                <w:szCs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jc w:val="center"/>
        </w:trPr>
        <w:tc>
          <w:tcPr>
            <w:tcW w:w="696" w:type="pct"/>
            <w:vMerge w:val="continue"/>
            <w:noWrap w:val="0"/>
            <w:vAlign w:val="center"/>
          </w:tcPr>
          <w:p>
            <w:pPr>
              <w:pStyle w:val="79"/>
              <w:rPr>
                <w:szCs w:val="2"/>
              </w:rPr>
            </w:pPr>
          </w:p>
        </w:tc>
        <w:tc>
          <w:tcPr>
            <w:tcW w:w="1194" w:type="pct"/>
            <w:noWrap w:val="0"/>
            <w:vAlign w:val="center"/>
          </w:tcPr>
          <w:p>
            <w:pPr>
              <w:pStyle w:val="79"/>
            </w:pPr>
            <w:r>
              <w:rPr>
                <w:rFonts w:hint="eastAsia"/>
              </w:rPr>
              <w:t>弱</w:t>
            </w:r>
          </w:p>
        </w:tc>
        <w:tc>
          <w:tcPr>
            <w:tcW w:w="1034" w:type="pct"/>
            <w:noWrap w:val="0"/>
            <w:vAlign w:val="center"/>
          </w:tcPr>
          <w:p>
            <w:pPr>
              <w:pStyle w:val="79"/>
            </w:pPr>
            <w:r>
              <w:rPr>
                <w:rFonts w:hint="eastAsia"/>
              </w:rPr>
              <w:t>易</w:t>
            </w:r>
          </w:p>
        </w:tc>
        <w:tc>
          <w:tcPr>
            <w:tcW w:w="866" w:type="pct"/>
            <w:vMerge w:val="continue"/>
            <w:noWrap w:val="0"/>
            <w:vAlign w:val="center"/>
          </w:tcPr>
          <w:p>
            <w:pPr>
              <w:pStyle w:val="79"/>
              <w:rPr>
                <w:rFonts w:hint="default" w:ascii="Times New Roman" w:hAnsi="Times New Roman" w:cs="Times New Roman"/>
              </w:rPr>
            </w:pPr>
          </w:p>
        </w:tc>
        <w:tc>
          <w:tcPr>
            <w:tcW w:w="1208" w:type="pct"/>
            <w:vMerge w:val="continue"/>
            <w:noWrap w:val="0"/>
            <w:vAlign w:val="center"/>
          </w:tcPr>
          <w:p>
            <w:pPr>
              <w:pStyle w:val="79"/>
              <w:rPr>
                <w:rFonts w:hint="default" w:ascii="Times New Roman" w:hAnsi="Times New Roman" w:cs="Times New Roman"/>
                <w:szCs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6" w:type="pct"/>
            <w:vMerge w:val="restart"/>
            <w:noWrap w:val="0"/>
            <w:vAlign w:val="center"/>
          </w:tcPr>
          <w:p>
            <w:pPr>
              <w:pStyle w:val="79"/>
            </w:pPr>
          </w:p>
          <w:p>
            <w:pPr>
              <w:pStyle w:val="79"/>
            </w:pPr>
            <w:r>
              <w:rPr>
                <w:rFonts w:hint="eastAsia"/>
              </w:rPr>
              <w:t>一般防渗区</w:t>
            </w:r>
          </w:p>
        </w:tc>
        <w:tc>
          <w:tcPr>
            <w:tcW w:w="1194" w:type="pct"/>
            <w:noWrap w:val="0"/>
            <w:vAlign w:val="center"/>
          </w:tcPr>
          <w:p>
            <w:pPr>
              <w:pStyle w:val="79"/>
            </w:pPr>
            <w:r>
              <w:rPr>
                <w:rFonts w:hint="eastAsia"/>
              </w:rPr>
              <w:t>弱</w:t>
            </w:r>
          </w:p>
        </w:tc>
        <w:tc>
          <w:tcPr>
            <w:tcW w:w="1034" w:type="pct"/>
            <w:noWrap w:val="0"/>
            <w:vAlign w:val="center"/>
          </w:tcPr>
          <w:p>
            <w:pPr>
              <w:pStyle w:val="79"/>
            </w:pPr>
            <w:r>
              <w:rPr>
                <w:rFonts w:hint="eastAsia"/>
              </w:rPr>
              <w:t>难</w:t>
            </w:r>
            <w:r>
              <w:t>-</w:t>
            </w:r>
            <w:r>
              <w:rPr>
                <w:rFonts w:hint="eastAsia"/>
              </w:rPr>
              <w:t>易</w:t>
            </w:r>
          </w:p>
        </w:tc>
        <w:tc>
          <w:tcPr>
            <w:tcW w:w="866" w:type="pct"/>
            <w:vMerge w:val="restart"/>
            <w:noWrap w:val="0"/>
            <w:vAlign w:val="center"/>
          </w:tcPr>
          <w:p>
            <w:pPr>
              <w:pStyle w:val="79"/>
              <w:rPr>
                <w:rFonts w:hint="default" w:ascii="Times New Roman" w:hAnsi="Times New Roman" w:cs="Times New Roman"/>
              </w:rPr>
            </w:pPr>
            <w:r>
              <w:rPr>
                <w:rFonts w:hint="default" w:ascii="Times New Roman" w:hAnsi="Times New Roman" w:cs="Times New Roman"/>
              </w:rPr>
              <w:t>其他类型</w:t>
            </w:r>
          </w:p>
        </w:tc>
        <w:tc>
          <w:tcPr>
            <w:tcW w:w="1208" w:type="pct"/>
            <w:vMerge w:val="restart"/>
            <w:noWrap w:val="0"/>
            <w:vAlign w:val="center"/>
          </w:tcPr>
          <w:p>
            <w:pPr>
              <w:pStyle w:val="79"/>
              <w:rPr>
                <w:rFonts w:hint="default" w:ascii="Times New Roman" w:hAnsi="Times New Roman" w:cs="Times New Roman"/>
              </w:rPr>
            </w:pPr>
            <w:r>
              <w:rPr>
                <w:rFonts w:hint="default" w:ascii="Times New Roman" w:hAnsi="Times New Roman" w:cs="Times New Roman"/>
              </w:rPr>
              <w:t>等效黏土防渗层</w:t>
            </w:r>
          </w:p>
          <w:p>
            <w:pPr>
              <w:pStyle w:val="79"/>
              <w:rPr>
                <w:rFonts w:hint="default" w:ascii="Times New Roman" w:hAnsi="Times New Roman" w:cs="Times New Roman"/>
              </w:rPr>
            </w:pPr>
            <w:r>
              <w:rPr>
                <w:rFonts w:hint="default" w:ascii="Times New Roman" w:hAnsi="Times New Roman" w:cs="Times New Roman"/>
              </w:rPr>
              <w:t>Mb≥1.5m，</w:t>
            </w:r>
            <w:r>
              <w:rPr>
                <w:rFonts w:hint="default" w:ascii="Times New Roman" w:hAnsi="Times New Roman" w:cs="Times New Roman"/>
                <w:spacing w:val="-1"/>
              </w:rPr>
              <w:t>K≤1×10</w:t>
            </w:r>
            <w:r>
              <w:rPr>
                <w:rFonts w:hint="default" w:ascii="Times New Roman" w:hAnsi="Times New Roman" w:cs="Times New Roman"/>
                <w:spacing w:val="-1"/>
                <w:position w:val="7"/>
              </w:rPr>
              <w:t>-7</w:t>
            </w:r>
            <w:r>
              <w:rPr>
                <w:rFonts w:hint="default" w:ascii="Times New Roman" w:hAnsi="Times New Roman" w:cs="Times New Roman"/>
                <w:spacing w:val="-1"/>
              </w:rPr>
              <w:t>cm/s；或参照</w:t>
            </w:r>
          </w:p>
          <w:p>
            <w:pPr>
              <w:pStyle w:val="79"/>
              <w:rPr>
                <w:rFonts w:hint="default" w:ascii="Times New Roman" w:hAnsi="Times New Roman" w:cs="Times New Roman"/>
              </w:rPr>
            </w:pPr>
            <w:r>
              <w:rPr>
                <w:rFonts w:hint="default" w:ascii="Times New Roman" w:hAnsi="Times New Roman" w:cs="Times New Roman"/>
              </w:rPr>
              <w:t>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6" w:type="pct"/>
            <w:vMerge w:val="continue"/>
            <w:noWrap w:val="0"/>
            <w:vAlign w:val="center"/>
          </w:tcPr>
          <w:p>
            <w:pPr>
              <w:pStyle w:val="79"/>
              <w:rPr>
                <w:szCs w:val="2"/>
              </w:rPr>
            </w:pPr>
          </w:p>
        </w:tc>
        <w:tc>
          <w:tcPr>
            <w:tcW w:w="1194" w:type="pct"/>
            <w:noWrap w:val="0"/>
            <w:vAlign w:val="center"/>
          </w:tcPr>
          <w:p>
            <w:pPr>
              <w:pStyle w:val="79"/>
            </w:pPr>
            <w:r>
              <w:rPr>
                <w:rFonts w:hint="eastAsia"/>
              </w:rPr>
              <w:t>中</w:t>
            </w:r>
            <w:r>
              <w:t>-</w:t>
            </w:r>
            <w:r>
              <w:rPr>
                <w:rFonts w:hint="eastAsia"/>
              </w:rPr>
              <w:t>强</w:t>
            </w:r>
          </w:p>
        </w:tc>
        <w:tc>
          <w:tcPr>
            <w:tcW w:w="1034" w:type="pct"/>
            <w:noWrap w:val="0"/>
            <w:vAlign w:val="center"/>
          </w:tcPr>
          <w:p>
            <w:pPr>
              <w:pStyle w:val="79"/>
            </w:pPr>
            <w:r>
              <w:rPr>
                <w:rFonts w:hint="eastAsia"/>
              </w:rPr>
              <w:t>难</w:t>
            </w:r>
          </w:p>
        </w:tc>
        <w:tc>
          <w:tcPr>
            <w:tcW w:w="866" w:type="pct"/>
            <w:vMerge w:val="continue"/>
            <w:noWrap w:val="0"/>
            <w:vAlign w:val="center"/>
          </w:tcPr>
          <w:p>
            <w:pPr>
              <w:pStyle w:val="79"/>
              <w:rPr>
                <w:rFonts w:hint="default" w:ascii="Times New Roman" w:hAnsi="Times New Roman" w:cs="Times New Roman"/>
              </w:rPr>
            </w:pPr>
          </w:p>
        </w:tc>
        <w:tc>
          <w:tcPr>
            <w:tcW w:w="1208" w:type="pct"/>
            <w:vMerge w:val="continue"/>
            <w:noWrap w:val="0"/>
            <w:vAlign w:val="center"/>
          </w:tcPr>
          <w:p>
            <w:pPr>
              <w:pStyle w:val="79"/>
              <w:rPr>
                <w:rFonts w:hint="default" w:ascii="Times New Roman" w:hAnsi="Times New Roman" w:cs="Times New Roman"/>
                <w:szCs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6" w:type="pct"/>
            <w:vMerge w:val="continue"/>
            <w:noWrap w:val="0"/>
            <w:vAlign w:val="center"/>
          </w:tcPr>
          <w:p>
            <w:pPr>
              <w:pStyle w:val="79"/>
              <w:rPr>
                <w:szCs w:val="2"/>
              </w:rPr>
            </w:pPr>
          </w:p>
        </w:tc>
        <w:tc>
          <w:tcPr>
            <w:tcW w:w="1194" w:type="pct"/>
            <w:noWrap w:val="0"/>
            <w:vAlign w:val="center"/>
          </w:tcPr>
          <w:p>
            <w:pPr>
              <w:pStyle w:val="79"/>
            </w:pPr>
            <w:r>
              <w:rPr>
                <w:rFonts w:hint="eastAsia"/>
              </w:rPr>
              <w:t>中</w:t>
            </w:r>
          </w:p>
        </w:tc>
        <w:tc>
          <w:tcPr>
            <w:tcW w:w="1034" w:type="pct"/>
            <w:noWrap w:val="0"/>
            <w:vAlign w:val="center"/>
          </w:tcPr>
          <w:p>
            <w:pPr>
              <w:pStyle w:val="79"/>
            </w:pPr>
            <w:r>
              <w:rPr>
                <w:rFonts w:hint="eastAsia"/>
              </w:rPr>
              <w:t>易</w:t>
            </w:r>
          </w:p>
        </w:tc>
        <w:tc>
          <w:tcPr>
            <w:tcW w:w="866" w:type="pct"/>
            <w:vMerge w:val="restart"/>
            <w:noWrap w:val="0"/>
            <w:vAlign w:val="center"/>
          </w:tcPr>
          <w:p>
            <w:pPr>
              <w:pStyle w:val="79"/>
              <w:rPr>
                <w:rFonts w:hint="default" w:ascii="Times New Roman" w:hAnsi="Times New Roman" w:cs="Times New Roman"/>
              </w:rPr>
            </w:pPr>
            <w:r>
              <w:rPr>
                <w:rFonts w:hint="default" w:ascii="Times New Roman" w:hAnsi="Times New Roman" w:cs="Times New Roman"/>
              </w:rPr>
              <w:t>重金属、持久性有机污染物</w:t>
            </w:r>
          </w:p>
        </w:tc>
        <w:tc>
          <w:tcPr>
            <w:tcW w:w="1208" w:type="pct"/>
            <w:vMerge w:val="continue"/>
            <w:noWrap w:val="0"/>
            <w:vAlign w:val="center"/>
          </w:tcPr>
          <w:p>
            <w:pPr>
              <w:pStyle w:val="79"/>
              <w:rPr>
                <w:rFonts w:hint="default" w:ascii="Times New Roman" w:hAnsi="Times New Roman" w:cs="Times New Roman"/>
                <w:szCs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6" w:type="pct"/>
            <w:vMerge w:val="continue"/>
            <w:noWrap w:val="0"/>
            <w:vAlign w:val="center"/>
          </w:tcPr>
          <w:p>
            <w:pPr>
              <w:pStyle w:val="79"/>
              <w:rPr>
                <w:szCs w:val="2"/>
              </w:rPr>
            </w:pPr>
          </w:p>
        </w:tc>
        <w:tc>
          <w:tcPr>
            <w:tcW w:w="1194" w:type="pct"/>
            <w:noWrap w:val="0"/>
            <w:vAlign w:val="center"/>
          </w:tcPr>
          <w:p>
            <w:pPr>
              <w:pStyle w:val="79"/>
            </w:pPr>
            <w:r>
              <w:rPr>
                <w:rFonts w:hint="eastAsia"/>
              </w:rPr>
              <w:t>强</w:t>
            </w:r>
          </w:p>
        </w:tc>
        <w:tc>
          <w:tcPr>
            <w:tcW w:w="1034" w:type="pct"/>
            <w:noWrap w:val="0"/>
            <w:vAlign w:val="center"/>
          </w:tcPr>
          <w:p>
            <w:pPr>
              <w:pStyle w:val="79"/>
            </w:pPr>
            <w:r>
              <w:rPr>
                <w:rFonts w:hint="eastAsia"/>
              </w:rPr>
              <w:t>易</w:t>
            </w:r>
          </w:p>
        </w:tc>
        <w:tc>
          <w:tcPr>
            <w:tcW w:w="866" w:type="pct"/>
            <w:vMerge w:val="continue"/>
            <w:noWrap w:val="0"/>
            <w:vAlign w:val="center"/>
          </w:tcPr>
          <w:p>
            <w:pPr>
              <w:pStyle w:val="79"/>
              <w:rPr>
                <w:rFonts w:hint="default" w:ascii="Times New Roman" w:hAnsi="Times New Roman" w:cs="Times New Roman"/>
              </w:rPr>
            </w:pPr>
          </w:p>
        </w:tc>
        <w:tc>
          <w:tcPr>
            <w:tcW w:w="1208" w:type="pct"/>
            <w:vMerge w:val="continue"/>
            <w:noWrap w:val="0"/>
            <w:vAlign w:val="center"/>
          </w:tcPr>
          <w:p>
            <w:pPr>
              <w:pStyle w:val="79"/>
              <w:rPr>
                <w:rFonts w:hint="default" w:ascii="Times New Roman" w:hAnsi="Times New Roman" w:cs="Times New Roman"/>
                <w:szCs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96" w:type="pct"/>
            <w:noWrap w:val="0"/>
            <w:vAlign w:val="center"/>
          </w:tcPr>
          <w:p>
            <w:pPr>
              <w:pStyle w:val="79"/>
            </w:pPr>
            <w:r>
              <w:rPr>
                <w:rFonts w:hint="eastAsia"/>
              </w:rPr>
              <w:t>简单防渗区</w:t>
            </w:r>
          </w:p>
        </w:tc>
        <w:tc>
          <w:tcPr>
            <w:tcW w:w="1194" w:type="pct"/>
            <w:noWrap w:val="0"/>
            <w:vAlign w:val="center"/>
          </w:tcPr>
          <w:p>
            <w:pPr>
              <w:pStyle w:val="79"/>
            </w:pPr>
            <w:r>
              <w:rPr>
                <w:rFonts w:hint="eastAsia"/>
              </w:rPr>
              <w:t>中</w:t>
            </w:r>
            <w:r>
              <w:t>-</w:t>
            </w:r>
            <w:r>
              <w:rPr>
                <w:rFonts w:hint="eastAsia"/>
              </w:rPr>
              <w:t>强</w:t>
            </w:r>
          </w:p>
        </w:tc>
        <w:tc>
          <w:tcPr>
            <w:tcW w:w="1034" w:type="pct"/>
            <w:noWrap w:val="0"/>
            <w:vAlign w:val="center"/>
          </w:tcPr>
          <w:p>
            <w:pPr>
              <w:pStyle w:val="79"/>
            </w:pPr>
            <w:r>
              <w:rPr>
                <w:rFonts w:hint="eastAsia"/>
              </w:rPr>
              <w:t>易</w:t>
            </w:r>
          </w:p>
        </w:tc>
        <w:tc>
          <w:tcPr>
            <w:tcW w:w="866" w:type="pct"/>
            <w:noWrap w:val="0"/>
            <w:vAlign w:val="center"/>
          </w:tcPr>
          <w:p>
            <w:pPr>
              <w:pStyle w:val="79"/>
              <w:rPr>
                <w:rFonts w:hint="default" w:ascii="Times New Roman" w:hAnsi="Times New Roman" w:cs="Times New Roman"/>
              </w:rPr>
            </w:pPr>
            <w:r>
              <w:rPr>
                <w:rFonts w:hint="default" w:ascii="Times New Roman" w:hAnsi="Times New Roman" w:cs="Times New Roman"/>
              </w:rPr>
              <w:t>其他类型</w:t>
            </w:r>
          </w:p>
        </w:tc>
        <w:tc>
          <w:tcPr>
            <w:tcW w:w="1208" w:type="pct"/>
            <w:noWrap w:val="0"/>
            <w:vAlign w:val="center"/>
          </w:tcPr>
          <w:p>
            <w:pPr>
              <w:pStyle w:val="79"/>
              <w:rPr>
                <w:rFonts w:hint="default" w:ascii="Times New Roman" w:hAnsi="Times New Roman" w:cs="Times New Roman"/>
              </w:rPr>
            </w:pPr>
            <w:r>
              <w:rPr>
                <w:rFonts w:hint="default" w:ascii="Times New Roman" w:hAnsi="Times New Roman" w:cs="Times New Roman"/>
              </w:rPr>
              <w:t>一般地面硬化</w:t>
            </w:r>
          </w:p>
        </w:tc>
      </w:tr>
    </w:tbl>
    <w:p>
      <w:pPr>
        <w:ind w:firstLine="480"/>
        <w:rPr>
          <w:color w:val="000000"/>
        </w:rPr>
      </w:pPr>
      <w:r>
        <w:rPr>
          <w:rFonts w:hint="eastAsia"/>
          <w:color w:val="000000"/>
          <w:kern w:val="0"/>
          <w:szCs w:val="22"/>
        </w:rPr>
        <w:t>本项目污水管、污水处理</w:t>
      </w:r>
      <w:r>
        <w:rPr>
          <w:rFonts w:hint="eastAsia"/>
          <w:color w:val="000000"/>
          <w:kern w:val="0"/>
          <w:szCs w:val="22"/>
          <w:lang w:eastAsia="zh-CN"/>
        </w:rPr>
        <w:t>设施、危废间</w:t>
      </w:r>
      <w:r>
        <w:rPr>
          <w:rFonts w:hint="eastAsia"/>
          <w:color w:val="000000"/>
          <w:kern w:val="0"/>
          <w:szCs w:val="22"/>
        </w:rPr>
        <w:t>及</w:t>
      </w:r>
      <w:r>
        <w:rPr>
          <w:rFonts w:hint="eastAsia"/>
          <w:color w:val="000000"/>
          <w:kern w:val="0"/>
          <w:szCs w:val="22"/>
          <w:lang w:eastAsia="zh-CN"/>
        </w:rPr>
        <w:t>污泥脱水间</w:t>
      </w:r>
      <w:r>
        <w:rPr>
          <w:rFonts w:hint="eastAsia"/>
          <w:color w:val="000000"/>
          <w:kern w:val="0"/>
          <w:szCs w:val="22"/>
        </w:rPr>
        <w:t>为重点防渗区，</w:t>
      </w:r>
      <w:r>
        <w:rPr>
          <w:rFonts w:hint="eastAsia"/>
          <w:color w:val="000000"/>
          <w:kern w:val="0"/>
          <w:szCs w:val="22"/>
          <w:lang w:eastAsia="zh-CN"/>
        </w:rPr>
        <w:t>配套用房</w:t>
      </w:r>
      <w:r>
        <w:rPr>
          <w:rFonts w:hint="eastAsia"/>
          <w:color w:val="000000"/>
          <w:kern w:val="0"/>
          <w:szCs w:val="22"/>
        </w:rPr>
        <w:t>为一般防渗区，其他区域为</w:t>
      </w:r>
      <w:r>
        <w:rPr>
          <w:rFonts w:hint="eastAsia"/>
          <w:color w:val="000000"/>
        </w:rPr>
        <w:t>简单防渗区。</w:t>
      </w:r>
      <w:r>
        <w:rPr>
          <w:rFonts w:hint="eastAsia"/>
          <w:color w:val="000000"/>
          <w:kern w:val="0"/>
          <w:szCs w:val="22"/>
        </w:rPr>
        <w:t>项目分区防渗一览表见下表</w:t>
      </w:r>
      <w:r>
        <w:rPr>
          <w:color w:val="000000"/>
          <w:kern w:val="0"/>
          <w:szCs w:val="22"/>
        </w:rPr>
        <w:t>5.2</w:t>
      </w:r>
      <w:r>
        <w:rPr>
          <w:rFonts w:hint="eastAsia"/>
          <w:color w:val="000000"/>
          <w:kern w:val="0"/>
          <w:szCs w:val="22"/>
        </w:rPr>
        <w:t>-</w:t>
      </w:r>
      <w:r>
        <w:rPr>
          <w:rFonts w:hint="eastAsia"/>
          <w:color w:val="000000"/>
          <w:kern w:val="0"/>
          <w:szCs w:val="22"/>
          <w:lang w:val="en-US" w:eastAsia="zh-CN"/>
        </w:rPr>
        <w:t>8</w:t>
      </w:r>
      <w:r>
        <w:rPr>
          <w:rFonts w:hint="eastAsia"/>
          <w:color w:val="000000"/>
          <w:kern w:val="0"/>
          <w:szCs w:val="22"/>
        </w:rPr>
        <w:t>。项目分区防渗图</w:t>
      </w:r>
      <w:r>
        <w:rPr>
          <w:rFonts w:hint="eastAsia"/>
          <w:color w:val="000000"/>
          <w:kern w:val="0"/>
          <w:szCs w:val="22"/>
          <w:lang w:val="en-US" w:eastAsia="zh-CN"/>
        </w:rPr>
        <w:t>见附图</w:t>
      </w:r>
      <w:r>
        <w:rPr>
          <w:rFonts w:hint="eastAsia"/>
          <w:color w:val="000000"/>
        </w:rPr>
        <w:t>。</w:t>
      </w:r>
    </w:p>
    <w:p>
      <w:pPr>
        <w:widowControl w:val="0"/>
        <w:spacing w:line="240" w:lineRule="auto"/>
        <w:ind w:firstLine="0" w:firstLineChars="0"/>
        <w:jc w:val="center"/>
        <w:rPr>
          <w:rFonts w:hint="eastAsia" w:cs="宋体"/>
          <w:b/>
          <w:bCs/>
          <w:color w:val="000000"/>
          <w:sz w:val="21"/>
          <w:szCs w:val="21"/>
          <w:u w:val="single"/>
        </w:rPr>
      </w:pPr>
      <w:r>
        <w:rPr>
          <w:rFonts w:hint="eastAsia" w:cs="宋体"/>
          <w:b/>
          <w:bCs/>
          <w:color w:val="000000"/>
          <w:sz w:val="21"/>
          <w:szCs w:val="21"/>
          <w:u w:val="single"/>
        </w:rPr>
        <w:t>表</w:t>
      </w:r>
      <w:r>
        <w:rPr>
          <w:rFonts w:cs="宋体"/>
          <w:b/>
          <w:bCs/>
          <w:color w:val="000000"/>
          <w:sz w:val="21"/>
          <w:szCs w:val="21"/>
          <w:u w:val="single"/>
        </w:rPr>
        <w:t>5</w:t>
      </w:r>
      <w:r>
        <w:rPr>
          <w:rFonts w:hint="eastAsia" w:cs="宋体"/>
          <w:b/>
          <w:bCs/>
          <w:color w:val="000000"/>
          <w:sz w:val="21"/>
          <w:szCs w:val="21"/>
          <w:u w:val="single"/>
        </w:rPr>
        <w:t>.2</w:t>
      </w:r>
      <w:r>
        <w:rPr>
          <w:rFonts w:cs="宋体"/>
          <w:b/>
          <w:bCs/>
          <w:color w:val="000000"/>
          <w:sz w:val="21"/>
          <w:szCs w:val="21"/>
          <w:u w:val="single"/>
        </w:rPr>
        <w:t>-</w:t>
      </w:r>
      <w:r>
        <w:rPr>
          <w:rFonts w:hint="eastAsia" w:cs="宋体"/>
          <w:b/>
          <w:bCs/>
          <w:color w:val="000000"/>
          <w:sz w:val="21"/>
          <w:szCs w:val="21"/>
          <w:u w:val="single"/>
          <w:lang w:val="en-US" w:eastAsia="zh-CN"/>
        </w:rPr>
        <w:t>8</w:t>
      </w:r>
      <w:r>
        <w:rPr>
          <w:rFonts w:cs="宋体"/>
          <w:b/>
          <w:bCs/>
          <w:color w:val="000000"/>
          <w:sz w:val="21"/>
          <w:szCs w:val="21"/>
          <w:u w:val="single"/>
        </w:rPr>
        <w:t xml:space="preserve">  分区防渗一览表</w:t>
      </w:r>
    </w:p>
    <w:tbl>
      <w:tblPr>
        <w:tblStyle w:val="37"/>
        <w:tblpPr w:leftFromText="180" w:rightFromText="180" w:vertAnchor="text" w:horzAnchor="margin" w:tblpXSpec="center" w:tblpY="157"/>
        <w:tblW w:w="5052"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91"/>
        <w:gridCol w:w="1011"/>
        <w:gridCol w:w="754"/>
        <w:gridCol w:w="4811"/>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5" w:hRule="atLeast"/>
        </w:trPr>
        <w:tc>
          <w:tcPr>
            <w:tcW w:w="233"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r>
              <w:rPr>
                <w:rFonts w:hint="eastAsia" w:cs="黑体"/>
                <w:color w:val="000000"/>
                <w:sz w:val="21"/>
                <w:szCs w:val="21"/>
                <w:u w:val="single"/>
              </w:rPr>
              <w:t>序号</w:t>
            </w:r>
          </w:p>
        </w:tc>
        <w:tc>
          <w:tcPr>
            <w:tcW w:w="601"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r>
              <w:rPr>
                <w:rFonts w:hint="eastAsia" w:cs="黑体"/>
                <w:color w:val="000000"/>
                <w:sz w:val="21"/>
                <w:szCs w:val="21"/>
                <w:u w:val="single"/>
              </w:rPr>
              <w:t>名称</w:t>
            </w:r>
          </w:p>
        </w:tc>
        <w:tc>
          <w:tcPr>
            <w:tcW w:w="448"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r>
              <w:rPr>
                <w:rFonts w:hint="eastAsia" w:cs="黑体"/>
                <w:color w:val="000000"/>
                <w:sz w:val="21"/>
                <w:szCs w:val="21"/>
                <w:u w:val="single"/>
              </w:rPr>
              <w:t>防渗级别</w:t>
            </w:r>
          </w:p>
        </w:tc>
        <w:tc>
          <w:tcPr>
            <w:tcW w:w="2860"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r>
              <w:rPr>
                <w:rFonts w:hint="eastAsia" w:cs="黑体"/>
                <w:color w:val="000000"/>
                <w:sz w:val="21"/>
                <w:szCs w:val="21"/>
                <w:u w:val="single"/>
              </w:rPr>
              <w:t>防渗要求</w:t>
            </w:r>
          </w:p>
        </w:tc>
        <w:tc>
          <w:tcPr>
            <w:tcW w:w="856" w:type="pct"/>
            <w:noWrap w:val="0"/>
            <w:vAlign w:val="center"/>
          </w:tcPr>
          <w:p>
            <w:pPr>
              <w:widowControl w:val="0"/>
              <w:suppressAutoHyphens/>
              <w:topLinePunct/>
              <w:snapToGrid w:val="0"/>
              <w:spacing w:line="240" w:lineRule="auto"/>
              <w:ind w:firstLine="0" w:firstLineChars="0"/>
              <w:jc w:val="center"/>
              <w:rPr>
                <w:rFonts w:hint="eastAsia" w:eastAsia="宋体" w:cs="黑体"/>
                <w:color w:val="000000"/>
                <w:sz w:val="21"/>
                <w:szCs w:val="21"/>
                <w:u w:val="single"/>
                <w:lang w:eastAsia="zh-CN"/>
              </w:rPr>
            </w:pPr>
            <w:r>
              <w:rPr>
                <w:rFonts w:hint="eastAsia" w:cs="黑体"/>
                <w:color w:val="000000"/>
                <w:sz w:val="21"/>
                <w:szCs w:val="21"/>
                <w:u w:val="single"/>
                <w:lang w:eastAsia="zh-CN"/>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9" w:hRule="atLeast"/>
        </w:trPr>
        <w:tc>
          <w:tcPr>
            <w:tcW w:w="233"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p>
          <w:p>
            <w:pPr>
              <w:widowControl w:val="0"/>
              <w:suppressAutoHyphens/>
              <w:topLinePunct/>
              <w:snapToGrid w:val="0"/>
              <w:spacing w:line="240" w:lineRule="auto"/>
              <w:ind w:firstLine="0" w:firstLineChars="0"/>
              <w:jc w:val="center"/>
              <w:rPr>
                <w:rFonts w:cs="黑体"/>
                <w:color w:val="000000"/>
                <w:sz w:val="21"/>
                <w:szCs w:val="21"/>
                <w:u w:val="single"/>
              </w:rPr>
            </w:pPr>
            <w:r>
              <w:rPr>
                <w:rFonts w:cs="黑体"/>
                <w:color w:val="000000"/>
                <w:sz w:val="21"/>
                <w:szCs w:val="21"/>
                <w:u w:val="single"/>
              </w:rPr>
              <w:t>1</w:t>
            </w:r>
          </w:p>
        </w:tc>
        <w:tc>
          <w:tcPr>
            <w:tcW w:w="601"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r>
              <w:rPr>
                <w:rFonts w:hint="eastAsia" w:cs="黑体"/>
                <w:color w:val="000000"/>
                <w:sz w:val="21"/>
                <w:szCs w:val="21"/>
                <w:u w:val="single"/>
              </w:rPr>
              <w:t>污水管</w:t>
            </w:r>
          </w:p>
          <w:p>
            <w:pPr>
              <w:widowControl w:val="0"/>
              <w:suppressAutoHyphens/>
              <w:topLinePunct/>
              <w:snapToGrid w:val="0"/>
              <w:spacing w:line="240" w:lineRule="auto"/>
              <w:ind w:firstLine="0" w:firstLineChars="0"/>
              <w:jc w:val="center"/>
              <w:rPr>
                <w:rFonts w:cs="黑体"/>
                <w:color w:val="000000"/>
                <w:sz w:val="21"/>
                <w:szCs w:val="21"/>
                <w:u w:val="single"/>
              </w:rPr>
            </w:pPr>
            <w:r>
              <w:rPr>
                <w:rFonts w:hint="eastAsia" w:cs="黑体"/>
                <w:color w:val="000000"/>
                <w:sz w:val="21"/>
                <w:szCs w:val="21"/>
                <w:u w:val="single"/>
              </w:rPr>
              <w:t>（埋地）</w:t>
            </w:r>
          </w:p>
        </w:tc>
        <w:tc>
          <w:tcPr>
            <w:tcW w:w="448"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r>
              <w:rPr>
                <w:rFonts w:hint="eastAsia" w:cs="黑体"/>
                <w:color w:val="000000"/>
                <w:sz w:val="21"/>
                <w:szCs w:val="21"/>
                <w:u w:val="single"/>
              </w:rPr>
              <w:t>重点防渗区</w:t>
            </w:r>
          </w:p>
        </w:tc>
        <w:tc>
          <w:tcPr>
            <w:tcW w:w="2860"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r>
              <w:rPr>
                <w:rFonts w:hint="eastAsia" w:cs="黑体"/>
                <w:color w:val="000000"/>
                <w:sz w:val="21"/>
                <w:szCs w:val="21"/>
                <w:u w:val="single"/>
              </w:rPr>
              <w:t>粪污输送全部采用管道输送，管道材料应视输送介质的不同选择合适材质并做表面的防腐、防锈蚀处理，减轻</w:t>
            </w:r>
            <w:r>
              <w:rPr>
                <w:rFonts w:cs="黑体"/>
                <w:color w:val="000000"/>
                <w:sz w:val="21"/>
                <w:szCs w:val="21"/>
                <w:u w:val="single"/>
              </w:rPr>
              <w:t xml:space="preserve"> </w:t>
            </w:r>
            <w:r>
              <w:rPr>
                <w:rFonts w:hint="eastAsia" w:cs="黑体"/>
                <w:color w:val="000000"/>
                <w:sz w:val="21"/>
                <w:szCs w:val="21"/>
                <w:u w:val="single"/>
              </w:rPr>
              <w:t>管道腐蚀造成的渗漏，并进行定期检查，防止跑冒漏滴的现象发生。</w:t>
            </w:r>
          </w:p>
        </w:tc>
        <w:tc>
          <w:tcPr>
            <w:tcW w:w="856" w:type="pct"/>
            <w:noWrap w:val="0"/>
            <w:vAlign w:val="center"/>
          </w:tcPr>
          <w:p>
            <w:pPr>
              <w:widowControl w:val="0"/>
              <w:suppressAutoHyphens/>
              <w:topLinePunct/>
              <w:snapToGrid w:val="0"/>
              <w:spacing w:line="240" w:lineRule="auto"/>
              <w:ind w:firstLine="0" w:firstLineChars="0"/>
              <w:jc w:val="center"/>
              <w:rPr>
                <w:rFonts w:hint="eastAsia" w:eastAsia="宋体" w:cs="黑体"/>
                <w:color w:val="000000"/>
                <w:sz w:val="21"/>
                <w:szCs w:val="21"/>
                <w:u w:val="single"/>
                <w:lang w:eastAsia="zh-CN"/>
              </w:rPr>
            </w:pPr>
            <w:r>
              <w:rPr>
                <w:rFonts w:hint="eastAsia" w:cs="黑体"/>
                <w:color w:val="000000"/>
                <w:sz w:val="21"/>
                <w:szCs w:val="21"/>
                <w:u w:val="single"/>
                <w:lang w:eastAsia="zh-CN"/>
              </w:rPr>
              <w:t>采用防腐防渗漏可视管道，已进行防渗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1" w:hRule="atLeast"/>
        </w:trPr>
        <w:tc>
          <w:tcPr>
            <w:tcW w:w="233"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p>
          <w:p>
            <w:pPr>
              <w:widowControl w:val="0"/>
              <w:suppressAutoHyphens/>
              <w:topLinePunct/>
              <w:snapToGrid w:val="0"/>
              <w:spacing w:line="240" w:lineRule="auto"/>
              <w:ind w:firstLine="0" w:firstLineChars="0"/>
              <w:jc w:val="center"/>
              <w:rPr>
                <w:rFonts w:cs="黑体"/>
                <w:color w:val="000000"/>
                <w:sz w:val="21"/>
                <w:szCs w:val="21"/>
                <w:u w:val="single"/>
              </w:rPr>
            </w:pPr>
            <w:r>
              <w:rPr>
                <w:rFonts w:cs="黑体"/>
                <w:color w:val="000000"/>
                <w:sz w:val="21"/>
                <w:szCs w:val="21"/>
                <w:u w:val="single"/>
              </w:rPr>
              <w:t>2</w:t>
            </w:r>
          </w:p>
        </w:tc>
        <w:tc>
          <w:tcPr>
            <w:tcW w:w="601"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r>
              <w:rPr>
                <w:rFonts w:hint="eastAsia" w:cs="黑体"/>
                <w:color w:val="000000"/>
                <w:sz w:val="21"/>
                <w:szCs w:val="21"/>
                <w:u w:val="single"/>
              </w:rPr>
              <w:t>污水处理设施</w:t>
            </w:r>
          </w:p>
        </w:tc>
        <w:tc>
          <w:tcPr>
            <w:tcW w:w="448"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r>
              <w:rPr>
                <w:rFonts w:hint="eastAsia" w:cs="黑体"/>
                <w:color w:val="000000"/>
                <w:sz w:val="21"/>
                <w:szCs w:val="21"/>
                <w:u w:val="single"/>
              </w:rPr>
              <w:t>重点防渗区</w:t>
            </w:r>
          </w:p>
        </w:tc>
        <w:tc>
          <w:tcPr>
            <w:tcW w:w="2860"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r>
              <w:rPr>
                <w:rFonts w:hint="eastAsia" w:cs="黑体"/>
                <w:color w:val="000000"/>
                <w:sz w:val="21"/>
                <w:szCs w:val="21"/>
                <w:u w:val="single"/>
              </w:rPr>
              <w:t>池体采用钢筋混凝土加防渗剂的防渗地坪</w:t>
            </w:r>
            <w:r>
              <w:rPr>
                <w:rFonts w:cs="黑体"/>
                <w:color w:val="000000"/>
                <w:sz w:val="21"/>
                <w:szCs w:val="21"/>
                <w:u w:val="single"/>
              </w:rPr>
              <w:t>+</w:t>
            </w:r>
            <w:r>
              <w:rPr>
                <w:rFonts w:hint="eastAsia" w:cs="黑体"/>
                <w:color w:val="000000"/>
                <w:sz w:val="21"/>
                <w:szCs w:val="21"/>
                <w:u w:val="single"/>
              </w:rPr>
              <w:t>人工材料</w:t>
            </w:r>
          </w:p>
          <w:p>
            <w:pPr>
              <w:widowControl w:val="0"/>
              <w:suppressAutoHyphens/>
              <w:topLinePunct/>
              <w:snapToGrid w:val="0"/>
              <w:spacing w:line="240" w:lineRule="auto"/>
              <w:ind w:firstLine="0" w:firstLineChars="0"/>
              <w:jc w:val="center"/>
              <w:rPr>
                <w:rFonts w:cs="黑体"/>
                <w:color w:val="000000"/>
                <w:sz w:val="21"/>
                <w:szCs w:val="21"/>
                <w:u w:val="single"/>
              </w:rPr>
            </w:pPr>
            <w:r>
              <w:rPr>
                <w:rFonts w:hint="eastAsia" w:cs="黑体"/>
                <w:color w:val="000000"/>
                <w:sz w:val="21"/>
                <w:szCs w:val="21"/>
                <w:u w:val="single"/>
              </w:rPr>
              <w:t>（</w:t>
            </w:r>
            <w:r>
              <w:rPr>
                <w:rFonts w:cs="黑体"/>
                <w:color w:val="000000"/>
                <w:sz w:val="21"/>
                <w:szCs w:val="21"/>
                <w:u w:val="single"/>
              </w:rPr>
              <w:t xml:space="preserve"> HDPE </w:t>
            </w:r>
            <w:r>
              <w:rPr>
                <w:rFonts w:hint="eastAsia" w:cs="黑体"/>
                <w:color w:val="000000"/>
                <w:sz w:val="21"/>
                <w:szCs w:val="21"/>
                <w:u w:val="single"/>
              </w:rPr>
              <w:t>）防渗层，</w:t>
            </w:r>
            <w:r>
              <w:rPr>
                <w:rFonts w:cs="黑体"/>
                <w:color w:val="000000"/>
                <w:sz w:val="21"/>
                <w:szCs w:val="21"/>
                <w:u w:val="single"/>
              </w:rPr>
              <w:t xml:space="preserve"> </w:t>
            </w:r>
            <w:r>
              <w:rPr>
                <w:rFonts w:hint="eastAsia" w:cs="黑体"/>
                <w:color w:val="000000"/>
                <w:sz w:val="21"/>
                <w:szCs w:val="21"/>
                <w:u w:val="single"/>
              </w:rPr>
              <w:t>确保等效黏土防渗层</w:t>
            </w:r>
            <w:r>
              <w:rPr>
                <w:rFonts w:cs="黑体"/>
                <w:color w:val="000000"/>
                <w:sz w:val="21"/>
                <w:szCs w:val="21"/>
                <w:u w:val="single"/>
              </w:rPr>
              <w:t xml:space="preserve">Mb≥6.0m </w:t>
            </w:r>
            <w:r>
              <w:rPr>
                <w:rFonts w:hint="eastAsia" w:cs="黑体"/>
                <w:color w:val="000000"/>
                <w:sz w:val="21"/>
                <w:szCs w:val="21"/>
                <w:u w:val="single"/>
              </w:rPr>
              <w:t>，</w:t>
            </w:r>
            <w:r>
              <w:rPr>
                <w:rFonts w:cs="黑体"/>
                <w:color w:val="000000"/>
                <w:sz w:val="21"/>
                <w:szCs w:val="21"/>
                <w:u w:val="single"/>
              </w:rPr>
              <w:t xml:space="preserve"> K≤1×10</w:t>
            </w:r>
            <w:r>
              <w:rPr>
                <w:rFonts w:cs="黑体"/>
                <w:color w:val="000000"/>
                <w:sz w:val="21"/>
                <w:szCs w:val="21"/>
                <w:u w:val="single"/>
                <w:vertAlign w:val="superscript"/>
              </w:rPr>
              <w:t>-7</w:t>
            </w:r>
            <w:r>
              <w:rPr>
                <w:rFonts w:cs="黑体"/>
                <w:color w:val="000000"/>
                <w:sz w:val="21"/>
                <w:szCs w:val="21"/>
                <w:u w:val="single"/>
              </w:rPr>
              <w:t>cm/s</w:t>
            </w:r>
            <w:r>
              <w:rPr>
                <w:rFonts w:hint="eastAsia" w:cs="黑体"/>
                <w:color w:val="000000"/>
                <w:sz w:val="21"/>
                <w:szCs w:val="21"/>
                <w:u w:val="single"/>
              </w:rPr>
              <w:t>。</w:t>
            </w:r>
          </w:p>
        </w:tc>
        <w:tc>
          <w:tcPr>
            <w:tcW w:w="856" w:type="pct"/>
            <w:noWrap w:val="0"/>
            <w:vAlign w:val="center"/>
          </w:tcPr>
          <w:p>
            <w:pPr>
              <w:widowControl w:val="0"/>
              <w:suppressAutoHyphens/>
              <w:topLinePunct/>
              <w:snapToGrid w:val="0"/>
              <w:spacing w:line="240" w:lineRule="auto"/>
              <w:ind w:firstLine="0" w:firstLineChars="0"/>
              <w:jc w:val="center"/>
              <w:rPr>
                <w:rFonts w:hint="eastAsia" w:eastAsia="宋体" w:cs="黑体"/>
                <w:color w:val="000000"/>
                <w:sz w:val="21"/>
                <w:szCs w:val="21"/>
                <w:u w:val="single"/>
                <w:lang w:eastAsia="zh-CN"/>
              </w:rPr>
            </w:pPr>
            <w:r>
              <w:rPr>
                <w:rFonts w:hint="eastAsia" w:cs="黑体"/>
                <w:color w:val="000000"/>
                <w:sz w:val="21"/>
                <w:szCs w:val="21"/>
                <w:u w:val="single"/>
                <w:lang w:eastAsia="zh-CN"/>
              </w:rPr>
              <w:t>池体为钢筋混凝土加防渗剂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3" w:hRule="atLeast"/>
        </w:trPr>
        <w:tc>
          <w:tcPr>
            <w:tcW w:w="233"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r>
              <w:rPr>
                <w:rFonts w:cs="黑体"/>
                <w:color w:val="000000"/>
                <w:sz w:val="21"/>
                <w:szCs w:val="21"/>
                <w:u w:val="single"/>
              </w:rPr>
              <w:t>3</w:t>
            </w:r>
          </w:p>
        </w:tc>
        <w:tc>
          <w:tcPr>
            <w:tcW w:w="601"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r>
              <w:rPr>
                <w:rFonts w:hint="eastAsia" w:cs="黑体"/>
                <w:color w:val="000000"/>
                <w:sz w:val="21"/>
                <w:szCs w:val="21"/>
                <w:u w:val="single"/>
              </w:rPr>
              <w:t>污泥池</w:t>
            </w:r>
          </w:p>
        </w:tc>
        <w:tc>
          <w:tcPr>
            <w:tcW w:w="448"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r>
              <w:rPr>
                <w:rFonts w:hint="eastAsia" w:cs="黑体"/>
                <w:color w:val="000000"/>
                <w:sz w:val="21"/>
                <w:szCs w:val="21"/>
                <w:u w:val="single"/>
              </w:rPr>
              <w:t>重点防渗区</w:t>
            </w:r>
          </w:p>
        </w:tc>
        <w:tc>
          <w:tcPr>
            <w:tcW w:w="2860"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r>
              <w:rPr>
                <w:rFonts w:hint="eastAsia" w:cs="黑体"/>
                <w:color w:val="000000"/>
                <w:sz w:val="21"/>
                <w:szCs w:val="21"/>
                <w:u w:val="single"/>
              </w:rPr>
              <w:t>混凝土地面加铺防渗剂和人工材料（</w:t>
            </w:r>
            <w:r>
              <w:rPr>
                <w:rFonts w:cs="黑体"/>
                <w:color w:val="000000"/>
                <w:sz w:val="21"/>
                <w:szCs w:val="21"/>
                <w:u w:val="single"/>
              </w:rPr>
              <w:t>HDPE</w:t>
            </w:r>
            <w:r>
              <w:rPr>
                <w:rFonts w:hint="eastAsia" w:cs="黑体"/>
                <w:color w:val="000000"/>
                <w:sz w:val="21"/>
                <w:szCs w:val="21"/>
                <w:u w:val="single"/>
              </w:rPr>
              <w:t>）防渗层，确保等效黏土防渗层</w:t>
            </w:r>
            <w:r>
              <w:rPr>
                <w:rFonts w:cs="黑体"/>
                <w:color w:val="000000"/>
                <w:sz w:val="21"/>
                <w:szCs w:val="21"/>
                <w:u w:val="single"/>
              </w:rPr>
              <w:t xml:space="preserve"> Mb≥6.0m</w:t>
            </w:r>
            <w:r>
              <w:rPr>
                <w:rFonts w:hint="eastAsia" w:cs="黑体"/>
                <w:color w:val="000000"/>
                <w:sz w:val="21"/>
                <w:szCs w:val="21"/>
                <w:u w:val="single"/>
              </w:rPr>
              <w:t>，</w:t>
            </w:r>
            <w:r>
              <w:rPr>
                <w:rFonts w:cs="黑体"/>
                <w:color w:val="000000"/>
                <w:sz w:val="21"/>
                <w:szCs w:val="21"/>
                <w:u w:val="single"/>
              </w:rPr>
              <w:t>K≤1×10</w:t>
            </w:r>
            <w:r>
              <w:rPr>
                <w:rFonts w:cs="黑体"/>
                <w:color w:val="000000"/>
                <w:sz w:val="21"/>
                <w:szCs w:val="21"/>
                <w:u w:val="single"/>
                <w:vertAlign w:val="superscript"/>
              </w:rPr>
              <w:t>-7</w:t>
            </w:r>
            <w:r>
              <w:rPr>
                <w:rFonts w:cs="黑体"/>
                <w:color w:val="000000"/>
                <w:sz w:val="21"/>
                <w:szCs w:val="21"/>
                <w:u w:val="single"/>
              </w:rPr>
              <w:t>cm/s</w:t>
            </w:r>
            <w:r>
              <w:rPr>
                <w:rFonts w:hint="eastAsia" w:cs="黑体"/>
                <w:color w:val="000000"/>
                <w:sz w:val="21"/>
                <w:szCs w:val="21"/>
                <w:u w:val="single"/>
              </w:rPr>
              <w:t>。</w:t>
            </w:r>
          </w:p>
        </w:tc>
        <w:tc>
          <w:tcPr>
            <w:tcW w:w="856" w:type="pct"/>
            <w:noWrap w:val="0"/>
            <w:vAlign w:val="center"/>
          </w:tcPr>
          <w:p>
            <w:pPr>
              <w:widowControl w:val="0"/>
              <w:suppressAutoHyphens/>
              <w:topLinePunct/>
              <w:snapToGrid w:val="0"/>
              <w:spacing w:line="240" w:lineRule="auto"/>
              <w:ind w:firstLine="0" w:firstLineChars="0"/>
              <w:jc w:val="center"/>
              <w:rPr>
                <w:rFonts w:hint="eastAsia" w:cs="黑体"/>
                <w:color w:val="000000"/>
                <w:sz w:val="21"/>
                <w:szCs w:val="21"/>
                <w:u w:val="single"/>
              </w:rPr>
            </w:pPr>
            <w:r>
              <w:rPr>
                <w:rFonts w:hint="eastAsia" w:cs="黑体"/>
                <w:color w:val="000000"/>
                <w:sz w:val="21"/>
                <w:szCs w:val="21"/>
                <w:u w:val="single"/>
                <w:lang w:eastAsia="zh-CN"/>
              </w:rPr>
              <w:t>已进行防渗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3" w:hRule="atLeast"/>
        </w:trPr>
        <w:tc>
          <w:tcPr>
            <w:tcW w:w="233"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r>
              <w:rPr>
                <w:rFonts w:cs="黑体"/>
                <w:color w:val="000000"/>
                <w:sz w:val="21"/>
                <w:szCs w:val="21"/>
                <w:u w:val="single"/>
              </w:rPr>
              <w:t>6</w:t>
            </w:r>
          </w:p>
        </w:tc>
        <w:tc>
          <w:tcPr>
            <w:tcW w:w="601" w:type="pct"/>
            <w:noWrap w:val="0"/>
            <w:vAlign w:val="center"/>
          </w:tcPr>
          <w:p>
            <w:pPr>
              <w:widowControl w:val="0"/>
              <w:suppressAutoHyphens/>
              <w:topLinePunct/>
              <w:snapToGrid w:val="0"/>
              <w:spacing w:line="240" w:lineRule="auto"/>
              <w:ind w:firstLine="0" w:firstLineChars="0"/>
              <w:jc w:val="center"/>
              <w:rPr>
                <w:rFonts w:hint="eastAsia" w:eastAsia="宋体" w:cs="黑体"/>
                <w:color w:val="000000"/>
                <w:sz w:val="21"/>
                <w:szCs w:val="21"/>
                <w:u w:val="single"/>
                <w:lang w:eastAsia="zh-CN"/>
              </w:rPr>
            </w:pPr>
            <w:r>
              <w:rPr>
                <w:rFonts w:hint="eastAsia" w:cs="黑体"/>
                <w:color w:val="000000"/>
                <w:sz w:val="21"/>
                <w:szCs w:val="21"/>
                <w:u w:val="single"/>
                <w:lang w:eastAsia="zh-CN"/>
              </w:rPr>
              <w:t>配套用房</w:t>
            </w:r>
          </w:p>
        </w:tc>
        <w:tc>
          <w:tcPr>
            <w:tcW w:w="448"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r>
              <w:rPr>
                <w:rFonts w:hint="eastAsia" w:cs="黑体"/>
                <w:color w:val="000000"/>
                <w:sz w:val="21"/>
                <w:szCs w:val="21"/>
                <w:u w:val="single"/>
              </w:rPr>
              <w:t>一般防渗区</w:t>
            </w:r>
          </w:p>
        </w:tc>
        <w:tc>
          <w:tcPr>
            <w:tcW w:w="2860" w:type="pct"/>
            <w:noWrap w:val="0"/>
            <w:vAlign w:val="center"/>
          </w:tcPr>
          <w:p>
            <w:pPr>
              <w:widowControl w:val="0"/>
              <w:suppressAutoHyphens/>
              <w:topLinePunct/>
              <w:snapToGrid w:val="0"/>
              <w:spacing w:line="240" w:lineRule="auto"/>
              <w:ind w:firstLine="0" w:firstLineChars="0"/>
              <w:jc w:val="center"/>
              <w:rPr>
                <w:rFonts w:cs="黑体"/>
                <w:color w:val="000000"/>
                <w:sz w:val="21"/>
                <w:szCs w:val="21"/>
                <w:u w:val="single"/>
              </w:rPr>
            </w:pPr>
            <w:r>
              <w:rPr>
                <w:rFonts w:hint="eastAsia" w:cs="黑体"/>
                <w:color w:val="000000"/>
                <w:sz w:val="21"/>
                <w:szCs w:val="21"/>
                <w:u w:val="single"/>
              </w:rPr>
              <w:t>地面采取钢筋混凝土并涂覆防渗涂料，可使一般防渗区域的等效黏土防渗层</w:t>
            </w:r>
            <w:r>
              <w:rPr>
                <w:rFonts w:cs="黑体"/>
                <w:color w:val="000000"/>
                <w:sz w:val="21"/>
                <w:szCs w:val="21"/>
                <w:u w:val="single"/>
              </w:rPr>
              <w:t xml:space="preserve"> Mb≥1.5m</w:t>
            </w:r>
            <w:r>
              <w:rPr>
                <w:rFonts w:hint="eastAsia" w:cs="黑体"/>
                <w:color w:val="000000"/>
                <w:sz w:val="21"/>
                <w:szCs w:val="21"/>
                <w:u w:val="single"/>
              </w:rPr>
              <w:t>，</w:t>
            </w:r>
            <w:r>
              <w:rPr>
                <w:rFonts w:cs="黑体"/>
                <w:color w:val="000000"/>
                <w:sz w:val="21"/>
                <w:szCs w:val="21"/>
                <w:u w:val="single"/>
              </w:rPr>
              <w:t>K≤1×10</w:t>
            </w:r>
            <w:r>
              <w:rPr>
                <w:rFonts w:cs="黑体"/>
                <w:color w:val="000000"/>
                <w:sz w:val="21"/>
                <w:szCs w:val="21"/>
                <w:u w:val="single"/>
                <w:vertAlign w:val="superscript"/>
              </w:rPr>
              <w:t>-7</w:t>
            </w:r>
            <w:r>
              <w:rPr>
                <w:rFonts w:cs="黑体"/>
                <w:color w:val="000000"/>
                <w:sz w:val="21"/>
                <w:szCs w:val="21"/>
                <w:u w:val="single"/>
              </w:rPr>
              <w:t>cm/s</w:t>
            </w:r>
            <w:r>
              <w:rPr>
                <w:rFonts w:hint="eastAsia" w:cs="黑体"/>
                <w:color w:val="000000"/>
                <w:sz w:val="21"/>
                <w:szCs w:val="21"/>
                <w:u w:val="single"/>
              </w:rPr>
              <w:t>。</w:t>
            </w:r>
          </w:p>
        </w:tc>
        <w:tc>
          <w:tcPr>
            <w:tcW w:w="856" w:type="pct"/>
            <w:noWrap w:val="0"/>
            <w:vAlign w:val="center"/>
          </w:tcPr>
          <w:p>
            <w:pPr>
              <w:widowControl w:val="0"/>
              <w:suppressAutoHyphens/>
              <w:topLinePunct/>
              <w:snapToGrid w:val="0"/>
              <w:spacing w:line="240" w:lineRule="auto"/>
              <w:ind w:firstLine="0" w:firstLineChars="0"/>
              <w:jc w:val="center"/>
              <w:rPr>
                <w:rFonts w:hint="eastAsia" w:cs="黑体"/>
                <w:color w:val="000000"/>
                <w:sz w:val="21"/>
                <w:szCs w:val="21"/>
                <w:u w:val="single"/>
              </w:rPr>
            </w:pPr>
            <w:r>
              <w:rPr>
                <w:rFonts w:hint="eastAsia" w:cs="黑体"/>
                <w:color w:val="000000"/>
                <w:sz w:val="21"/>
                <w:szCs w:val="21"/>
                <w:u w:val="single"/>
                <w:lang w:eastAsia="zh-CN"/>
              </w:rPr>
              <w:t>已进行防渗</w:t>
            </w:r>
          </w:p>
        </w:tc>
      </w:tr>
    </w:tbl>
    <w:p>
      <w:pPr>
        <w:keepNext/>
        <w:keepLines/>
        <w:ind w:firstLine="0" w:firstLineChars="0"/>
        <w:outlineLvl w:val="3"/>
        <w:rPr>
          <w:b/>
          <w:color w:val="000000"/>
          <w:kern w:val="0"/>
          <w:u w:val="none"/>
          <w:lang w:bidi="zh-CN"/>
        </w:rPr>
      </w:pPr>
      <w:r>
        <w:rPr>
          <w:b/>
          <w:color w:val="000000"/>
          <w:kern w:val="0"/>
          <w:u w:val="none"/>
          <w:lang w:bidi="zh-CN"/>
        </w:rPr>
        <w:t>5</w:t>
      </w:r>
      <w:r>
        <w:rPr>
          <w:rFonts w:hint="eastAsia"/>
          <w:b/>
          <w:color w:val="000000"/>
          <w:kern w:val="0"/>
          <w:u w:val="none"/>
          <w:lang w:bidi="zh-CN"/>
        </w:rPr>
        <w:t>.2</w:t>
      </w:r>
      <w:r>
        <w:rPr>
          <w:b/>
          <w:color w:val="000000"/>
          <w:kern w:val="0"/>
          <w:u w:val="none"/>
          <w:lang w:bidi="zh-CN"/>
        </w:rPr>
        <w:t>.2</w:t>
      </w:r>
      <w:r>
        <w:rPr>
          <w:rFonts w:hint="eastAsia"/>
          <w:b/>
          <w:color w:val="000000"/>
          <w:kern w:val="0"/>
          <w:u w:val="none"/>
          <w:lang w:bidi="zh-CN"/>
        </w:rPr>
        <w:t>.</w:t>
      </w:r>
      <w:r>
        <w:rPr>
          <w:b/>
          <w:color w:val="000000"/>
          <w:kern w:val="0"/>
          <w:u w:val="none"/>
          <w:lang w:bidi="zh-CN"/>
        </w:rPr>
        <w:t>2</w:t>
      </w:r>
      <w:r>
        <w:rPr>
          <w:rFonts w:hint="eastAsia"/>
          <w:b/>
          <w:color w:val="000000"/>
          <w:kern w:val="0"/>
          <w:u w:val="none"/>
          <w:lang w:bidi="zh-CN"/>
        </w:rPr>
        <w:t>地下水环境监测与管理</w:t>
      </w:r>
    </w:p>
    <w:p>
      <w:pPr>
        <w:ind w:firstLine="482"/>
        <w:rPr>
          <w:rFonts w:hint="eastAsia"/>
          <w:b/>
          <w:bCs/>
          <w:color w:val="000000"/>
          <w:kern w:val="0"/>
          <w:u w:val="none"/>
        </w:rPr>
      </w:pPr>
      <w:r>
        <w:rPr>
          <w:rFonts w:hint="eastAsia"/>
          <w:b/>
          <w:bCs/>
          <w:color w:val="000000"/>
          <w:kern w:val="0"/>
          <w:u w:val="none"/>
        </w:rPr>
        <w:t>（1）地下水环境监测计划</w:t>
      </w:r>
    </w:p>
    <w:p>
      <w:pPr>
        <w:ind w:firstLine="480"/>
        <w:rPr>
          <w:color w:val="000000"/>
          <w:kern w:val="0"/>
          <w:u w:val="none"/>
        </w:rPr>
      </w:pPr>
      <w:r>
        <w:rPr>
          <w:rFonts w:hint="eastAsia"/>
          <w:color w:val="000000"/>
          <w:kern w:val="0"/>
          <w:u w:val="none"/>
        </w:rPr>
        <w:t>依据《环境影响评价技术导则 地下水环境》（HJ610-2016）相关要求布置地下水监测井。为了掌握本工程周围地下水环境质量状况和地下水体中污染物的动态变化，应对项目区进行地下水水质监测，以便及时准确地回馈地下水水质状况，为防止对地下水的污染采取相应的措施提供重要的依据。</w:t>
      </w:r>
    </w:p>
    <w:p>
      <w:pPr>
        <w:ind w:firstLine="482"/>
        <w:rPr>
          <w:rFonts w:hint="eastAsia"/>
          <w:b/>
          <w:bCs/>
          <w:color w:val="000000"/>
          <w:kern w:val="0"/>
          <w:u w:val="none"/>
        </w:rPr>
      </w:pPr>
      <w:r>
        <w:rPr>
          <w:rFonts w:hint="eastAsia"/>
          <w:b/>
          <w:bCs/>
          <w:color w:val="000000"/>
          <w:kern w:val="0"/>
          <w:u w:val="none"/>
        </w:rPr>
        <w:t>1）监测原则和重点</w:t>
      </w:r>
    </w:p>
    <w:p>
      <w:pPr>
        <w:ind w:firstLine="480"/>
        <w:rPr>
          <w:color w:val="000000"/>
          <w:kern w:val="0"/>
          <w:u w:val="none"/>
        </w:rPr>
      </w:pPr>
      <w:r>
        <w:rPr>
          <w:rFonts w:hint="eastAsia"/>
          <w:color w:val="000000"/>
          <w:kern w:val="0"/>
          <w:u w:val="none"/>
        </w:rPr>
        <w:t>①根据该项目的水文地质特点、影响区域及主要污染源在项目区上下游布设监测点位。设置监测井，监测点布设结合地下水流向等进行设计。</w:t>
      </w:r>
    </w:p>
    <w:p>
      <w:pPr>
        <w:ind w:firstLine="480"/>
        <w:rPr>
          <w:rFonts w:hint="eastAsia"/>
          <w:color w:val="000000"/>
          <w:kern w:val="0"/>
          <w:u w:val="none"/>
        </w:rPr>
      </w:pPr>
      <w:r>
        <w:rPr>
          <w:rFonts w:hint="eastAsia"/>
          <w:color w:val="000000"/>
          <w:kern w:val="0"/>
          <w:u w:val="none"/>
        </w:rPr>
        <w:t>②监测井同时作为事故污染时的应急处理截获井和抽水井；</w:t>
      </w:r>
    </w:p>
    <w:p>
      <w:pPr>
        <w:ind w:firstLine="480"/>
        <w:rPr>
          <w:rFonts w:hint="eastAsia"/>
          <w:color w:val="000000"/>
          <w:kern w:val="0"/>
          <w:u w:val="none"/>
        </w:rPr>
      </w:pPr>
      <w:r>
        <w:rPr>
          <w:rFonts w:hint="eastAsia"/>
          <w:color w:val="000000"/>
          <w:kern w:val="0"/>
          <w:u w:val="none"/>
        </w:rPr>
        <w:t>③枯、平、丰水期各一次，出现异常情况下应增加监测频率；</w:t>
      </w:r>
    </w:p>
    <w:p>
      <w:pPr>
        <w:ind w:firstLine="480"/>
        <w:rPr>
          <w:rFonts w:hint="eastAsia"/>
          <w:color w:val="000000"/>
          <w:kern w:val="0"/>
          <w:u w:val="none"/>
        </w:rPr>
      </w:pPr>
      <w:r>
        <w:rPr>
          <w:rFonts w:hint="eastAsia"/>
          <w:color w:val="000000"/>
          <w:kern w:val="0"/>
          <w:u w:val="none"/>
        </w:rPr>
        <w:t>④在污染事故等情况下，要加密监测点，同时增加监测频率，加密监测点以能控制污染扩散范围为原则，应结合污染物特征和水文地质条件进行布设。</w:t>
      </w:r>
    </w:p>
    <w:p>
      <w:pPr>
        <w:ind w:firstLine="482"/>
        <w:rPr>
          <w:rFonts w:hint="eastAsia"/>
          <w:b/>
          <w:bCs/>
          <w:color w:val="000000"/>
          <w:kern w:val="0"/>
        </w:rPr>
      </w:pPr>
      <w:r>
        <w:rPr>
          <w:rFonts w:hint="eastAsia"/>
          <w:b/>
          <w:bCs/>
          <w:color w:val="000000"/>
          <w:kern w:val="0"/>
          <w:lang w:val="en-US" w:eastAsia="zh-CN"/>
        </w:rPr>
        <w:t>2</w:t>
      </w:r>
      <w:r>
        <w:rPr>
          <w:rFonts w:hint="eastAsia"/>
          <w:b/>
          <w:bCs/>
          <w:color w:val="000000"/>
          <w:kern w:val="0"/>
        </w:rPr>
        <w:t>）监测点布设</w:t>
      </w:r>
    </w:p>
    <w:p>
      <w:pPr>
        <w:ind w:firstLine="480"/>
        <w:rPr>
          <w:rFonts w:hint="eastAsia" w:ascii="Times New Roman" w:hAnsi="Times New Roman" w:eastAsia="宋体" w:cs="Times New Roman"/>
          <w:color w:val="auto"/>
          <w:kern w:val="0"/>
          <w:u w:val="none"/>
        </w:rPr>
      </w:pPr>
      <w:r>
        <w:rPr>
          <w:rFonts w:hint="eastAsia" w:ascii="Times New Roman" w:hAnsi="Times New Roman" w:eastAsia="宋体" w:cs="Times New Roman"/>
          <w:color w:val="auto"/>
          <w:kern w:val="0"/>
          <w:u w:val="none"/>
        </w:rPr>
        <w:t>根据《环境影响评价技术导则-地下水环境》（HJ610-2016）相关要求，</w:t>
      </w:r>
      <w:r>
        <w:rPr>
          <w:rFonts w:hint="eastAsia" w:ascii="Times New Roman" w:hAnsi="Times New Roman" w:eastAsia="宋体" w:cs="Times New Roman"/>
          <w:color w:val="auto"/>
          <w:kern w:val="0"/>
          <w:u w:val="none"/>
          <w:lang w:eastAsia="zh-CN"/>
        </w:rPr>
        <w:t>二级评价一般不少于</w:t>
      </w:r>
      <w:r>
        <w:rPr>
          <w:rFonts w:hint="eastAsia" w:ascii="Times New Roman" w:hAnsi="Times New Roman" w:eastAsia="宋体" w:cs="Times New Roman"/>
          <w:color w:val="auto"/>
          <w:kern w:val="0"/>
          <w:u w:val="none"/>
          <w:lang w:val="en-US" w:eastAsia="zh-CN"/>
        </w:rPr>
        <w:t>3个监控点</w:t>
      </w:r>
      <w:r>
        <w:rPr>
          <w:rFonts w:hint="eastAsia" w:ascii="Times New Roman" w:hAnsi="Times New Roman" w:eastAsia="宋体" w:cs="Times New Roman"/>
          <w:color w:val="auto"/>
          <w:kern w:val="0"/>
          <w:u w:val="none"/>
        </w:rPr>
        <w:t>，本项目在厂区内布设1口地下水跟踪监测井，</w:t>
      </w:r>
      <w:r>
        <w:rPr>
          <w:rFonts w:hint="eastAsia" w:ascii="Times New Roman" w:hAnsi="Times New Roman" w:eastAsia="宋体" w:cs="Times New Roman"/>
          <w:color w:val="auto"/>
          <w:kern w:val="0"/>
          <w:u w:val="none"/>
          <w:lang w:eastAsia="zh-CN"/>
        </w:rPr>
        <w:t>项目地西侧</w:t>
      </w:r>
      <w:r>
        <w:rPr>
          <w:rFonts w:hint="eastAsia" w:ascii="Times New Roman" w:hAnsi="Times New Roman" w:eastAsia="宋体" w:cs="Times New Roman"/>
          <w:color w:val="auto"/>
          <w:kern w:val="0"/>
          <w:u w:val="none"/>
          <w:lang w:val="en-US" w:eastAsia="zh-CN"/>
        </w:rPr>
        <w:t>700米</w:t>
      </w:r>
      <w:r>
        <w:rPr>
          <w:rFonts w:hint="eastAsia" w:ascii="Times New Roman" w:hAnsi="Times New Roman" w:eastAsia="宋体" w:cs="Times New Roman"/>
          <w:color w:val="auto"/>
          <w:kern w:val="0"/>
          <w:u w:val="none"/>
          <w:lang w:eastAsia="zh-CN"/>
        </w:rPr>
        <w:t>卡地村水井</w:t>
      </w:r>
      <w:r>
        <w:rPr>
          <w:rFonts w:hint="eastAsia" w:ascii="Times New Roman" w:hAnsi="Times New Roman" w:eastAsia="宋体" w:cs="Times New Roman"/>
          <w:color w:val="auto"/>
          <w:kern w:val="0"/>
          <w:u w:val="none"/>
        </w:rPr>
        <w:t>布设1口地下水跟踪监测井（项目区上游），项目地东侧</w:t>
      </w:r>
      <w:r>
        <w:rPr>
          <w:rFonts w:hint="eastAsia" w:ascii="Times New Roman" w:hAnsi="Times New Roman" w:eastAsia="宋体" w:cs="Times New Roman"/>
          <w:color w:val="auto"/>
          <w:kern w:val="0"/>
          <w:u w:val="none"/>
          <w:lang w:val="en-US" w:eastAsia="zh-CN"/>
        </w:rPr>
        <w:t>1000</w:t>
      </w:r>
      <w:r>
        <w:rPr>
          <w:rFonts w:hint="eastAsia" w:ascii="Times New Roman" w:hAnsi="Times New Roman" w:eastAsia="宋体" w:cs="Times New Roman"/>
          <w:color w:val="auto"/>
          <w:kern w:val="0"/>
          <w:u w:val="none"/>
        </w:rPr>
        <w:t>米</w:t>
      </w:r>
      <w:r>
        <w:rPr>
          <w:rFonts w:hint="eastAsia" w:ascii="Times New Roman" w:hAnsi="Times New Roman" w:eastAsia="宋体" w:cs="Times New Roman"/>
          <w:color w:val="auto"/>
          <w:kern w:val="0"/>
          <w:u w:val="none"/>
          <w:lang w:eastAsia="zh-CN"/>
        </w:rPr>
        <w:t>苏家湾</w:t>
      </w:r>
      <w:r>
        <w:rPr>
          <w:rFonts w:hint="eastAsia" w:ascii="Times New Roman" w:hAnsi="Times New Roman" w:eastAsia="宋体" w:cs="Times New Roman"/>
          <w:color w:val="auto"/>
          <w:kern w:val="0"/>
          <w:u w:val="none"/>
        </w:rPr>
        <w:t>水井处（项目区下游），并定期监测，发现异常情况，及时上报，查明原因，并采取相应措施。</w:t>
      </w:r>
    </w:p>
    <w:p>
      <w:pPr>
        <w:ind w:firstLine="482"/>
        <w:rPr>
          <w:rFonts w:hint="eastAsia"/>
          <w:b/>
          <w:bCs/>
          <w:color w:val="000000"/>
          <w:kern w:val="0"/>
        </w:rPr>
      </w:pPr>
      <w:r>
        <w:rPr>
          <w:rFonts w:hint="eastAsia"/>
          <w:b/>
          <w:bCs/>
          <w:color w:val="000000"/>
          <w:kern w:val="0"/>
          <w:lang w:val="en-US" w:eastAsia="zh-CN"/>
        </w:rPr>
        <w:t>3</w:t>
      </w:r>
      <w:r>
        <w:rPr>
          <w:rFonts w:hint="eastAsia"/>
          <w:b/>
          <w:bCs/>
          <w:color w:val="000000"/>
          <w:kern w:val="0"/>
        </w:rPr>
        <w:t>）监测频率</w:t>
      </w:r>
    </w:p>
    <w:p>
      <w:pPr>
        <w:ind w:firstLine="480"/>
        <w:rPr>
          <w:rFonts w:hint="eastAsia" w:ascii="Times New Roman" w:hAnsi="Times New Roman" w:eastAsia="宋体" w:cs="Times New Roman"/>
          <w:color w:val="auto"/>
          <w:kern w:val="0"/>
          <w:u w:val="none"/>
          <w:lang w:eastAsia="zh-CN"/>
        </w:rPr>
      </w:pPr>
      <w:r>
        <w:rPr>
          <w:rFonts w:hint="eastAsia" w:ascii="Times New Roman" w:hAnsi="Times New Roman" w:eastAsia="宋体" w:cs="Times New Roman"/>
          <w:color w:val="auto"/>
          <w:kern w:val="0"/>
          <w:u w:val="none"/>
          <w:lang w:eastAsia="zh-CN"/>
        </w:rPr>
        <w:t>正常工况下每年枯水期监测一次，事故状态下连续监测。</w:t>
      </w:r>
    </w:p>
    <w:p>
      <w:pPr>
        <w:ind w:firstLine="482"/>
        <w:rPr>
          <w:rFonts w:hint="eastAsia"/>
          <w:b/>
          <w:bCs/>
          <w:color w:val="000000"/>
          <w:kern w:val="0"/>
        </w:rPr>
      </w:pPr>
      <w:r>
        <w:rPr>
          <w:rFonts w:hint="eastAsia"/>
          <w:b/>
          <w:bCs/>
          <w:color w:val="000000"/>
          <w:kern w:val="0"/>
          <w:lang w:val="en-US" w:eastAsia="zh-CN"/>
        </w:rPr>
        <w:t>4</w:t>
      </w:r>
      <w:r>
        <w:rPr>
          <w:rFonts w:hint="eastAsia"/>
          <w:b/>
          <w:bCs/>
          <w:color w:val="000000"/>
          <w:kern w:val="0"/>
        </w:rPr>
        <w:t>）监测因子</w:t>
      </w:r>
    </w:p>
    <w:p>
      <w:pPr>
        <w:widowControl w:val="0"/>
        <w:ind w:firstLine="480"/>
        <w:rPr>
          <w:rFonts w:hint="eastAsia"/>
          <w:color w:val="0000FF"/>
          <w:kern w:val="0"/>
        </w:rPr>
      </w:pPr>
      <w:r>
        <w:rPr>
          <w:rFonts w:hint="eastAsia"/>
          <w:color w:val="000000"/>
          <w:kern w:val="0"/>
        </w:rPr>
        <w:t>地下水水质监测项目包</w:t>
      </w:r>
      <w:r>
        <w:rPr>
          <w:rFonts w:hint="eastAsia"/>
          <w:color w:val="auto"/>
          <w:kern w:val="0"/>
        </w:rPr>
        <w:t xml:space="preserve">括： </w:t>
      </w:r>
      <w:r>
        <w:rPr>
          <w:rFonts w:hint="eastAsia"/>
          <w:color w:val="auto"/>
          <w:kern w:val="0"/>
          <w:lang w:eastAsia="zh-CN"/>
        </w:rPr>
        <w:t>锰、总铬、六价铬、总钒、铅、总锌</w:t>
      </w:r>
      <w:r>
        <w:rPr>
          <w:rFonts w:hint="eastAsia"/>
          <w:color w:val="auto"/>
          <w:kern w:val="0"/>
        </w:rPr>
        <w:t>。</w:t>
      </w:r>
    </w:p>
    <w:p>
      <w:pPr>
        <w:widowControl w:val="0"/>
        <w:ind w:firstLine="482"/>
        <w:rPr>
          <w:rFonts w:hint="eastAsia"/>
          <w:b/>
          <w:bCs/>
          <w:color w:val="000000"/>
          <w:kern w:val="0"/>
        </w:rPr>
      </w:pPr>
      <w:r>
        <w:rPr>
          <w:rFonts w:hint="eastAsia"/>
          <w:b/>
          <w:bCs/>
          <w:color w:val="000000"/>
          <w:kern w:val="0"/>
          <w:lang w:val="en-US" w:eastAsia="zh-CN"/>
        </w:rPr>
        <w:t>5</w:t>
      </w:r>
      <w:r>
        <w:rPr>
          <w:rFonts w:hint="eastAsia"/>
          <w:b/>
          <w:bCs/>
          <w:color w:val="000000"/>
          <w:kern w:val="0"/>
        </w:rPr>
        <w:t>）监测数据管理</w:t>
      </w:r>
    </w:p>
    <w:p>
      <w:pPr>
        <w:widowControl w:val="0"/>
        <w:ind w:firstLine="480"/>
        <w:rPr>
          <w:rFonts w:hint="eastAsia"/>
          <w:color w:val="000000"/>
          <w:kern w:val="0"/>
        </w:rPr>
      </w:pPr>
      <w:r>
        <w:rPr>
          <w:rFonts w:hint="eastAsia"/>
          <w:color w:val="000000"/>
          <w:kern w:val="0"/>
        </w:rPr>
        <w:t>上述监测结果应按相关规定及时建立档案，并定期向所在地环境保护行政主管部门汇报。公开常规监测资料。如发现异常或发生事故，应加密监测频次，并分析污染原因，及时采取相应措施。</w:t>
      </w:r>
    </w:p>
    <w:p>
      <w:pPr>
        <w:ind w:firstLine="482"/>
        <w:rPr>
          <w:rFonts w:hint="eastAsia"/>
          <w:b/>
          <w:bCs/>
          <w:color w:val="000000"/>
          <w:kern w:val="0"/>
        </w:rPr>
      </w:pPr>
      <w:r>
        <w:rPr>
          <w:rFonts w:hint="eastAsia"/>
          <w:b/>
          <w:bCs/>
          <w:color w:val="000000"/>
          <w:kern w:val="0"/>
        </w:rPr>
        <w:t>（2）地下水监测管理</w:t>
      </w:r>
    </w:p>
    <w:p>
      <w:pPr>
        <w:ind w:firstLine="480"/>
        <w:rPr>
          <w:rFonts w:hint="eastAsia"/>
          <w:color w:val="000000"/>
          <w:kern w:val="0"/>
        </w:rPr>
      </w:pPr>
      <w:r>
        <w:rPr>
          <w:rFonts w:hint="eastAsia"/>
          <w:color w:val="000000"/>
          <w:kern w:val="0"/>
        </w:rPr>
        <w:t>为保证地下水监测有效、有序管理，须制定相关规定、明确职责，采取以下管理措施和技术措施：</w:t>
      </w:r>
    </w:p>
    <w:p>
      <w:pPr>
        <w:ind w:firstLine="482"/>
        <w:rPr>
          <w:rFonts w:hint="eastAsia"/>
          <w:b/>
          <w:bCs/>
          <w:color w:val="000000"/>
          <w:kern w:val="0"/>
        </w:rPr>
      </w:pPr>
      <w:r>
        <w:rPr>
          <w:rFonts w:hint="eastAsia"/>
          <w:b/>
          <w:bCs/>
          <w:color w:val="000000"/>
          <w:kern w:val="0"/>
        </w:rPr>
        <w:t>1）管理措施：</w:t>
      </w:r>
    </w:p>
    <w:p>
      <w:pPr>
        <w:ind w:firstLine="480"/>
        <w:rPr>
          <w:rFonts w:hint="eastAsia"/>
          <w:color w:val="000000"/>
          <w:kern w:val="0"/>
        </w:rPr>
      </w:pPr>
      <w:r>
        <w:rPr>
          <w:rFonts w:hint="eastAsia"/>
          <w:color w:val="000000"/>
          <w:kern w:val="0"/>
        </w:rPr>
        <w:t>①防止地下水污染管理的职责属于环保管理部门的职责之一，应指派专人负责防止地下水污染管理工作。</w:t>
      </w:r>
    </w:p>
    <w:p>
      <w:pPr>
        <w:ind w:firstLine="480"/>
        <w:rPr>
          <w:rFonts w:hint="eastAsia"/>
          <w:color w:val="000000"/>
          <w:kern w:val="0"/>
        </w:rPr>
      </w:pPr>
      <w:r>
        <w:rPr>
          <w:rFonts w:hint="eastAsia"/>
          <w:color w:val="000000"/>
          <w:kern w:val="0"/>
        </w:rPr>
        <w:t>②应委托具有监测资质的单位负责地下水监测工作，按要求及时分析整理原始资料、监测报告的编写工作。</w:t>
      </w:r>
    </w:p>
    <w:p>
      <w:pPr>
        <w:ind w:firstLine="480"/>
        <w:rPr>
          <w:rFonts w:hint="eastAsia"/>
          <w:color w:val="000000"/>
          <w:kern w:val="0"/>
        </w:rPr>
      </w:pPr>
      <w:r>
        <w:rPr>
          <w:rFonts w:hint="eastAsia"/>
          <w:color w:val="000000"/>
          <w:kern w:val="0"/>
        </w:rPr>
        <w:t>③建立地下水监测数据信息管理系统。</w:t>
      </w:r>
    </w:p>
    <w:p>
      <w:pPr>
        <w:ind w:firstLine="480"/>
        <w:rPr>
          <w:rFonts w:hint="eastAsia"/>
          <w:color w:val="000000"/>
          <w:kern w:val="0"/>
        </w:rPr>
      </w:pPr>
      <w:r>
        <w:rPr>
          <w:rFonts w:hint="eastAsia"/>
          <w:color w:val="000000"/>
          <w:kern w:val="0"/>
        </w:rPr>
        <w:t>④根据实际情况，按事故的性质、类型、影响范围、严重后果分等级地制订相应的预案。在制定预案时要根据项目环境污染事故潜在威胁的情况，认真细致地考虑各项影响因素，适当的时候组织有关部门、人员进行演练，不断补充完善。</w:t>
      </w:r>
    </w:p>
    <w:p>
      <w:pPr>
        <w:ind w:firstLine="482"/>
        <w:rPr>
          <w:rFonts w:hint="eastAsia"/>
          <w:b/>
          <w:bCs/>
          <w:color w:val="000000"/>
          <w:kern w:val="0"/>
        </w:rPr>
      </w:pPr>
      <w:r>
        <w:rPr>
          <w:rFonts w:hint="eastAsia"/>
          <w:b/>
          <w:bCs/>
          <w:color w:val="000000"/>
          <w:kern w:val="0"/>
        </w:rPr>
        <w:t>2）技术措施：</w:t>
      </w:r>
    </w:p>
    <w:p>
      <w:pPr>
        <w:ind w:firstLine="480"/>
        <w:rPr>
          <w:color w:val="000000"/>
          <w:kern w:val="0"/>
        </w:rPr>
      </w:pPr>
      <w:r>
        <w:rPr>
          <w:rFonts w:hint="eastAsia"/>
          <w:color w:val="000000"/>
          <w:kern w:val="0"/>
        </w:rPr>
        <w:t>①按照《地下水环境监测技术规范》（HJ/T164-2004）要求，及时上报监测数据和有关表格。</w:t>
      </w:r>
    </w:p>
    <w:p>
      <w:pPr>
        <w:widowControl w:val="0"/>
        <w:ind w:firstLine="480"/>
        <w:rPr>
          <w:rFonts w:hint="eastAsia"/>
          <w:color w:val="000000"/>
          <w:kern w:val="0"/>
        </w:rPr>
      </w:pPr>
      <w:r>
        <w:rPr>
          <w:rFonts w:hint="eastAsia"/>
          <w:color w:val="000000"/>
          <w:kern w:val="0"/>
        </w:rPr>
        <w:t>②在日常例行监测中，一旦发现地下水水质监测数据异常，应尽快核查数据，确保数据的正确性。并将核查过的监测数据通告安全环保部门，由专人负责对数据进行分析、核实，并密切关注生产设施的运行情况，为防止地下水污染采取措施提供正确的依据。应采取的措施如下：了解项目运行是否出现异常情况，出现异常情况的装置、原因。加大监测密度，分析变化动向。</w:t>
      </w:r>
    </w:p>
    <w:p>
      <w:pPr>
        <w:ind w:firstLine="480"/>
        <w:rPr>
          <w:rFonts w:hint="eastAsia"/>
          <w:color w:val="000000"/>
          <w:kern w:val="0"/>
        </w:rPr>
      </w:pPr>
      <w:r>
        <w:rPr>
          <w:rFonts w:hint="eastAsia"/>
          <w:color w:val="000000"/>
          <w:kern w:val="0"/>
        </w:rPr>
        <w:t>③周期性地编写地下水动态监测报告。</w:t>
      </w:r>
    </w:p>
    <w:p>
      <w:pPr>
        <w:ind w:firstLine="480"/>
        <w:rPr>
          <w:rFonts w:hint="eastAsia"/>
          <w:color w:val="000000"/>
          <w:kern w:val="0"/>
        </w:rPr>
      </w:pPr>
      <w:r>
        <w:rPr>
          <w:rFonts w:hint="eastAsia"/>
          <w:color w:val="000000"/>
          <w:kern w:val="0"/>
        </w:rPr>
        <w:t>④定期对污染区的储罐、法兰、阀门、管道等进行检查。</w:t>
      </w:r>
    </w:p>
    <w:p>
      <w:pPr>
        <w:keepNext/>
        <w:keepLines/>
        <w:ind w:firstLine="0" w:firstLineChars="0"/>
        <w:outlineLvl w:val="3"/>
        <w:rPr>
          <w:rFonts w:hint="eastAsia"/>
          <w:b/>
          <w:color w:val="000000"/>
          <w:kern w:val="0"/>
          <w:lang w:bidi="zh-CN"/>
        </w:rPr>
      </w:pPr>
      <w:r>
        <w:rPr>
          <w:b/>
          <w:color w:val="000000"/>
          <w:kern w:val="0"/>
          <w:lang w:bidi="zh-CN"/>
        </w:rPr>
        <w:t>5.2.2.3</w:t>
      </w:r>
      <w:r>
        <w:rPr>
          <w:rFonts w:hint="eastAsia"/>
          <w:b/>
          <w:color w:val="000000"/>
          <w:kern w:val="0"/>
          <w:lang w:bidi="zh-CN"/>
        </w:rPr>
        <w:t>应急治理措施</w:t>
      </w:r>
    </w:p>
    <w:p>
      <w:pPr>
        <w:ind w:firstLine="482"/>
        <w:rPr>
          <w:rFonts w:hint="eastAsia"/>
          <w:b/>
          <w:bCs/>
          <w:color w:val="000000"/>
          <w:kern w:val="0"/>
        </w:rPr>
      </w:pPr>
      <w:r>
        <w:rPr>
          <w:rFonts w:hint="eastAsia"/>
          <w:b/>
          <w:bCs/>
          <w:color w:val="000000"/>
          <w:kern w:val="0"/>
        </w:rPr>
        <w:t>（1）风险应急预案</w:t>
      </w:r>
    </w:p>
    <w:p>
      <w:pPr>
        <w:ind w:firstLine="480"/>
        <w:rPr>
          <w:rFonts w:hint="eastAsia"/>
          <w:color w:val="000000"/>
          <w:kern w:val="0"/>
        </w:rPr>
      </w:pPr>
      <w:r>
        <w:rPr>
          <w:rFonts w:hint="eastAsia"/>
          <w:color w:val="000000"/>
          <w:kern w:val="0"/>
        </w:rPr>
        <w:t>制定风险事故应急预案的目的是为了在发生风险事故时，能以最快的速度发挥最大的效能，有序地实施救援，尽快控制事态的发展，降低事故对潜水和承压水含水层的污染。针对应急工作需要，参照相关技术导则，结合地下水污染治理的技术特点，制定地下水污染应急治理程序，具体见图</w:t>
      </w:r>
      <w:r>
        <w:rPr>
          <w:color w:val="000000"/>
          <w:kern w:val="0"/>
        </w:rPr>
        <w:t>6.2-1</w:t>
      </w:r>
      <w:r>
        <w:rPr>
          <w:rFonts w:hint="eastAsia"/>
          <w:color w:val="000000"/>
          <w:kern w:val="0"/>
        </w:rPr>
        <w:t>。</w:t>
      </w:r>
    </w:p>
    <w:p>
      <w:pPr>
        <w:ind w:firstLine="480"/>
        <w:rPr>
          <w:rFonts w:hint="eastAsia"/>
          <w:color w:val="000000"/>
          <w:kern w:val="0"/>
        </w:rPr>
      </w:pPr>
      <w:r>
        <w:rPr>
          <w:rFonts w:hint="eastAsia"/>
          <w:color w:val="000000"/>
          <w:kern w:val="0"/>
        </w:rPr>
        <w:t>应采取如下污染治理措施：</w:t>
      </w:r>
    </w:p>
    <w:p>
      <w:pPr>
        <w:ind w:firstLine="480"/>
        <w:rPr>
          <w:rFonts w:hint="eastAsia"/>
          <w:color w:val="000000"/>
          <w:kern w:val="0"/>
        </w:rPr>
      </w:pPr>
      <w:r>
        <w:rPr>
          <w:rFonts w:hint="eastAsia"/>
          <w:color w:val="000000"/>
          <w:kern w:val="0"/>
        </w:rPr>
        <w:t>1）一旦发生地下水污染事故，应立即启动应急预案。</w:t>
      </w:r>
    </w:p>
    <w:p>
      <w:pPr>
        <w:ind w:firstLine="480"/>
        <w:rPr>
          <w:rFonts w:hint="eastAsia"/>
          <w:color w:val="000000"/>
          <w:kern w:val="0"/>
        </w:rPr>
      </w:pPr>
      <w:r>
        <w:rPr>
          <w:rFonts w:hint="eastAsia"/>
          <w:color w:val="000000"/>
          <w:kern w:val="0"/>
        </w:rPr>
        <w:t>2）查明并切断水污染源。</w:t>
      </w:r>
    </w:p>
    <w:p>
      <w:pPr>
        <w:ind w:firstLine="480"/>
        <w:rPr>
          <w:rFonts w:hint="eastAsia"/>
          <w:color w:val="000000"/>
          <w:kern w:val="0"/>
        </w:rPr>
      </w:pPr>
      <w:r>
        <w:rPr>
          <w:rFonts w:hint="eastAsia"/>
          <w:color w:val="000000"/>
          <w:kern w:val="0"/>
        </w:rPr>
        <w:t>3）探明地下水污染深度、范围和污染程度。</w:t>
      </w:r>
    </w:p>
    <w:p>
      <w:pPr>
        <w:ind w:firstLine="480"/>
        <w:rPr>
          <w:rFonts w:hint="eastAsia"/>
          <w:color w:val="000000"/>
          <w:kern w:val="0"/>
        </w:rPr>
      </w:pPr>
      <w:r>
        <w:rPr>
          <w:rFonts w:hint="eastAsia"/>
          <w:color w:val="000000"/>
          <w:kern w:val="0"/>
        </w:rPr>
        <w:t>4）依据探明的地下水污染情况，合理布置截渗井，并进行试抽工作。</w:t>
      </w:r>
    </w:p>
    <w:p>
      <w:pPr>
        <w:ind w:firstLine="480"/>
        <w:rPr>
          <w:rFonts w:hint="eastAsia"/>
          <w:color w:val="000000"/>
          <w:kern w:val="0"/>
        </w:rPr>
      </w:pPr>
      <w:r>
        <w:rPr>
          <w:rFonts w:hint="eastAsia"/>
          <w:color w:val="000000"/>
          <w:kern w:val="0"/>
        </w:rPr>
        <w:t>5）依据抽水设计方案进行施工，抽取被污染的地下水体，并依据各井孔出水情况进行调整。</w:t>
      </w:r>
    </w:p>
    <w:p>
      <w:pPr>
        <w:ind w:firstLine="480"/>
        <w:rPr>
          <w:rFonts w:hint="eastAsia"/>
          <w:color w:val="000000"/>
          <w:kern w:val="0"/>
        </w:rPr>
      </w:pPr>
      <w:r>
        <w:rPr>
          <w:rFonts w:hint="eastAsia"/>
          <w:color w:val="000000"/>
          <w:kern w:val="0"/>
        </w:rPr>
        <w:t>6）将抽取的地下水进行集中收集处理，并送化验室进行化验分析。</w:t>
      </w:r>
    </w:p>
    <w:p>
      <w:pPr>
        <w:ind w:firstLine="480"/>
        <w:rPr>
          <w:rFonts w:hint="eastAsia"/>
          <w:color w:val="000000"/>
          <w:kern w:val="0"/>
        </w:rPr>
      </w:pPr>
      <w:r>
        <w:rPr>
          <w:rFonts w:hint="eastAsia"/>
          <w:color w:val="000000"/>
          <w:kern w:val="0"/>
        </w:rPr>
        <w:t>7）当地下水中的特征污染物浓度满足地下水功能区划的标准后，逐步停止抽水，并进行土壤修复治理工作。</w:t>
      </w:r>
    </w:p>
    <w:p>
      <w:pPr>
        <w:ind w:firstLine="482"/>
        <w:rPr>
          <w:rFonts w:hint="eastAsia"/>
          <w:b/>
          <w:bCs/>
          <w:color w:val="000000"/>
          <w:kern w:val="0"/>
        </w:rPr>
      </w:pPr>
      <w:r>
        <w:rPr>
          <w:rFonts w:hint="eastAsia"/>
          <w:b/>
          <w:bCs/>
          <w:color w:val="000000"/>
          <w:kern w:val="0"/>
        </w:rPr>
        <w:t>（2）相关建议</w:t>
      </w:r>
    </w:p>
    <w:p>
      <w:pPr>
        <w:ind w:firstLine="480"/>
        <w:rPr>
          <w:rFonts w:hint="eastAsia"/>
          <w:color w:val="000000"/>
          <w:kern w:val="0"/>
        </w:rPr>
      </w:pPr>
      <w:r>
        <w:rPr>
          <w:rFonts w:hint="eastAsia"/>
          <w:color w:val="000000"/>
          <w:kern w:val="0"/>
        </w:rPr>
        <w:t>1）地下水污染具有不易发现和一旦污染很难治理的特点，因此，防止地下水污染应遵循源头控制、防止渗漏、污染监测及事故应急处理的主动及被动防渗相结合的原则。</w:t>
      </w:r>
    </w:p>
    <w:p>
      <w:pPr>
        <w:ind w:firstLine="480"/>
        <w:rPr>
          <w:color w:val="000000"/>
          <w:kern w:val="0"/>
        </w:rPr>
      </w:pPr>
      <w:r>
        <w:rPr>
          <w:rFonts w:hint="eastAsia"/>
          <w:color w:val="000000"/>
          <w:kern w:val="0"/>
        </w:rPr>
        <w:t>2）地下水污染情况勘察是一项专业性很强的工作，一旦发生污染事故，应委托具有水文地质勘察资质的单位查明地下水污染情况。</w:t>
      </w:r>
    </w:p>
    <w:p>
      <w:pPr>
        <w:ind w:firstLine="480"/>
        <w:rPr>
          <w:color w:val="000000"/>
          <w:kern w:val="0"/>
        </w:rPr>
      </w:pPr>
      <w:r>
        <w:rPr>
          <w:rFonts w:hint="eastAsia"/>
          <w:color w:val="000000"/>
          <w:kern w:val="0"/>
        </w:rPr>
        <w:t>3）当污染事故发生后，污染物首先渗透到不饱和层，然后依据污染物的特性、土壤结构以及场地状况等因素，污染物可能渗透至含水层，而污染地下水。地下水一旦污染，治理非常困难，建设单位应重视地下水污染预防的重要性，确保各项预防措施落实到位、运行正常。</w:t>
      </w:r>
    </w:p>
    <w:p>
      <w:pPr>
        <w:ind w:firstLine="480"/>
        <w:rPr>
          <w:color w:val="000000"/>
        </w:rPr>
      </w:pPr>
      <w:r>
        <w:rPr>
          <w:color w:val="000000"/>
        </w:rPr>
        <w:drawing>
          <wp:inline distT="0" distB="0" distL="114300" distR="114300">
            <wp:extent cx="5274945" cy="5910580"/>
            <wp:effectExtent l="0" t="0" r="1905" b="13970"/>
            <wp:docPr id="1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true"/>
                    </pic:cNvPicPr>
                  </pic:nvPicPr>
                  <pic:blipFill>
                    <a:blip r:embed="rId66"/>
                    <a:stretch>
                      <a:fillRect/>
                    </a:stretch>
                  </pic:blipFill>
                  <pic:spPr>
                    <a:xfrm>
                      <a:off x="0" y="0"/>
                      <a:ext cx="5274945" cy="5910580"/>
                    </a:xfrm>
                    <a:prstGeom prst="rect">
                      <a:avLst/>
                    </a:prstGeom>
                    <a:noFill/>
                    <a:ln>
                      <a:noFill/>
                    </a:ln>
                  </pic:spPr>
                </pic:pic>
              </a:graphicData>
            </a:graphic>
          </wp:inline>
        </w:drawing>
      </w:r>
    </w:p>
    <w:p>
      <w:pPr>
        <w:widowControl w:val="0"/>
        <w:spacing w:line="240" w:lineRule="auto"/>
        <w:ind w:firstLine="0" w:firstLineChars="0"/>
        <w:jc w:val="center"/>
        <w:rPr>
          <w:rFonts w:hint="eastAsia"/>
          <w:b/>
          <w:color w:val="000000"/>
          <w:kern w:val="0"/>
          <w:sz w:val="21"/>
        </w:rPr>
      </w:pPr>
      <w:r>
        <w:rPr>
          <w:rFonts w:hint="eastAsia"/>
          <w:b/>
          <w:color w:val="000000"/>
          <w:kern w:val="0"/>
          <w:sz w:val="21"/>
        </w:rPr>
        <w:t>图</w:t>
      </w:r>
      <w:r>
        <w:rPr>
          <w:b/>
          <w:color w:val="000000"/>
          <w:kern w:val="0"/>
          <w:sz w:val="21"/>
        </w:rPr>
        <w:t>5</w:t>
      </w:r>
      <w:r>
        <w:rPr>
          <w:rFonts w:hint="eastAsia"/>
          <w:b/>
          <w:color w:val="000000"/>
          <w:kern w:val="0"/>
          <w:sz w:val="21"/>
        </w:rPr>
        <w:t>.2</w:t>
      </w:r>
      <w:r>
        <w:rPr>
          <w:b/>
          <w:color w:val="000000"/>
          <w:kern w:val="0"/>
          <w:sz w:val="21"/>
        </w:rPr>
        <w:t xml:space="preserve">-1 </w:t>
      </w:r>
      <w:r>
        <w:rPr>
          <w:rFonts w:hint="eastAsia"/>
          <w:b/>
          <w:color w:val="000000"/>
          <w:kern w:val="0"/>
          <w:sz w:val="21"/>
        </w:rPr>
        <w:t>地下水污染应急治理程序框图</w:t>
      </w:r>
    </w:p>
    <w:p>
      <w:pPr>
        <w:pStyle w:val="8"/>
        <w:spacing w:before="163"/>
        <w:rPr>
          <w:rFonts w:hint="eastAsia"/>
          <w:color w:val="000000"/>
        </w:rPr>
      </w:pPr>
      <w:r>
        <w:rPr>
          <w:color w:val="000000"/>
        </w:rPr>
        <w:t>5</w:t>
      </w:r>
      <w:r>
        <w:rPr>
          <w:rFonts w:hint="eastAsia"/>
          <w:color w:val="000000"/>
        </w:rPr>
        <w:t>.2.</w:t>
      </w:r>
      <w:r>
        <w:rPr>
          <w:rFonts w:hint="eastAsia"/>
          <w:color w:val="000000"/>
          <w:lang w:val="en-US" w:eastAsia="zh-CN"/>
        </w:rPr>
        <w:t>3</w:t>
      </w:r>
      <w:r>
        <w:rPr>
          <w:rFonts w:hint="eastAsia"/>
          <w:color w:val="000000"/>
        </w:rPr>
        <w:t>废气环境防治措施分析</w:t>
      </w:r>
    </w:p>
    <w:p>
      <w:pPr>
        <w:ind w:firstLine="482"/>
        <w:rPr>
          <w:rFonts w:hint="eastAsia"/>
          <w:b/>
          <w:color w:val="000000"/>
          <w:kern w:val="0"/>
          <w:u w:val="single"/>
        </w:rPr>
      </w:pPr>
      <w:r>
        <w:rPr>
          <w:rFonts w:hint="eastAsia"/>
          <w:b/>
          <w:color w:val="000000"/>
          <w:kern w:val="0"/>
          <w:u w:val="single"/>
        </w:rPr>
        <w:t>（1）污水处理</w:t>
      </w:r>
      <w:r>
        <w:rPr>
          <w:rFonts w:hint="eastAsia"/>
          <w:b/>
          <w:color w:val="000000"/>
          <w:kern w:val="0"/>
          <w:u w:val="single"/>
          <w:lang w:eastAsia="zh-CN"/>
        </w:rPr>
        <w:t>站</w:t>
      </w:r>
      <w:r>
        <w:rPr>
          <w:rFonts w:hint="eastAsia"/>
          <w:b/>
          <w:color w:val="000000"/>
          <w:kern w:val="0"/>
          <w:u w:val="single"/>
        </w:rPr>
        <w:t>工程</w:t>
      </w:r>
    </w:p>
    <w:p>
      <w:pPr>
        <w:pStyle w:val="16"/>
        <w:ind w:left="0" w:firstLine="480" w:firstLineChars="200"/>
        <w:rPr>
          <w:rFonts w:hint="eastAsia" w:ascii="Times New Roman" w:hAnsi="Times New Roman" w:eastAsia="宋体" w:cs="Times New Roman"/>
          <w:color w:val="000000"/>
          <w:u w:val="single"/>
          <w:lang w:eastAsia="zh-CN"/>
        </w:rPr>
      </w:pPr>
      <w:r>
        <w:rPr>
          <w:rFonts w:hint="eastAsia" w:ascii="Times New Roman" w:hAnsi="Times New Roman" w:cs="Times New Roman"/>
          <w:color w:val="000000"/>
          <w:u w:val="single"/>
          <w:lang w:eastAsia="zh-CN"/>
        </w:rPr>
        <w:t>本项目</w:t>
      </w:r>
      <w:r>
        <w:rPr>
          <w:rFonts w:hint="eastAsia" w:ascii="Times New Roman" w:hAnsi="Times New Roman" w:cs="Times New Roman"/>
          <w:color w:val="000000"/>
          <w:u w:val="single"/>
        </w:rPr>
        <w:t>运营期污水主要污染物为重金属，</w:t>
      </w:r>
      <w:r>
        <w:rPr>
          <w:rFonts w:hint="eastAsia" w:ascii="Times New Roman" w:hAnsi="Times New Roman" w:cs="Times New Roman"/>
          <w:color w:val="000000"/>
          <w:u w:val="single"/>
          <w:lang w:eastAsia="zh-CN"/>
        </w:rPr>
        <w:t>项目采用工艺为“化学混凝沉淀分离+石英砂过滤”，不考虑对</w:t>
      </w:r>
      <w:r>
        <w:rPr>
          <w:rFonts w:hint="eastAsia" w:ascii="Times New Roman" w:hAnsi="Times New Roman" w:cs="Times New Roman"/>
          <w:color w:val="000000"/>
          <w:u w:val="single"/>
        </w:rPr>
        <w:t>有机物COD、BOD</w:t>
      </w:r>
      <w:r>
        <w:rPr>
          <w:rFonts w:hint="eastAsia" w:ascii="Times New Roman" w:hAnsi="Times New Roman" w:cs="Times New Roman"/>
          <w:color w:val="000000"/>
          <w:u w:val="single"/>
          <w:lang w:eastAsia="zh-CN"/>
        </w:rPr>
        <w:t>进行处理</w:t>
      </w:r>
      <w:r>
        <w:rPr>
          <w:rFonts w:hint="eastAsia" w:ascii="Times New Roman" w:hAnsi="Times New Roman" w:cs="Times New Roman"/>
          <w:color w:val="000000"/>
          <w:u w:val="single"/>
        </w:rPr>
        <w:t>，不会产生氨、硫化氢恶臭气体</w:t>
      </w:r>
      <w:r>
        <w:rPr>
          <w:rFonts w:hint="eastAsia" w:ascii="Times New Roman" w:hAnsi="Times New Roman" w:cs="Times New Roman"/>
          <w:color w:val="000000"/>
          <w:u w:val="single"/>
          <w:lang w:eastAsia="zh-CN"/>
        </w:rPr>
        <w:t>，项目在处理过程中会加入盐酸，会产生少量酸性气体挥发，为无组织排放，排放量较少，对环境影响可以接受，不会改变区域环境质量现状，本环评仅进行定性分析。</w:t>
      </w:r>
    </w:p>
    <w:p>
      <w:pPr>
        <w:ind w:firstLine="480"/>
        <w:rPr>
          <w:rFonts w:hint="eastAsia"/>
          <w:b/>
          <w:bCs/>
          <w:color w:val="000000"/>
          <w:kern w:val="0"/>
          <w:u w:val="single"/>
        </w:rPr>
      </w:pPr>
      <w:r>
        <w:rPr>
          <w:rFonts w:hint="eastAsia"/>
          <w:b/>
          <w:bCs/>
          <w:color w:val="000000"/>
          <w:kern w:val="0"/>
          <w:u w:val="single"/>
        </w:rPr>
        <w:t>2）食堂油烟</w:t>
      </w:r>
    </w:p>
    <w:p>
      <w:pPr>
        <w:ind w:firstLine="480"/>
        <w:rPr>
          <w:rFonts w:hint="eastAsia"/>
          <w:color w:val="000000"/>
          <w:kern w:val="0"/>
          <w:u w:val="single"/>
        </w:rPr>
      </w:pPr>
      <w:r>
        <w:rPr>
          <w:rFonts w:hint="eastAsia"/>
          <w:color w:val="000000"/>
          <w:kern w:val="0"/>
          <w:u w:val="single"/>
          <w:lang w:eastAsia="zh-CN"/>
        </w:rPr>
        <w:t>项目仅设置值班室，不设置有厨房，无油烟废气产生</w:t>
      </w:r>
      <w:r>
        <w:rPr>
          <w:rFonts w:hint="eastAsia"/>
          <w:color w:val="000000"/>
          <w:kern w:val="0"/>
          <w:u w:val="single"/>
        </w:rPr>
        <w:t>。</w:t>
      </w:r>
    </w:p>
    <w:p>
      <w:pPr>
        <w:pStyle w:val="8"/>
        <w:spacing w:before="120"/>
        <w:rPr>
          <w:color w:val="000000"/>
        </w:rPr>
      </w:pPr>
      <w:r>
        <w:rPr>
          <w:color w:val="000000"/>
        </w:rPr>
        <w:t>5</w:t>
      </w:r>
      <w:r>
        <w:rPr>
          <w:rFonts w:hint="eastAsia"/>
          <w:color w:val="000000"/>
        </w:rPr>
        <w:t>.2.</w:t>
      </w:r>
      <w:r>
        <w:rPr>
          <w:rFonts w:hint="eastAsia"/>
          <w:color w:val="000000"/>
          <w:lang w:val="en-US" w:eastAsia="zh-CN"/>
        </w:rPr>
        <w:t>4</w:t>
      </w:r>
      <w:r>
        <w:rPr>
          <w:rFonts w:hint="eastAsia"/>
          <w:color w:val="000000"/>
        </w:rPr>
        <w:t xml:space="preserve"> 噪声环境防治措施分析</w:t>
      </w:r>
    </w:p>
    <w:p>
      <w:pPr>
        <w:ind w:firstLine="480"/>
        <w:rPr>
          <w:color w:val="000000"/>
        </w:rPr>
      </w:pPr>
      <w:r>
        <w:rPr>
          <w:color w:val="000000"/>
        </w:rPr>
        <w:t>污水处理工程主要噪声源为污水处理</w:t>
      </w:r>
      <w:r>
        <w:rPr>
          <w:rFonts w:hint="eastAsia"/>
          <w:color w:val="000000"/>
          <w:lang w:eastAsia="zh-CN"/>
        </w:rPr>
        <w:t>站</w:t>
      </w:r>
      <w:r>
        <w:rPr>
          <w:color w:val="000000"/>
        </w:rPr>
        <w:t>的设备噪声，包括污水泵、污泥泵、鼓风机、污泥脱水机等，噪声污染防治主要可从噪声源、传播途径以及接受者三方面进行防护，采取如下措施：</w:t>
      </w:r>
    </w:p>
    <w:p>
      <w:pPr>
        <w:ind w:firstLine="480"/>
        <w:rPr>
          <w:color w:val="000000"/>
          <w:kern w:val="0"/>
        </w:rPr>
      </w:pPr>
      <w:r>
        <w:rPr>
          <w:color w:val="000000"/>
          <w:kern w:val="0"/>
        </w:rPr>
        <w:t>（1）尽量选用低噪声设备，大型设备均安装减震座垫。</w:t>
      </w:r>
    </w:p>
    <w:p>
      <w:pPr>
        <w:ind w:firstLine="480"/>
        <w:rPr>
          <w:color w:val="000000"/>
          <w:kern w:val="0"/>
        </w:rPr>
      </w:pPr>
      <w:r>
        <w:rPr>
          <w:color w:val="000000"/>
          <w:kern w:val="0"/>
        </w:rPr>
        <w:t>（2）采用</w:t>
      </w:r>
      <w:r>
        <w:rPr>
          <w:rFonts w:hint="eastAsia"/>
          <w:color w:val="000000"/>
          <w:kern w:val="0"/>
        </w:rPr>
        <w:t>“</w:t>
      </w:r>
      <w:r>
        <w:rPr>
          <w:color w:val="000000"/>
          <w:kern w:val="0"/>
        </w:rPr>
        <w:t>闹静分开</w:t>
      </w:r>
      <w:r>
        <w:rPr>
          <w:rFonts w:hint="eastAsia"/>
          <w:color w:val="000000"/>
          <w:kern w:val="0"/>
        </w:rPr>
        <w:t>”</w:t>
      </w:r>
      <w:r>
        <w:rPr>
          <w:color w:val="000000"/>
          <w:kern w:val="0"/>
        </w:rPr>
        <w:t>和</w:t>
      </w:r>
      <w:r>
        <w:rPr>
          <w:rFonts w:hint="eastAsia"/>
          <w:color w:val="000000"/>
          <w:kern w:val="0"/>
        </w:rPr>
        <w:t>“</w:t>
      </w:r>
      <w:r>
        <w:rPr>
          <w:color w:val="000000"/>
          <w:kern w:val="0"/>
        </w:rPr>
        <w:t>合理布局</w:t>
      </w:r>
      <w:r>
        <w:rPr>
          <w:rFonts w:hint="eastAsia"/>
          <w:color w:val="000000"/>
          <w:kern w:val="0"/>
        </w:rPr>
        <w:t>”</w:t>
      </w:r>
      <w:r>
        <w:rPr>
          <w:color w:val="000000"/>
          <w:kern w:val="0"/>
        </w:rPr>
        <w:t>的设计原则，使高噪声设备尽可能远离噪声敏感区</w:t>
      </w:r>
      <w:r>
        <w:rPr>
          <w:rFonts w:hint="eastAsia"/>
          <w:color w:val="000000"/>
          <w:kern w:val="0"/>
        </w:rPr>
        <w:t>（北侧小庄村居民点）</w:t>
      </w:r>
      <w:r>
        <w:rPr>
          <w:color w:val="000000"/>
          <w:kern w:val="0"/>
        </w:rPr>
        <w:t>。把车间的噪声影响限制在厂区范围内，降低噪声对外界的影响，确保厂界噪声符合标准要求。</w:t>
      </w:r>
    </w:p>
    <w:p>
      <w:pPr>
        <w:ind w:firstLine="480"/>
        <w:rPr>
          <w:color w:val="000000"/>
          <w:kern w:val="0"/>
        </w:rPr>
      </w:pPr>
      <w:r>
        <w:rPr>
          <w:color w:val="000000"/>
          <w:kern w:val="0"/>
        </w:rPr>
        <w:t>（3）鼓风机房采取减振、隔音、地下廊道式送风等措施。</w:t>
      </w:r>
    </w:p>
    <w:p>
      <w:pPr>
        <w:ind w:firstLine="480"/>
        <w:rPr>
          <w:color w:val="000000"/>
          <w:kern w:val="0"/>
        </w:rPr>
      </w:pPr>
      <w:r>
        <w:rPr>
          <w:color w:val="000000"/>
          <w:kern w:val="0"/>
        </w:rPr>
        <w:t>（4）风机的进、出气口设阻抗复合式消声器。风机安装减振底座，管道、阀门接口采用缓动及减振的挠性接头（口）。挠性接头（口）可有效地阻断噪音并防止震动的传播。</w:t>
      </w:r>
    </w:p>
    <w:p>
      <w:pPr>
        <w:ind w:firstLine="480"/>
        <w:rPr>
          <w:color w:val="000000"/>
          <w:kern w:val="0"/>
        </w:rPr>
      </w:pPr>
      <w:r>
        <w:rPr>
          <w:color w:val="000000"/>
          <w:kern w:val="0"/>
        </w:rPr>
        <w:t>（5）鼓风机房噪声较大，为保护操作人员，应设置隔声操作室。</w:t>
      </w:r>
    </w:p>
    <w:p>
      <w:pPr>
        <w:ind w:firstLine="480"/>
        <w:rPr>
          <w:color w:val="000000"/>
          <w:kern w:val="0"/>
        </w:rPr>
      </w:pPr>
      <w:r>
        <w:rPr>
          <w:color w:val="000000"/>
          <w:kern w:val="0"/>
        </w:rPr>
        <w:t>（6）污水泵房工作时应关闭门窗，泵房内采用隔音、吸引材料装饰墙体，确保厂界噪声满足标准要求。</w:t>
      </w:r>
    </w:p>
    <w:p>
      <w:pPr>
        <w:ind w:firstLine="480"/>
        <w:rPr>
          <w:color w:val="000000"/>
          <w:kern w:val="0"/>
        </w:rPr>
      </w:pPr>
      <w:r>
        <w:rPr>
          <w:color w:val="000000"/>
          <w:kern w:val="0"/>
        </w:rPr>
        <w:t>（7）在厂界周围种植绿化树种，增减噪声衰减量</w:t>
      </w:r>
    </w:p>
    <w:p>
      <w:pPr>
        <w:ind w:firstLine="480"/>
        <w:rPr>
          <w:color w:val="auto"/>
          <w:kern w:val="0"/>
          <w:u w:val="single"/>
        </w:rPr>
      </w:pPr>
      <w:r>
        <w:rPr>
          <w:rFonts w:hint="eastAsia"/>
          <w:color w:val="auto"/>
          <w:kern w:val="0"/>
          <w:u w:val="single"/>
          <w:lang w:eastAsia="zh-CN"/>
        </w:rPr>
        <w:t>（</w:t>
      </w:r>
      <w:r>
        <w:rPr>
          <w:rFonts w:hint="eastAsia"/>
          <w:color w:val="auto"/>
          <w:kern w:val="0"/>
          <w:u w:val="single"/>
          <w:lang w:val="en-US" w:eastAsia="zh-CN"/>
        </w:rPr>
        <w:t>8</w:t>
      </w:r>
      <w:r>
        <w:rPr>
          <w:rFonts w:hint="eastAsia"/>
          <w:color w:val="auto"/>
          <w:kern w:val="0"/>
          <w:u w:val="single"/>
          <w:lang w:eastAsia="zh-CN"/>
        </w:rPr>
        <w:t>）根据项目实际建设情况，项目污水提升泵站设置为地下式，提升泵设置地埋式，可以有效减少噪声的产生，同时减少单位选用低噪声设备，并已安装减震座垫</w:t>
      </w:r>
      <w:r>
        <w:rPr>
          <w:color w:val="auto"/>
          <w:kern w:val="0"/>
          <w:u w:val="single"/>
        </w:rPr>
        <w:t>。</w:t>
      </w:r>
    </w:p>
    <w:p>
      <w:pPr>
        <w:pStyle w:val="8"/>
        <w:spacing w:before="120"/>
        <w:rPr>
          <w:color w:val="000000"/>
        </w:rPr>
      </w:pPr>
      <w:r>
        <w:rPr>
          <w:color w:val="000000"/>
        </w:rPr>
        <w:t>5</w:t>
      </w:r>
      <w:r>
        <w:rPr>
          <w:rFonts w:hint="eastAsia"/>
          <w:color w:val="000000"/>
        </w:rPr>
        <w:t>.2.</w:t>
      </w:r>
      <w:r>
        <w:rPr>
          <w:rFonts w:hint="eastAsia"/>
          <w:color w:val="000000"/>
          <w:lang w:val="en-US" w:eastAsia="zh-CN"/>
        </w:rPr>
        <w:t>5</w:t>
      </w:r>
      <w:r>
        <w:rPr>
          <w:rFonts w:hint="eastAsia"/>
          <w:color w:val="000000"/>
        </w:rPr>
        <w:t xml:space="preserve"> 固体废物处置措施分析</w:t>
      </w:r>
    </w:p>
    <w:p>
      <w:pPr>
        <w:pStyle w:val="16"/>
        <w:ind w:left="0" w:firstLine="420"/>
        <w:rPr>
          <w:rFonts w:hint="eastAsia" w:ascii="Times New Roman" w:hAnsi="Times New Roman" w:cs="Times New Roman"/>
          <w:color w:val="000000"/>
          <w:lang w:eastAsia="zh-CN"/>
        </w:rPr>
      </w:pPr>
      <w:r>
        <w:rPr>
          <w:rFonts w:ascii="Times New Roman" w:hAnsi="Times New Roman"/>
          <w:color w:val="000000"/>
        </w:rPr>
        <w:t>污水处理</w:t>
      </w:r>
      <w:r>
        <w:rPr>
          <w:rFonts w:hint="eastAsia" w:ascii="Times New Roman" w:hAnsi="Times New Roman"/>
          <w:color w:val="000000"/>
          <w:lang w:eastAsia="zh-CN"/>
        </w:rPr>
        <w:t>站</w:t>
      </w:r>
      <w:r>
        <w:rPr>
          <w:rFonts w:ascii="Times New Roman" w:hAnsi="Times New Roman"/>
          <w:color w:val="000000"/>
        </w:rPr>
        <w:t>工程运行过程中产生的固体废弃物主要为格栅拦截渣、沉砂池沉砂</w:t>
      </w:r>
      <w:r>
        <w:rPr>
          <w:rFonts w:hint="eastAsia" w:ascii="Times New Roman" w:hAnsi="Times New Roman"/>
          <w:color w:val="000000"/>
        </w:rPr>
        <w:t>、</w:t>
      </w:r>
      <w:r>
        <w:rPr>
          <w:rFonts w:ascii="Times New Roman" w:hAnsi="Times New Roman"/>
          <w:color w:val="000000"/>
        </w:rPr>
        <w:t>生化处理产生的剩余污泥</w:t>
      </w:r>
      <w:r>
        <w:rPr>
          <w:rFonts w:hint="eastAsia" w:ascii="Times New Roman" w:hAnsi="Times New Roman"/>
          <w:color w:val="000000"/>
        </w:rPr>
        <w:t>、</w:t>
      </w:r>
      <w:r>
        <w:rPr>
          <w:rFonts w:hint="eastAsia" w:ascii="Times New Roman" w:hAnsi="Times New Roman" w:cs="Times New Roman"/>
          <w:color w:val="000000"/>
          <w:lang w:eastAsia="zh-CN"/>
        </w:rPr>
        <w:t>员工生活固废</w:t>
      </w:r>
      <w:r>
        <w:rPr>
          <w:rFonts w:hint="eastAsia" w:ascii="Times New Roman" w:hAnsi="Times New Roman"/>
          <w:color w:val="000000"/>
        </w:rPr>
        <w:t>。</w:t>
      </w:r>
    </w:p>
    <w:p>
      <w:pPr>
        <w:ind w:firstLine="480"/>
        <w:rPr>
          <w:rFonts w:hint="eastAsia"/>
          <w:color w:val="000000"/>
          <w:kern w:val="0"/>
        </w:rPr>
      </w:pPr>
      <w:r>
        <w:rPr>
          <w:rFonts w:hint="eastAsia"/>
          <w:color w:val="000000"/>
          <w:kern w:val="0"/>
        </w:rPr>
        <w:t>（1）格栅渣以及</w:t>
      </w:r>
      <w:r>
        <w:rPr>
          <w:color w:val="000000"/>
          <w:kern w:val="0"/>
        </w:rPr>
        <w:t>沉砂池沉砂</w:t>
      </w:r>
      <w:r>
        <w:rPr>
          <w:rFonts w:hint="eastAsia"/>
          <w:color w:val="000000"/>
          <w:kern w:val="0"/>
        </w:rPr>
        <w:t>固体废物处置措施</w:t>
      </w:r>
    </w:p>
    <w:p>
      <w:pPr>
        <w:ind w:firstLine="480"/>
        <w:rPr>
          <w:rFonts w:hint="eastAsia"/>
          <w:color w:val="000000"/>
          <w:kern w:val="0"/>
        </w:rPr>
      </w:pPr>
      <w:r>
        <w:rPr>
          <w:color w:val="000000"/>
          <w:kern w:val="0"/>
        </w:rPr>
        <w:t>格栅渣成分主要为塑料等垃圾，沉砂池沉砂主要的不溶性泥砂以无机物固体颗粒物为主，格栅渣与沉砂池中的沉渣</w:t>
      </w:r>
      <w:r>
        <w:rPr>
          <w:rFonts w:hint="eastAsia"/>
          <w:color w:val="000000"/>
          <w:kern w:val="0"/>
          <w:lang w:eastAsia="zh-CN"/>
        </w:rPr>
        <w:t>产生后需进行鉴定，</w:t>
      </w:r>
      <w:r>
        <w:rPr>
          <w:rFonts w:hint="eastAsia"/>
          <w:color w:val="000000"/>
          <w:kern w:val="0"/>
        </w:rPr>
        <w:t>如为危险废物，运营单位应按照危险废物要求进行管理，并委托具有相应资质单位进行安全处置；如鉴别属于一般固废，运至吉首市垃圾焚烧厂进行焚烧。</w:t>
      </w:r>
    </w:p>
    <w:p>
      <w:pPr>
        <w:wordWrap w:val="0"/>
        <w:ind w:firstLine="480"/>
        <w:rPr>
          <w:rFonts w:hint="eastAsia"/>
          <w:color w:val="000000"/>
          <w:kern w:val="0"/>
        </w:rPr>
      </w:pPr>
      <w:r>
        <w:rPr>
          <w:rFonts w:hint="eastAsia"/>
          <w:color w:val="000000"/>
          <w:kern w:val="0"/>
        </w:rPr>
        <w:t>吉首市垃圾焚烧发电</w:t>
      </w:r>
      <w:r>
        <w:rPr>
          <w:rFonts w:hint="eastAsia"/>
          <w:color w:val="000000"/>
          <w:kern w:val="0"/>
          <w:lang w:eastAsia="zh-CN"/>
        </w:rPr>
        <w:t>厂</w:t>
      </w:r>
      <w:r>
        <w:rPr>
          <w:rFonts w:hint="eastAsia"/>
          <w:color w:val="000000"/>
          <w:kern w:val="0"/>
        </w:rPr>
        <w:t>服务范围近期为吉首市全境及周边四县（凤凰县、花垣县、古丈县、泸溪县）县城的生活垃圾，包括居民生活垃圾、商业垃圾、集市贸易市场垃圾、街道清扫垃圾、公共场所垃圾和机关、学校、厂矿等单位的生活垃圾，远期包含凤凰县、花垣县、古丈县、泸溪县的乡镇生活垃圾和含水率80%的污泥。</w:t>
      </w:r>
    </w:p>
    <w:p>
      <w:pPr>
        <w:wordWrap w:val="0"/>
        <w:ind w:firstLine="480"/>
        <w:rPr>
          <w:rFonts w:hint="eastAsia"/>
          <w:color w:val="000000"/>
          <w:kern w:val="0"/>
          <w:u w:val="single"/>
        </w:rPr>
      </w:pPr>
      <w:r>
        <w:rPr>
          <w:rFonts w:hint="eastAsia"/>
          <w:color w:val="000000"/>
          <w:kern w:val="0"/>
          <w:u w:val="single"/>
        </w:rPr>
        <w:t>（2）</w:t>
      </w:r>
      <w:r>
        <w:rPr>
          <w:rFonts w:hint="eastAsia"/>
          <w:color w:val="000000"/>
          <w:kern w:val="0"/>
          <w:u w:val="single"/>
          <w:lang w:eastAsia="zh-CN"/>
        </w:rPr>
        <w:t>工艺</w:t>
      </w:r>
      <w:r>
        <w:rPr>
          <w:rFonts w:hint="eastAsia"/>
          <w:color w:val="000000"/>
          <w:kern w:val="0"/>
          <w:u w:val="single"/>
        </w:rPr>
        <w:t>污泥处理措施</w:t>
      </w:r>
    </w:p>
    <w:p>
      <w:pPr>
        <w:wordWrap w:val="0"/>
        <w:ind w:firstLine="480"/>
        <w:rPr>
          <w:rFonts w:hint="eastAsia"/>
          <w:color w:val="000000"/>
          <w:kern w:val="0"/>
          <w:u w:val="single"/>
        </w:rPr>
      </w:pPr>
      <w:r>
        <w:rPr>
          <w:rFonts w:hint="eastAsia"/>
          <w:color w:val="000000"/>
          <w:kern w:val="0"/>
          <w:u w:val="single"/>
        </w:rPr>
        <w:t>本环评污泥采用板框压滤机进行脱水（污泥达到含水率80%），干化后的污泥量约为1.071t/d（含水率80%）。根据《国家危险废物名录》（2021年版），本项目属于危废类类别HW23含锌废物中使用氢氧化钠、锌粉进行贵金属沉淀过程中产生的废液和废水处理污泥，属于危险固废，危废代码为900-021-23。</w:t>
      </w:r>
    </w:p>
    <w:p>
      <w:pPr>
        <w:wordWrap w:val="0"/>
        <w:ind w:firstLine="480"/>
        <w:rPr>
          <w:rFonts w:hint="eastAsia"/>
          <w:color w:val="000000"/>
          <w:kern w:val="0"/>
          <w:u w:val="single"/>
        </w:rPr>
      </w:pPr>
      <w:r>
        <w:rPr>
          <w:rFonts w:hint="eastAsia"/>
          <w:color w:val="000000"/>
          <w:kern w:val="0"/>
          <w:u w:val="single"/>
        </w:rPr>
        <w:t>运营单位应按照危险废物要求进行管理，并委托具有相应资质单位进行安全处置。</w:t>
      </w:r>
    </w:p>
    <w:p>
      <w:pPr>
        <w:wordWrap w:val="0"/>
        <w:ind w:firstLine="480"/>
        <w:rPr>
          <w:rFonts w:hint="eastAsia"/>
          <w:color w:val="000000"/>
          <w:kern w:val="0"/>
          <w:u w:val="single"/>
        </w:rPr>
      </w:pPr>
      <w:r>
        <w:rPr>
          <w:rFonts w:hint="eastAsia"/>
          <w:color w:val="000000"/>
          <w:kern w:val="0"/>
          <w:u w:val="single"/>
          <w:lang w:eastAsia="zh-CN"/>
        </w:rPr>
        <w:t>本项目污泥脱水暂存在脱水机斗曹内，直接委托有资质单位收集</w:t>
      </w:r>
      <w:r>
        <w:rPr>
          <w:rFonts w:hint="eastAsia"/>
          <w:color w:val="000000"/>
          <w:kern w:val="0"/>
          <w:u w:val="single"/>
        </w:rPr>
        <w:t>，对危险废物无害化处理前进行暂存处理，</w:t>
      </w:r>
      <w:r>
        <w:rPr>
          <w:rFonts w:hint="eastAsia"/>
          <w:color w:val="000000"/>
          <w:kern w:val="0"/>
          <w:u w:val="single"/>
          <w:lang w:eastAsia="zh-CN"/>
        </w:rPr>
        <w:t>项目不设置危废暂存间。</w:t>
      </w:r>
    </w:p>
    <w:p>
      <w:pPr>
        <w:ind w:firstLine="482"/>
        <w:rPr>
          <w:b/>
          <w:color w:val="000000"/>
          <w:kern w:val="0"/>
          <w:szCs w:val="22"/>
        </w:rPr>
      </w:pPr>
      <w:r>
        <w:rPr>
          <w:rFonts w:hint="eastAsia"/>
          <w:b/>
          <w:color w:val="000000"/>
        </w:rPr>
        <w:t>危险废物临时贮存设施</w:t>
      </w:r>
    </w:p>
    <w:p>
      <w:pPr>
        <w:ind w:firstLine="480"/>
        <w:rPr>
          <w:color w:val="000000"/>
        </w:rPr>
      </w:pPr>
      <w:r>
        <w:rPr>
          <w:rFonts w:hint="eastAsia"/>
          <w:color w:val="000000"/>
        </w:rPr>
        <w:t>（</w:t>
      </w:r>
      <w:r>
        <w:rPr>
          <w:rFonts w:eastAsia="Times New Roman"/>
          <w:color w:val="000000"/>
        </w:rPr>
        <w:t>1</w:t>
      </w:r>
      <w:r>
        <w:rPr>
          <w:rFonts w:hint="eastAsia" w:eastAsia="宋体"/>
          <w:color w:val="000000"/>
          <w:lang w:eastAsia="zh-CN"/>
        </w:rPr>
        <w:t>贮存</w:t>
      </w:r>
      <w:r>
        <w:rPr>
          <w:rFonts w:hint="eastAsia"/>
          <w:color w:val="000000"/>
        </w:rPr>
        <w:t>间应有遮盖设施，暂存间应便于内部转运与外运，并应尽量远离饲养区和人员活动场所。</w:t>
      </w:r>
    </w:p>
    <w:p>
      <w:pPr>
        <w:ind w:firstLine="480"/>
        <w:rPr>
          <w:color w:val="000000"/>
        </w:rPr>
      </w:pPr>
      <w:r>
        <w:rPr>
          <w:rFonts w:hint="eastAsia"/>
          <w:color w:val="000000"/>
        </w:rPr>
        <w:t>（</w:t>
      </w:r>
      <w:r>
        <w:rPr>
          <w:rFonts w:eastAsia="Times New Roman"/>
          <w:color w:val="000000"/>
        </w:rPr>
        <w:t>2</w:t>
      </w:r>
      <w:r>
        <w:rPr>
          <w:rFonts w:hint="eastAsia"/>
          <w:color w:val="000000"/>
        </w:rPr>
        <w:t>）</w:t>
      </w:r>
      <w:r>
        <w:rPr>
          <w:rFonts w:hint="eastAsia" w:eastAsia="宋体"/>
          <w:color w:val="000000"/>
          <w:lang w:eastAsia="zh-CN"/>
        </w:rPr>
        <w:t>贮存</w:t>
      </w:r>
      <w:r>
        <w:rPr>
          <w:rFonts w:hint="eastAsia"/>
          <w:color w:val="000000"/>
        </w:rPr>
        <w:t>间应建有雨篷、水泥地面，便于排水，采光、通风良好，防</w:t>
      </w:r>
      <w:r>
        <w:rPr>
          <w:color w:val="000000"/>
          <w:spacing w:val="26"/>
        </w:rPr>
        <w:t xml:space="preserve"> </w:t>
      </w:r>
      <w:r>
        <w:rPr>
          <w:rFonts w:hint="eastAsia"/>
          <w:color w:val="000000"/>
        </w:rPr>
        <w:t>止动物进出和啮齿动物及昆虫的侵扰。</w:t>
      </w:r>
    </w:p>
    <w:p>
      <w:pPr>
        <w:ind w:firstLine="480"/>
        <w:rPr>
          <w:color w:val="000000"/>
        </w:rPr>
      </w:pPr>
      <w:r>
        <w:rPr>
          <w:rFonts w:hint="eastAsia"/>
          <w:color w:val="000000"/>
        </w:rPr>
        <w:t>（</w:t>
      </w:r>
      <w:r>
        <w:rPr>
          <w:rFonts w:eastAsia="Times New Roman"/>
          <w:color w:val="000000"/>
        </w:rPr>
        <w:t>3</w:t>
      </w:r>
      <w:r>
        <w:rPr>
          <w:rFonts w:hint="eastAsia"/>
          <w:color w:val="000000"/>
        </w:rPr>
        <w:t>）</w:t>
      </w:r>
      <w:r>
        <w:rPr>
          <w:rFonts w:hint="eastAsia" w:eastAsia="宋体"/>
          <w:color w:val="000000"/>
          <w:lang w:eastAsia="zh-CN"/>
        </w:rPr>
        <w:t>贮存</w:t>
      </w:r>
      <w:r>
        <w:rPr>
          <w:rFonts w:hint="eastAsia"/>
          <w:color w:val="000000"/>
        </w:rPr>
        <w:t>间应有防止泄漏的保护设施，应设有冲洗及消毒的设施，清</w:t>
      </w:r>
      <w:r>
        <w:rPr>
          <w:color w:val="000000"/>
          <w:spacing w:val="27"/>
        </w:rPr>
        <w:t xml:space="preserve"> </w:t>
      </w:r>
      <w:r>
        <w:rPr>
          <w:rFonts w:hint="eastAsia"/>
          <w:color w:val="000000"/>
        </w:rPr>
        <w:t>洗过程中产生的废水应排入废水处理系统。</w:t>
      </w:r>
    </w:p>
    <w:p>
      <w:pPr>
        <w:ind w:firstLine="480"/>
        <w:rPr>
          <w:rFonts w:ascii="宋体" w:hAnsi="宋体" w:cs="宋体"/>
          <w:color w:val="000000"/>
        </w:rPr>
      </w:pPr>
      <w:r>
        <w:rPr>
          <w:rFonts w:hint="eastAsia" w:ascii="宋体" w:hAnsi="宋体" w:cs="宋体"/>
          <w:color w:val="000000"/>
        </w:rPr>
        <w:t>（</w:t>
      </w:r>
      <w:r>
        <w:rPr>
          <w:rFonts w:eastAsia="Times New Roman"/>
          <w:color w:val="000000"/>
        </w:rPr>
        <w:t>4</w:t>
      </w:r>
      <w:r>
        <w:rPr>
          <w:rFonts w:hint="eastAsia" w:ascii="宋体" w:hAnsi="宋体" w:cs="宋体"/>
          <w:color w:val="000000"/>
          <w:spacing w:val="-68"/>
        </w:rPr>
        <w:t>）</w:t>
      </w:r>
      <w:r>
        <w:rPr>
          <w:rFonts w:hint="eastAsia" w:eastAsia="宋体"/>
          <w:color w:val="000000"/>
          <w:lang w:eastAsia="zh-CN"/>
        </w:rPr>
        <w:t>贮存</w:t>
      </w:r>
      <w:r>
        <w:rPr>
          <w:rFonts w:hint="eastAsia"/>
          <w:color w:val="000000"/>
        </w:rPr>
        <w:t>间环评要求建设单位需对危废采取有效的防渗防腐设施，铺设聚乙烯防渗膜，使地面渗透系数</w:t>
      </w:r>
      <w:r>
        <w:rPr>
          <w:color w:val="000000"/>
        </w:rPr>
        <w:t>≤10-10cm/s</w:t>
      </w:r>
      <w:r>
        <w:rPr>
          <w:rFonts w:hint="eastAsia"/>
          <w:color w:val="000000"/>
        </w:rPr>
        <w:t>，以防止对区域土壤及地下水造成污染。</w:t>
      </w:r>
    </w:p>
    <w:p>
      <w:pPr>
        <w:ind w:firstLine="482"/>
        <w:rPr>
          <w:rFonts w:hint="eastAsia"/>
          <w:b/>
          <w:color w:val="000000"/>
          <w:szCs w:val="22"/>
        </w:rPr>
      </w:pPr>
      <w:r>
        <w:rPr>
          <w:rFonts w:hint="eastAsia"/>
          <w:b/>
          <w:color w:val="000000"/>
        </w:rPr>
        <w:t>危险废物管理要求</w:t>
      </w:r>
    </w:p>
    <w:p>
      <w:pPr>
        <w:ind w:firstLine="488"/>
        <w:rPr>
          <w:color w:val="000000"/>
        </w:rPr>
      </w:pPr>
      <w:r>
        <w:rPr>
          <w:rFonts w:hint="eastAsia"/>
          <w:color w:val="000000"/>
          <w:spacing w:val="2"/>
        </w:rPr>
        <w:t>确保危险废物的合理、规范有效的管理。根据相关法律法规的要求，生产过程</w:t>
      </w:r>
      <w:r>
        <w:rPr>
          <w:rFonts w:hint="eastAsia"/>
          <w:color w:val="000000"/>
        </w:rPr>
        <w:t>中所排放的危险废物，必须送至危险废物专用储存点。并由专人管理危险废物的入、</w:t>
      </w:r>
      <w:r>
        <w:rPr>
          <w:rFonts w:hint="eastAsia"/>
          <w:color w:val="000000"/>
          <w:spacing w:val="2"/>
        </w:rPr>
        <w:t>出库登记台账。危险废物储存点不得放置其它物品，应配备相关的消防器材及危险</w:t>
      </w:r>
      <w:r>
        <w:rPr>
          <w:color w:val="000000"/>
          <w:spacing w:val="24"/>
        </w:rPr>
        <w:t xml:space="preserve"> </w:t>
      </w:r>
      <w:r>
        <w:rPr>
          <w:rFonts w:hint="eastAsia"/>
          <w:color w:val="000000"/>
        </w:rPr>
        <w:t>废物标示。应保持储存点场地的清洁，危险废物堆放整洁。</w:t>
      </w:r>
    </w:p>
    <w:p>
      <w:pPr>
        <w:ind w:firstLine="480"/>
        <w:rPr>
          <w:color w:val="000000"/>
        </w:rPr>
      </w:pPr>
      <w:r>
        <w:rPr>
          <w:rFonts w:hint="eastAsia" w:ascii="宋体" w:hAnsi="宋体" w:cs="宋体"/>
          <w:color w:val="000000"/>
        </w:rPr>
        <w:t>（1）</w:t>
      </w:r>
      <w:r>
        <w:rPr>
          <w:rFonts w:hint="eastAsia"/>
          <w:color w:val="000000"/>
        </w:rPr>
        <w:t>建立危险废物台账管理制度</w:t>
      </w:r>
    </w:p>
    <w:p>
      <w:pPr>
        <w:ind w:firstLine="480"/>
        <w:rPr>
          <w:color w:val="000000"/>
        </w:rPr>
      </w:pPr>
      <w:r>
        <w:rPr>
          <w:color w:val="000000"/>
        </w:rPr>
        <w:t xml:space="preserve"> </w:t>
      </w:r>
      <w:r>
        <w:rPr>
          <w:rFonts w:eastAsia="Times New Roman"/>
          <w:color w:val="000000"/>
        </w:rPr>
        <w:t>1</w:t>
      </w:r>
      <w:r>
        <w:rPr>
          <w:rFonts w:hint="eastAsia" w:eastAsia="宋体"/>
          <w:color w:val="000000"/>
          <w:lang w:eastAsia="zh-CN"/>
        </w:rPr>
        <w:t>）</w:t>
      </w:r>
      <w:r>
        <w:rPr>
          <w:rFonts w:hint="eastAsia"/>
          <w:color w:val="000000"/>
        </w:rPr>
        <w:t>建立危险废物台账的依据</w:t>
      </w:r>
    </w:p>
    <w:p>
      <w:pPr>
        <w:ind w:firstLine="480"/>
        <w:rPr>
          <w:rFonts w:eastAsia="Times New Roman"/>
          <w:color w:val="000000"/>
        </w:rPr>
      </w:pPr>
      <w:r>
        <w:rPr>
          <w:rFonts w:hint="eastAsia"/>
          <w:color w:val="000000"/>
        </w:rPr>
        <w:t>《固废污染防治法》第五十三条规定</w:t>
      </w:r>
      <w:r>
        <w:rPr>
          <w:rFonts w:eastAsia="Times New Roman"/>
          <w:color w:val="000000"/>
        </w:rPr>
        <w:t>“</w:t>
      </w:r>
      <w:r>
        <w:rPr>
          <w:rFonts w:hint="eastAsia"/>
          <w:color w:val="000000"/>
        </w:rPr>
        <w:t>产生危险废物的单位，必须按照国家有关</w:t>
      </w:r>
      <w:r>
        <w:rPr>
          <w:rFonts w:hint="eastAsia"/>
          <w:color w:val="000000"/>
          <w:spacing w:val="2"/>
        </w:rPr>
        <w:t>规定制定危险废物管理计划，并向所在地县级以上地方人民政府环境保护行政主管</w:t>
      </w:r>
      <w:r>
        <w:rPr>
          <w:rFonts w:hint="eastAsia"/>
          <w:color w:val="000000"/>
        </w:rPr>
        <w:t>部门申报危险废物的种类、生产量、流向、储存、处置等有关资料。</w:t>
      </w:r>
      <w:r>
        <w:rPr>
          <w:rFonts w:eastAsia="Times New Roman"/>
          <w:color w:val="000000"/>
        </w:rPr>
        <w:t>”</w:t>
      </w:r>
    </w:p>
    <w:p>
      <w:pPr>
        <w:ind w:firstLine="480"/>
        <w:rPr>
          <w:color w:val="000000"/>
          <w:spacing w:val="22"/>
        </w:rPr>
      </w:pPr>
      <w:r>
        <w:rPr>
          <w:rFonts w:eastAsia="Times New Roman"/>
          <w:color w:val="000000"/>
        </w:rPr>
        <w:t>2)</w:t>
      </w:r>
      <w:r>
        <w:rPr>
          <w:rFonts w:hint="eastAsia"/>
          <w:color w:val="000000"/>
        </w:rPr>
        <w:t>建立台账的意义和目的</w:t>
      </w:r>
      <w:r>
        <w:rPr>
          <w:color w:val="000000"/>
          <w:spacing w:val="22"/>
        </w:rPr>
        <w:t xml:space="preserve"> </w:t>
      </w:r>
    </w:p>
    <w:p>
      <w:pPr>
        <w:ind w:firstLine="480"/>
        <w:rPr>
          <w:color w:val="000000"/>
        </w:rPr>
      </w:pPr>
      <w:r>
        <w:rPr>
          <w:rFonts w:hint="eastAsia"/>
          <w:color w:val="000000"/>
        </w:rPr>
        <w:t>建立危险废物台账，如实记载产生危险废物的种类、数量、利用、贮存、处置、</w:t>
      </w:r>
      <w:r>
        <w:rPr>
          <w:rFonts w:hint="eastAsia"/>
          <w:color w:val="000000"/>
          <w:spacing w:val="2"/>
        </w:rPr>
        <w:t>流向等信息，是危险废物管理计划制定的基础性内容，是危险废物申报登记制度的</w:t>
      </w:r>
      <w:r>
        <w:rPr>
          <w:rFonts w:hint="eastAsia"/>
          <w:color w:val="000000"/>
        </w:rPr>
        <w:t>基础，是生产单位管理危险废物的重要依据。提高危险废物管理水平以及危险废物申报登记数据的准确性。</w:t>
      </w:r>
    </w:p>
    <w:p>
      <w:pPr>
        <w:ind w:firstLine="480"/>
        <w:rPr>
          <w:color w:val="000000"/>
          <w:spacing w:val="24"/>
        </w:rPr>
      </w:pPr>
      <w:r>
        <w:rPr>
          <w:color w:val="000000"/>
        </w:rPr>
        <w:t xml:space="preserve"> </w:t>
      </w:r>
      <w:r>
        <w:rPr>
          <w:rFonts w:eastAsia="Times New Roman"/>
          <w:color w:val="000000"/>
        </w:rPr>
        <w:t>3)</w:t>
      </w:r>
      <w:r>
        <w:rPr>
          <w:rFonts w:hint="eastAsia"/>
          <w:color w:val="000000"/>
        </w:rPr>
        <w:t>建立危险废物台账的要求</w:t>
      </w:r>
      <w:r>
        <w:rPr>
          <w:color w:val="000000"/>
          <w:spacing w:val="24"/>
        </w:rPr>
        <w:t xml:space="preserve"> </w:t>
      </w:r>
    </w:p>
    <w:p>
      <w:pPr>
        <w:ind w:firstLine="488"/>
        <w:rPr>
          <w:color w:val="000000"/>
        </w:rPr>
      </w:pPr>
      <w:r>
        <w:rPr>
          <w:rFonts w:hint="eastAsia"/>
          <w:color w:val="000000"/>
          <w:spacing w:val="2"/>
        </w:rPr>
        <w:t>跟踪记录危险废物在生产单位内部运转的整个流程。与生产记录相结合，建立</w:t>
      </w:r>
      <w:r>
        <w:rPr>
          <w:rFonts w:hint="eastAsia"/>
          <w:color w:val="000000"/>
        </w:rPr>
        <w:t>危险废物台账。</w:t>
      </w:r>
    </w:p>
    <w:p>
      <w:pPr>
        <w:ind w:firstLine="480"/>
        <w:rPr>
          <w:color w:val="000000"/>
        </w:rPr>
      </w:pPr>
      <w:r>
        <w:rPr>
          <w:rFonts w:hint="eastAsia" w:ascii="宋体" w:hAnsi="宋体" w:cs="宋体"/>
          <w:color w:val="000000"/>
        </w:rPr>
        <w:t>（2）</w:t>
      </w:r>
      <w:r>
        <w:rPr>
          <w:rFonts w:hint="eastAsia"/>
          <w:color w:val="000000"/>
        </w:rPr>
        <w:t>发生危险废物事故报告制度</w:t>
      </w:r>
      <w:r>
        <w:rPr>
          <w:color w:val="000000"/>
        </w:rPr>
        <w:t xml:space="preserve"> </w:t>
      </w:r>
    </w:p>
    <w:p>
      <w:pPr>
        <w:ind w:firstLine="480"/>
        <w:rPr>
          <w:color w:val="000000"/>
          <w:spacing w:val="54"/>
        </w:rPr>
      </w:pPr>
      <w:r>
        <w:rPr>
          <w:rFonts w:eastAsia="Times New Roman"/>
          <w:color w:val="000000"/>
        </w:rPr>
        <w:t>1)</w:t>
      </w:r>
      <w:r>
        <w:rPr>
          <w:rFonts w:hint="eastAsia"/>
          <w:color w:val="000000"/>
        </w:rPr>
        <w:t>为及时掌握环保事故，加强环境监督管理，特制定本制度。</w:t>
      </w:r>
      <w:r>
        <w:rPr>
          <w:color w:val="000000"/>
          <w:spacing w:val="54"/>
        </w:rPr>
        <w:t xml:space="preserve"> </w:t>
      </w:r>
    </w:p>
    <w:p>
      <w:pPr>
        <w:ind w:firstLine="484"/>
        <w:rPr>
          <w:color w:val="000000"/>
        </w:rPr>
      </w:pPr>
      <w:r>
        <w:rPr>
          <w:rFonts w:eastAsia="Times New Roman"/>
          <w:color w:val="000000"/>
          <w:spacing w:val="1"/>
        </w:rPr>
        <w:t>2)</w:t>
      </w:r>
      <w:r>
        <w:rPr>
          <w:rFonts w:hint="eastAsia"/>
          <w:color w:val="000000"/>
          <w:spacing w:val="1"/>
        </w:rPr>
        <w:t>环保事故分为速报和处理结果报告二类。速报从发现环保事故，一小时以内</w:t>
      </w:r>
      <w:r>
        <w:rPr>
          <w:rFonts w:hint="eastAsia"/>
          <w:color w:val="000000"/>
        </w:rPr>
        <w:t>上报；处理结果报告在事故处理完后立即上报。</w:t>
      </w:r>
    </w:p>
    <w:p>
      <w:pPr>
        <w:ind w:firstLine="484"/>
        <w:rPr>
          <w:color w:val="000000"/>
        </w:rPr>
      </w:pPr>
      <w:r>
        <w:rPr>
          <w:rFonts w:eastAsia="Times New Roman"/>
          <w:color w:val="000000"/>
          <w:spacing w:val="1"/>
        </w:rPr>
        <w:t>3)</w:t>
      </w:r>
      <w:r>
        <w:rPr>
          <w:rFonts w:hint="eastAsia"/>
          <w:color w:val="000000"/>
          <w:spacing w:val="1"/>
        </w:rPr>
        <w:t>速报可通过电话、传真、派人直接报告等形式报告市环保局。处理结果报告</w:t>
      </w:r>
      <w:r>
        <w:rPr>
          <w:color w:val="000000"/>
          <w:spacing w:val="28"/>
        </w:rPr>
        <w:t xml:space="preserve"> </w:t>
      </w:r>
      <w:r>
        <w:rPr>
          <w:rFonts w:hint="eastAsia"/>
          <w:color w:val="000000"/>
        </w:rPr>
        <w:t>采用书面报告。</w:t>
      </w:r>
    </w:p>
    <w:p>
      <w:pPr>
        <w:ind w:firstLine="484"/>
        <w:rPr>
          <w:color w:val="000000"/>
        </w:rPr>
      </w:pPr>
      <w:r>
        <w:rPr>
          <w:rFonts w:eastAsia="Times New Roman"/>
          <w:color w:val="000000"/>
          <w:spacing w:val="1"/>
        </w:rPr>
        <w:t>4)</w:t>
      </w:r>
      <w:r>
        <w:rPr>
          <w:rFonts w:hint="eastAsia"/>
          <w:color w:val="000000"/>
          <w:spacing w:val="1"/>
        </w:rPr>
        <w:t>速报的内容包括：环保事故发生时间、地点、污染源、主要污染物质、经济</w:t>
      </w:r>
      <w:r>
        <w:rPr>
          <w:color w:val="000000"/>
          <w:spacing w:val="28"/>
        </w:rPr>
        <w:t xml:space="preserve"> </w:t>
      </w:r>
      <w:r>
        <w:rPr>
          <w:rFonts w:hint="eastAsia"/>
          <w:color w:val="000000"/>
        </w:rPr>
        <w:t>损失数额、人员受害情况等初步情况。</w:t>
      </w:r>
    </w:p>
    <w:p>
      <w:pPr>
        <w:ind w:firstLine="484"/>
        <w:rPr>
          <w:color w:val="000000"/>
        </w:rPr>
      </w:pPr>
      <w:r>
        <w:rPr>
          <w:rFonts w:eastAsia="Times New Roman"/>
          <w:color w:val="000000"/>
          <w:spacing w:val="1"/>
        </w:rPr>
        <w:t>5)</w:t>
      </w:r>
      <w:r>
        <w:rPr>
          <w:rFonts w:hint="eastAsia"/>
          <w:color w:val="000000"/>
          <w:spacing w:val="1"/>
        </w:rPr>
        <w:t>处理结果报告在速报的基础上，报告有关确切数据、事故发生的原因、过程</w:t>
      </w:r>
      <w:r>
        <w:rPr>
          <w:color w:val="000000"/>
          <w:spacing w:val="28"/>
        </w:rPr>
        <w:t xml:space="preserve"> </w:t>
      </w:r>
      <w:r>
        <w:rPr>
          <w:rFonts w:hint="eastAsia"/>
          <w:color w:val="000000"/>
          <w:spacing w:val="2"/>
        </w:rPr>
        <w:t>及采取的应急措施、处理事故的措施、过程和结果，事故潜在或间接的危害、社会</w:t>
      </w:r>
      <w:bookmarkStart w:id="284" w:name="_bookmark31"/>
      <w:bookmarkEnd w:id="284"/>
      <w:r>
        <w:rPr>
          <w:rFonts w:hint="eastAsia"/>
          <w:color w:val="000000"/>
          <w:spacing w:val="2"/>
        </w:rPr>
        <w:t>影响、处理后的遗留问题、参加处理工作的有关部门和工作内容、出具有关危害与</w:t>
      </w:r>
      <w:r>
        <w:rPr>
          <w:color w:val="000000"/>
          <w:spacing w:val="24"/>
        </w:rPr>
        <w:t xml:space="preserve"> </w:t>
      </w:r>
      <w:r>
        <w:rPr>
          <w:rFonts w:hint="eastAsia"/>
          <w:color w:val="000000"/>
        </w:rPr>
        <w:t>损失的证明文件等详细情况。</w:t>
      </w:r>
    </w:p>
    <w:p>
      <w:pPr>
        <w:ind w:firstLine="480"/>
        <w:rPr>
          <w:color w:val="000000"/>
        </w:rPr>
      </w:pPr>
      <w:r>
        <w:rPr>
          <w:rFonts w:hint="eastAsia" w:ascii="宋体" w:hAnsi="宋体" w:cs="宋体"/>
          <w:color w:val="000000"/>
        </w:rPr>
        <w:t>（3）</w:t>
      </w:r>
      <w:r>
        <w:rPr>
          <w:rFonts w:hint="eastAsia"/>
          <w:color w:val="000000"/>
        </w:rPr>
        <w:t>环境保护岗位责任制</w:t>
      </w:r>
    </w:p>
    <w:p>
      <w:pPr>
        <w:ind w:firstLine="480"/>
        <w:rPr>
          <w:color w:val="000000"/>
        </w:rPr>
      </w:pPr>
      <w:r>
        <w:rPr>
          <w:color w:val="000000"/>
        </w:rPr>
        <w:t xml:space="preserve"> </w:t>
      </w:r>
      <w:r>
        <w:rPr>
          <w:rFonts w:eastAsia="Times New Roman"/>
          <w:color w:val="000000"/>
        </w:rPr>
        <w:t>1)</w:t>
      </w:r>
      <w:r>
        <w:rPr>
          <w:rFonts w:hint="eastAsia"/>
          <w:color w:val="000000"/>
        </w:rPr>
        <w:t>贯彻执行国</w:t>
      </w:r>
      <w:r>
        <w:rPr>
          <w:rFonts w:hint="eastAsia"/>
          <w:color w:val="000000"/>
          <w:spacing w:val="2"/>
        </w:rPr>
        <w:t>家</w:t>
      </w:r>
      <w:r>
        <w:rPr>
          <w:rFonts w:hint="eastAsia"/>
          <w:color w:val="000000"/>
          <w:spacing w:val="-24"/>
        </w:rPr>
        <w:t>、</w:t>
      </w:r>
      <w:r>
        <w:rPr>
          <w:rFonts w:hint="eastAsia"/>
          <w:color w:val="000000"/>
        </w:rPr>
        <w:t>上级有关部门及公司安全生</w:t>
      </w:r>
      <w:r>
        <w:rPr>
          <w:rFonts w:hint="eastAsia"/>
          <w:color w:val="000000"/>
          <w:spacing w:val="2"/>
        </w:rPr>
        <w:t>产</w:t>
      </w:r>
      <w:r>
        <w:rPr>
          <w:rFonts w:hint="eastAsia"/>
          <w:color w:val="000000"/>
          <w:spacing w:val="-22"/>
        </w:rPr>
        <w:t>、</w:t>
      </w:r>
      <w:r>
        <w:rPr>
          <w:rFonts w:hint="eastAsia"/>
          <w:color w:val="000000"/>
        </w:rPr>
        <w:t>环境保护工作的方针</w:t>
      </w:r>
      <w:r>
        <w:rPr>
          <w:rFonts w:hint="eastAsia"/>
          <w:color w:val="000000"/>
          <w:spacing w:val="-24"/>
        </w:rPr>
        <w:t>、</w:t>
      </w:r>
      <w:r>
        <w:rPr>
          <w:rFonts w:hint="eastAsia"/>
          <w:color w:val="000000"/>
        </w:rPr>
        <w:t>法律、法规、政策和制度，负责本单位的安全（环保）监督、管理工作。</w:t>
      </w:r>
    </w:p>
    <w:p>
      <w:pPr>
        <w:ind w:firstLine="484"/>
        <w:rPr>
          <w:color w:val="000000"/>
        </w:rPr>
      </w:pPr>
      <w:r>
        <w:rPr>
          <w:rFonts w:eastAsia="Times New Roman"/>
          <w:color w:val="000000"/>
          <w:spacing w:val="1"/>
        </w:rPr>
        <w:t>2)</w:t>
      </w:r>
      <w:r>
        <w:rPr>
          <w:rFonts w:hint="eastAsia"/>
          <w:color w:val="000000"/>
          <w:spacing w:val="1"/>
        </w:rPr>
        <w:t>组织制定、修订并完善医院职业安全卫生管理制度和安全技术规程、各项环</w:t>
      </w:r>
      <w:r>
        <w:rPr>
          <w:rFonts w:hint="eastAsia"/>
          <w:color w:val="000000"/>
        </w:rPr>
        <w:t>境保护制度，编制安全（环保）技术措施计划，并监督检查执行情况。</w:t>
      </w:r>
    </w:p>
    <w:p>
      <w:pPr>
        <w:ind w:firstLine="484"/>
        <w:rPr>
          <w:color w:val="000000"/>
        </w:rPr>
      </w:pPr>
      <w:r>
        <w:rPr>
          <w:rFonts w:eastAsia="Times New Roman"/>
          <w:color w:val="000000"/>
          <w:spacing w:val="1"/>
        </w:rPr>
        <w:t>3)</w:t>
      </w:r>
      <w:r>
        <w:rPr>
          <w:rFonts w:hint="eastAsia"/>
          <w:color w:val="000000"/>
          <w:spacing w:val="1"/>
        </w:rPr>
        <w:t>参加本单位建设项目的安全（环保）</w:t>
      </w:r>
      <w:r>
        <w:rPr>
          <w:rFonts w:eastAsia="Times New Roman"/>
          <w:color w:val="000000"/>
          <w:spacing w:val="1"/>
        </w:rPr>
        <w:t>“</w:t>
      </w:r>
      <w:r>
        <w:rPr>
          <w:rFonts w:hint="eastAsia"/>
          <w:color w:val="000000"/>
          <w:spacing w:val="1"/>
        </w:rPr>
        <w:t>三同时</w:t>
      </w:r>
      <w:r>
        <w:rPr>
          <w:rFonts w:eastAsia="Times New Roman"/>
          <w:color w:val="000000"/>
          <w:spacing w:val="1"/>
        </w:rPr>
        <w:t>”</w:t>
      </w:r>
      <w:r>
        <w:rPr>
          <w:rFonts w:hint="eastAsia"/>
          <w:color w:val="000000"/>
          <w:spacing w:val="1"/>
        </w:rPr>
        <w:t>监督，使其符合职业安全卫生</w:t>
      </w:r>
      <w:r>
        <w:rPr>
          <w:rFonts w:hint="eastAsia"/>
          <w:color w:val="000000"/>
        </w:rPr>
        <w:t>技术要求。</w:t>
      </w:r>
    </w:p>
    <w:p>
      <w:pPr>
        <w:ind w:firstLine="484"/>
        <w:rPr>
          <w:color w:val="000000"/>
        </w:rPr>
      </w:pPr>
      <w:r>
        <w:rPr>
          <w:rFonts w:eastAsia="Times New Roman"/>
          <w:color w:val="000000"/>
          <w:spacing w:val="1"/>
        </w:rPr>
        <w:t>4)</w:t>
      </w:r>
      <w:r>
        <w:rPr>
          <w:rFonts w:hint="eastAsia"/>
          <w:color w:val="000000"/>
          <w:spacing w:val="1"/>
        </w:rPr>
        <w:t>负责对环境保护方针、政策、规定和技术知识的宣传教育，检查监督执行情</w:t>
      </w:r>
      <w:r>
        <w:rPr>
          <w:rFonts w:hint="eastAsia"/>
          <w:color w:val="000000"/>
        </w:rPr>
        <w:t>况，搞好环境保护，实现文明生产。</w:t>
      </w:r>
    </w:p>
    <w:p>
      <w:pPr>
        <w:ind w:firstLine="480"/>
        <w:rPr>
          <w:color w:val="000000"/>
          <w:kern w:val="0"/>
        </w:rPr>
      </w:pPr>
      <w:r>
        <w:rPr>
          <w:rFonts w:hint="eastAsia"/>
          <w:color w:val="000000"/>
          <w:kern w:val="0"/>
        </w:rPr>
        <w:t>运营期后运营方在，危险废物的堆放、贮存设施的运行和管理以及安全防护与监测需达到《危险废物贮存污染控制标准》（GB18579-2001）及2013年修改单中的相关要求，确保危险废物在进行无害化处理前不会对区域外环境以及周边敏感目标造成不良环境影响。</w:t>
      </w:r>
    </w:p>
    <w:p>
      <w:pPr>
        <w:pStyle w:val="16"/>
        <w:wordWrap w:val="0"/>
        <w:ind w:left="0" w:firstLine="480" w:firstLineChars="200"/>
        <w:rPr>
          <w:rFonts w:hint="eastAsia" w:ascii="Times New Roman" w:hAnsi="Times New Roman" w:cs="Times New Roman"/>
          <w:color w:val="000000"/>
          <w:lang w:eastAsia="zh-CN"/>
        </w:rPr>
      </w:pPr>
      <w:r>
        <w:rPr>
          <w:rFonts w:hint="eastAsia" w:ascii="Times New Roman" w:hAnsi="Times New Roman" w:cs="Times New Roman"/>
          <w:color w:val="000000"/>
          <w:lang w:eastAsia="zh-CN"/>
        </w:rPr>
        <w:t>（3）员工生活固废</w:t>
      </w:r>
    </w:p>
    <w:p>
      <w:pPr>
        <w:pStyle w:val="16"/>
        <w:wordWrap w:val="0"/>
        <w:ind w:left="0" w:firstLine="600" w:firstLineChars="250"/>
        <w:rPr>
          <w:rFonts w:hint="eastAsia" w:ascii="Times New Roman" w:hAnsi="Times New Roman" w:cs="Times New Roman"/>
          <w:color w:val="000000"/>
          <w:lang w:eastAsia="zh-CN"/>
        </w:rPr>
      </w:pPr>
      <w:r>
        <w:rPr>
          <w:rFonts w:hint="eastAsia" w:ascii="Times New Roman" w:hAnsi="Times New Roman" w:cs="Times New Roman"/>
          <w:color w:val="000000"/>
          <w:lang w:eastAsia="zh-CN"/>
        </w:rPr>
        <w:t>本项目运营期员工生活垃圾产生量较小，在厂区内设立垃圾收集桶后，圾统一由环卫部门统一处理，基本不会对外环境造成影响。</w:t>
      </w:r>
    </w:p>
    <w:p>
      <w:pPr>
        <w:pStyle w:val="86"/>
        <w:spacing w:before="120" w:after="120"/>
        <w:rPr>
          <w:rFonts w:hint="eastAsia"/>
          <w:color w:val="000000"/>
        </w:rPr>
      </w:pPr>
      <w:bookmarkStart w:id="285" w:name="_Toc11952"/>
      <w:bookmarkStart w:id="286" w:name="_Toc29308675"/>
      <w:r>
        <w:rPr>
          <w:color w:val="000000"/>
        </w:rPr>
        <w:t>5</w:t>
      </w:r>
      <w:r>
        <w:rPr>
          <w:rFonts w:hint="eastAsia"/>
          <w:color w:val="000000"/>
        </w:rPr>
        <w:t>.3污染防治措施结论</w:t>
      </w:r>
      <w:bookmarkEnd w:id="285"/>
      <w:bookmarkEnd w:id="286"/>
    </w:p>
    <w:p>
      <w:pPr>
        <w:ind w:firstLine="480"/>
        <w:rPr>
          <w:b/>
          <w:color w:val="000000"/>
          <w:kern w:val="0"/>
        </w:rPr>
      </w:pPr>
      <w:r>
        <w:rPr>
          <w:rFonts w:hint="eastAsia"/>
          <w:color w:val="000000"/>
          <w:kern w:val="0"/>
        </w:rPr>
        <w:t>上述施工期和营运期的废气、废水、噪声、固体废物的污染防治措施在同类型建设项目已得到广泛的应用，其防治措施在技术上、经济上均是可行和合理的，易于操作和落实，效果较好，适宜拟建项目的环保工程采用。</w:t>
      </w:r>
    </w:p>
    <w:p>
      <w:pPr>
        <w:pStyle w:val="7"/>
        <w:ind w:firstLine="643"/>
        <w:rPr>
          <w:rFonts w:hint="eastAsia"/>
          <w:color w:val="000000"/>
        </w:rPr>
      </w:pPr>
      <w:r>
        <w:rPr>
          <w:color w:val="000000"/>
        </w:rPr>
        <w:br w:type="page"/>
      </w:r>
      <w:bookmarkStart w:id="287" w:name="_Toc22423"/>
      <w:bookmarkStart w:id="288" w:name="_Toc29308676"/>
      <w:r>
        <w:rPr>
          <w:rFonts w:hint="eastAsia"/>
          <w:color w:val="000000"/>
        </w:rPr>
        <w:t>第</w:t>
      </w:r>
      <w:r>
        <w:rPr>
          <w:color w:val="000000"/>
        </w:rPr>
        <w:t>6</w:t>
      </w:r>
      <w:r>
        <w:rPr>
          <w:rFonts w:hint="eastAsia"/>
          <w:color w:val="000000"/>
        </w:rPr>
        <w:t>章  环境影响经济损益分析</w:t>
      </w:r>
      <w:bookmarkEnd w:id="287"/>
      <w:bookmarkEnd w:id="288"/>
    </w:p>
    <w:p>
      <w:pPr>
        <w:pStyle w:val="86"/>
        <w:spacing w:before="120" w:after="120"/>
        <w:rPr>
          <w:rFonts w:hint="eastAsia"/>
          <w:color w:val="000000"/>
          <w:kern w:val="0"/>
          <w:u w:val="none"/>
        </w:rPr>
      </w:pPr>
      <w:bookmarkStart w:id="289" w:name="_Toc18683"/>
      <w:bookmarkStart w:id="290" w:name="_Toc29308677"/>
      <w:r>
        <w:rPr>
          <w:color w:val="000000"/>
          <w:kern w:val="0"/>
          <w:u w:val="none"/>
        </w:rPr>
        <w:t>6</w:t>
      </w:r>
      <w:r>
        <w:rPr>
          <w:rFonts w:hint="eastAsia"/>
          <w:color w:val="000000"/>
          <w:kern w:val="0"/>
          <w:u w:val="none"/>
        </w:rPr>
        <w:t>.1 环境保护投资</w:t>
      </w:r>
      <w:bookmarkEnd w:id="289"/>
      <w:bookmarkEnd w:id="290"/>
    </w:p>
    <w:p>
      <w:pPr>
        <w:ind w:firstLine="480"/>
        <w:rPr>
          <w:rFonts w:hint="eastAsia"/>
          <w:color w:val="000000"/>
          <w:u w:val="none"/>
        </w:rPr>
      </w:pPr>
      <w:r>
        <w:rPr>
          <w:rFonts w:hint="eastAsia"/>
          <w:color w:val="000000"/>
          <w:u w:val="none"/>
          <w:lang w:val="en-US" w:eastAsia="zh-CN"/>
        </w:rPr>
        <w:t>本项目总投资</w:t>
      </w:r>
      <w:r>
        <w:rPr>
          <w:rFonts w:hint="eastAsia"/>
          <w:color w:val="000000"/>
          <w:u w:val="none"/>
        </w:rPr>
        <w:t>1284.83</w:t>
      </w:r>
      <w:r>
        <w:rPr>
          <w:rFonts w:hint="eastAsia"/>
          <w:color w:val="000000"/>
          <w:u w:val="none"/>
          <w:lang w:val="en-US" w:eastAsia="zh-CN"/>
        </w:rPr>
        <w:t>玩元，</w:t>
      </w:r>
      <w:r>
        <w:rPr>
          <w:color w:val="000000"/>
          <w:u w:val="none"/>
        </w:rPr>
        <w:t>本工程本身是一项旨在削减区域废水污染物排放量的环保工程，工程本身的全部投资都用于环境保护基础设施建设。本评价主要统计其用于营运期二次污染防治的资金，作为本工程的环保投资。具体见表6</w:t>
      </w:r>
      <w:r>
        <w:rPr>
          <w:rFonts w:hint="eastAsia"/>
          <w:color w:val="000000"/>
          <w:u w:val="none"/>
        </w:rPr>
        <w:t>.1-1</w:t>
      </w:r>
      <w:r>
        <w:rPr>
          <w:color w:val="000000"/>
          <w:u w:val="none"/>
        </w:rPr>
        <w:t>。</w:t>
      </w:r>
    </w:p>
    <w:p>
      <w:pPr>
        <w:ind w:firstLine="422"/>
        <w:jc w:val="center"/>
        <w:rPr>
          <w:b/>
          <w:color w:val="000000"/>
          <w:kern w:val="0"/>
          <w:sz w:val="21"/>
          <w:szCs w:val="21"/>
          <w:u w:val="single"/>
        </w:rPr>
      </w:pPr>
      <w:r>
        <w:rPr>
          <w:rFonts w:hint="eastAsia"/>
          <w:b/>
          <w:color w:val="000000"/>
          <w:kern w:val="0"/>
          <w:sz w:val="21"/>
          <w:szCs w:val="21"/>
          <w:u w:val="single"/>
        </w:rPr>
        <w:t>表</w:t>
      </w:r>
      <w:r>
        <w:rPr>
          <w:b/>
          <w:color w:val="000000"/>
          <w:kern w:val="0"/>
          <w:sz w:val="21"/>
          <w:szCs w:val="21"/>
          <w:u w:val="single"/>
        </w:rPr>
        <w:t>6</w:t>
      </w:r>
      <w:r>
        <w:rPr>
          <w:rFonts w:hint="eastAsia"/>
          <w:b/>
          <w:color w:val="000000"/>
          <w:kern w:val="0"/>
          <w:sz w:val="21"/>
          <w:szCs w:val="21"/>
          <w:u w:val="single"/>
        </w:rPr>
        <w:t>.1-1工程环保措施投资估算一览表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985"/>
        <w:gridCol w:w="1134"/>
        <w:gridCol w:w="2881"/>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noWrap w:val="0"/>
            <w:vAlign w:val="center"/>
          </w:tcPr>
          <w:p>
            <w:pPr>
              <w:pStyle w:val="79"/>
              <w:rPr>
                <w:b/>
                <w:bCs/>
                <w:u w:val="single"/>
              </w:rPr>
            </w:pPr>
            <w:r>
              <w:rPr>
                <w:b/>
                <w:bCs/>
                <w:u w:val="single"/>
              </w:rPr>
              <w:t>污染源</w:t>
            </w:r>
          </w:p>
        </w:tc>
        <w:tc>
          <w:tcPr>
            <w:tcW w:w="1985" w:type="dxa"/>
            <w:noWrap w:val="0"/>
            <w:vAlign w:val="center"/>
          </w:tcPr>
          <w:p>
            <w:pPr>
              <w:pStyle w:val="79"/>
              <w:rPr>
                <w:b/>
                <w:bCs/>
                <w:u w:val="single"/>
              </w:rPr>
            </w:pPr>
            <w:r>
              <w:rPr>
                <w:b/>
                <w:bCs/>
                <w:u w:val="single"/>
              </w:rPr>
              <w:t>环保设施名称</w:t>
            </w:r>
          </w:p>
        </w:tc>
        <w:tc>
          <w:tcPr>
            <w:tcW w:w="1134" w:type="dxa"/>
            <w:noWrap w:val="0"/>
            <w:vAlign w:val="center"/>
          </w:tcPr>
          <w:p>
            <w:pPr>
              <w:pStyle w:val="79"/>
              <w:rPr>
                <w:b/>
                <w:bCs/>
                <w:u w:val="single"/>
              </w:rPr>
            </w:pPr>
            <w:r>
              <w:rPr>
                <w:b/>
                <w:bCs/>
                <w:u w:val="single"/>
              </w:rPr>
              <w:t>投资（万元）</w:t>
            </w:r>
          </w:p>
        </w:tc>
        <w:tc>
          <w:tcPr>
            <w:tcW w:w="2881" w:type="dxa"/>
            <w:noWrap w:val="0"/>
            <w:vAlign w:val="center"/>
          </w:tcPr>
          <w:p>
            <w:pPr>
              <w:pStyle w:val="79"/>
              <w:rPr>
                <w:b/>
                <w:bCs/>
                <w:u w:val="single"/>
              </w:rPr>
            </w:pPr>
            <w:r>
              <w:rPr>
                <w:b/>
                <w:bCs/>
                <w:u w:val="single"/>
              </w:rPr>
              <w:t>内容</w:t>
            </w:r>
          </w:p>
        </w:tc>
        <w:tc>
          <w:tcPr>
            <w:tcW w:w="1513" w:type="dxa"/>
            <w:noWrap w:val="0"/>
            <w:vAlign w:val="center"/>
          </w:tcPr>
          <w:p>
            <w:pPr>
              <w:pStyle w:val="79"/>
              <w:rPr>
                <w:rFonts w:hint="eastAsia" w:eastAsia="宋体"/>
                <w:b/>
                <w:bCs/>
                <w:u w:val="single"/>
                <w:lang w:eastAsia="zh-CN"/>
              </w:rPr>
            </w:pPr>
            <w:r>
              <w:rPr>
                <w:rFonts w:hint="eastAsia"/>
                <w:b/>
                <w:bCs/>
                <w:u w:val="single"/>
                <w:lang w:eastAsia="zh-CN"/>
              </w:rPr>
              <w:t>是否投资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vMerge w:val="restart"/>
            <w:noWrap w:val="0"/>
            <w:vAlign w:val="center"/>
          </w:tcPr>
          <w:p>
            <w:pPr>
              <w:pStyle w:val="79"/>
              <w:rPr>
                <w:u w:val="single"/>
              </w:rPr>
            </w:pPr>
            <w:r>
              <w:rPr>
                <w:u w:val="single"/>
              </w:rPr>
              <w:t>废水</w:t>
            </w:r>
          </w:p>
        </w:tc>
        <w:tc>
          <w:tcPr>
            <w:tcW w:w="1985" w:type="dxa"/>
            <w:noWrap w:val="0"/>
            <w:vAlign w:val="center"/>
          </w:tcPr>
          <w:p>
            <w:pPr>
              <w:pStyle w:val="79"/>
              <w:rPr>
                <w:u w:val="single"/>
              </w:rPr>
            </w:pPr>
            <w:r>
              <w:rPr>
                <w:u w:val="single"/>
              </w:rPr>
              <w:t>化粪池</w:t>
            </w:r>
          </w:p>
        </w:tc>
        <w:tc>
          <w:tcPr>
            <w:tcW w:w="1134" w:type="dxa"/>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5</w:t>
            </w:r>
          </w:p>
        </w:tc>
        <w:tc>
          <w:tcPr>
            <w:tcW w:w="2881" w:type="dxa"/>
            <w:noWrap w:val="0"/>
            <w:vAlign w:val="center"/>
          </w:tcPr>
          <w:p>
            <w:pPr>
              <w:pStyle w:val="79"/>
              <w:rPr>
                <w:u w:val="single"/>
              </w:rPr>
            </w:pPr>
            <w:r>
              <w:rPr>
                <w:u w:val="single"/>
              </w:rPr>
              <w:t>施工临时生活区化粪池</w:t>
            </w:r>
          </w:p>
        </w:tc>
        <w:tc>
          <w:tcPr>
            <w:tcW w:w="1513" w:type="dxa"/>
            <w:noWrap w:val="0"/>
            <w:vAlign w:val="center"/>
          </w:tcPr>
          <w:p>
            <w:pPr>
              <w:pStyle w:val="79"/>
              <w:rPr>
                <w:rFonts w:hint="eastAsia" w:eastAsia="宋体"/>
                <w:u w:val="single"/>
                <w:lang w:eastAsia="zh-CN"/>
              </w:rPr>
            </w:pPr>
            <w:r>
              <w:rPr>
                <w:rFonts w:hint="eastAsia"/>
                <w:u w:val="single"/>
                <w:lang w:eastAsia="zh-CN"/>
              </w:rPr>
              <w:t>已投资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vMerge w:val="continue"/>
            <w:noWrap w:val="0"/>
            <w:vAlign w:val="center"/>
          </w:tcPr>
          <w:p>
            <w:pPr>
              <w:pStyle w:val="79"/>
              <w:rPr>
                <w:u w:val="single"/>
              </w:rPr>
            </w:pPr>
          </w:p>
        </w:tc>
        <w:tc>
          <w:tcPr>
            <w:tcW w:w="1985" w:type="dxa"/>
            <w:noWrap w:val="0"/>
            <w:vAlign w:val="center"/>
          </w:tcPr>
          <w:p>
            <w:pPr>
              <w:pStyle w:val="79"/>
              <w:rPr>
                <w:rFonts w:hint="eastAsia"/>
                <w:u w:val="single"/>
              </w:rPr>
            </w:pPr>
            <w:r>
              <w:rPr>
                <w:u w:val="single"/>
              </w:rPr>
              <w:t>地面硬化、防渗措施</w:t>
            </w:r>
            <w:r>
              <w:rPr>
                <w:rFonts w:hint="eastAsia"/>
                <w:u w:val="single"/>
              </w:rPr>
              <w:t>、地下水分区防渗、地下监测井</w:t>
            </w:r>
          </w:p>
        </w:tc>
        <w:tc>
          <w:tcPr>
            <w:tcW w:w="1134" w:type="dxa"/>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600</w:t>
            </w:r>
          </w:p>
        </w:tc>
        <w:tc>
          <w:tcPr>
            <w:tcW w:w="2881" w:type="dxa"/>
            <w:noWrap w:val="0"/>
            <w:vAlign w:val="center"/>
          </w:tcPr>
          <w:p>
            <w:pPr>
              <w:pStyle w:val="79"/>
              <w:rPr>
                <w:rFonts w:hint="eastAsia"/>
                <w:u w:val="single"/>
              </w:rPr>
            </w:pPr>
            <w:r>
              <w:rPr>
                <w:u w:val="single"/>
              </w:rPr>
              <w:t>污水池、排水沟等防渗措施</w:t>
            </w:r>
            <w:r>
              <w:rPr>
                <w:rFonts w:hint="eastAsia"/>
                <w:u w:val="single"/>
              </w:rPr>
              <w:t>；地下水分区防渗、地下监测井</w:t>
            </w:r>
          </w:p>
        </w:tc>
        <w:tc>
          <w:tcPr>
            <w:tcW w:w="1513" w:type="dxa"/>
            <w:noWrap w:val="0"/>
            <w:vAlign w:val="center"/>
          </w:tcPr>
          <w:p>
            <w:pPr>
              <w:pStyle w:val="79"/>
              <w:rPr>
                <w:rFonts w:hint="eastAsia" w:eastAsia="宋体"/>
                <w:u w:val="single"/>
                <w:lang w:eastAsia="zh-CN"/>
              </w:rPr>
            </w:pPr>
            <w:r>
              <w:rPr>
                <w:rFonts w:hint="eastAsia"/>
                <w:u w:val="single"/>
                <w:lang w:eastAsia="zh-CN"/>
              </w:rPr>
              <w:t>地下监控井整改投资，其他已投资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vMerge w:val="continue"/>
            <w:noWrap w:val="0"/>
            <w:vAlign w:val="center"/>
          </w:tcPr>
          <w:p>
            <w:pPr>
              <w:pStyle w:val="79"/>
              <w:rPr>
                <w:u w:val="single"/>
              </w:rPr>
            </w:pPr>
          </w:p>
        </w:tc>
        <w:tc>
          <w:tcPr>
            <w:tcW w:w="1985" w:type="dxa"/>
            <w:noWrap w:val="0"/>
            <w:vAlign w:val="center"/>
          </w:tcPr>
          <w:p>
            <w:pPr>
              <w:pStyle w:val="79"/>
              <w:rPr>
                <w:u w:val="single"/>
              </w:rPr>
            </w:pPr>
            <w:r>
              <w:rPr>
                <w:u w:val="single"/>
              </w:rPr>
              <w:t>污水进、出口在线监测设施</w:t>
            </w:r>
          </w:p>
        </w:tc>
        <w:tc>
          <w:tcPr>
            <w:tcW w:w="1134" w:type="dxa"/>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100</w:t>
            </w:r>
          </w:p>
        </w:tc>
        <w:tc>
          <w:tcPr>
            <w:tcW w:w="2881" w:type="dxa"/>
            <w:noWrap w:val="0"/>
            <w:vAlign w:val="center"/>
          </w:tcPr>
          <w:p>
            <w:pPr>
              <w:pStyle w:val="79"/>
              <w:rPr>
                <w:rFonts w:hint="eastAsia" w:eastAsia="宋体"/>
                <w:u w:val="single"/>
                <w:lang w:eastAsia="zh-CN"/>
              </w:rPr>
            </w:pPr>
            <w:r>
              <w:rPr>
                <w:u w:val="single"/>
              </w:rPr>
              <w:t>在线监测废水中</w:t>
            </w:r>
            <w:r>
              <w:rPr>
                <w:rFonts w:hint="eastAsia"/>
                <w:u w:val="single"/>
                <w:lang w:eastAsia="zh-CN"/>
              </w:rPr>
              <w:t>总锰、总铬、六价铬、总锌、总铅、总钒</w:t>
            </w:r>
          </w:p>
        </w:tc>
        <w:tc>
          <w:tcPr>
            <w:tcW w:w="1513" w:type="dxa"/>
            <w:noWrap w:val="0"/>
            <w:vAlign w:val="center"/>
          </w:tcPr>
          <w:p>
            <w:pPr>
              <w:pStyle w:val="79"/>
              <w:rPr>
                <w:u w:val="single"/>
              </w:rPr>
            </w:pPr>
            <w:r>
              <w:rPr>
                <w:rFonts w:hint="eastAsia"/>
                <w:u w:val="single"/>
                <w:lang w:eastAsia="zh-CN"/>
              </w:rPr>
              <w:t>已投资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noWrap w:val="0"/>
            <w:vAlign w:val="center"/>
          </w:tcPr>
          <w:p>
            <w:pPr>
              <w:pStyle w:val="79"/>
              <w:rPr>
                <w:u w:val="single"/>
              </w:rPr>
            </w:pPr>
            <w:r>
              <w:rPr>
                <w:u w:val="single"/>
              </w:rPr>
              <w:t>噪声</w:t>
            </w:r>
          </w:p>
        </w:tc>
        <w:tc>
          <w:tcPr>
            <w:tcW w:w="1985" w:type="dxa"/>
            <w:noWrap w:val="0"/>
            <w:vAlign w:val="center"/>
          </w:tcPr>
          <w:p>
            <w:pPr>
              <w:pStyle w:val="79"/>
              <w:rPr>
                <w:u w:val="single"/>
              </w:rPr>
            </w:pPr>
            <w:r>
              <w:rPr>
                <w:u w:val="single"/>
              </w:rPr>
              <w:t>减震基座、厂房隔声、消音</w:t>
            </w:r>
          </w:p>
        </w:tc>
        <w:tc>
          <w:tcPr>
            <w:tcW w:w="1134" w:type="dxa"/>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16</w:t>
            </w:r>
          </w:p>
        </w:tc>
        <w:tc>
          <w:tcPr>
            <w:tcW w:w="2881" w:type="dxa"/>
            <w:noWrap w:val="0"/>
            <w:vAlign w:val="center"/>
          </w:tcPr>
          <w:p>
            <w:pPr>
              <w:pStyle w:val="79"/>
              <w:rPr>
                <w:u w:val="single"/>
              </w:rPr>
            </w:pPr>
            <w:r>
              <w:rPr>
                <w:u w:val="single"/>
              </w:rPr>
              <w:t>水泵、污泥泵、风机等设备</w:t>
            </w:r>
            <w:r>
              <w:rPr>
                <w:rFonts w:hint="eastAsia"/>
                <w:u w:val="single"/>
              </w:rPr>
              <w:t xml:space="preserve"> </w:t>
            </w:r>
          </w:p>
        </w:tc>
        <w:tc>
          <w:tcPr>
            <w:tcW w:w="1513" w:type="dxa"/>
            <w:noWrap w:val="0"/>
            <w:vAlign w:val="center"/>
          </w:tcPr>
          <w:p>
            <w:pPr>
              <w:pStyle w:val="79"/>
              <w:rPr>
                <w:u w:val="single"/>
              </w:rPr>
            </w:pPr>
            <w:r>
              <w:rPr>
                <w:rFonts w:hint="eastAsia"/>
                <w:u w:val="single"/>
                <w:lang w:eastAsia="zh-CN"/>
              </w:rPr>
              <w:t>已投资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17" w:type="dxa"/>
            <w:vMerge w:val="restart"/>
            <w:noWrap w:val="0"/>
            <w:vAlign w:val="center"/>
          </w:tcPr>
          <w:p>
            <w:pPr>
              <w:pStyle w:val="79"/>
              <w:rPr>
                <w:u w:val="single"/>
              </w:rPr>
            </w:pPr>
            <w:r>
              <w:rPr>
                <w:u w:val="single"/>
              </w:rPr>
              <w:t>固废</w:t>
            </w:r>
          </w:p>
        </w:tc>
        <w:tc>
          <w:tcPr>
            <w:tcW w:w="1985" w:type="dxa"/>
            <w:noWrap w:val="0"/>
            <w:vAlign w:val="center"/>
          </w:tcPr>
          <w:p>
            <w:pPr>
              <w:pStyle w:val="79"/>
              <w:rPr>
                <w:u w:val="single"/>
              </w:rPr>
            </w:pPr>
            <w:r>
              <w:rPr>
                <w:u w:val="single"/>
              </w:rPr>
              <w:t>垃圾收集与清运措施</w:t>
            </w:r>
          </w:p>
        </w:tc>
        <w:tc>
          <w:tcPr>
            <w:tcW w:w="1134" w:type="dxa"/>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5</w:t>
            </w:r>
          </w:p>
        </w:tc>
        <w:tc>
          <w:tcPr>
            <w:tcW w:w="2881" w:type="dxa"/>
            <w:noWrap w:val="0"/>
            <w:vAlign w:val="center"/>
          </w:tcPr>
          <w:p>
            <w:pPr>
              <w:pStyle w:val="79"/>
              <w:rPr>
                <w:u w:val="single"/>
              </w:rPr>
            </w:pPr>
            <w:r>
              <w:rPr>
                <w:u w:val="single"/>
              </w:rPr>
              <w:t>生活区垃圾收集</w:t>
            </w:r>
          </w:p>
        </w:tc>
        <w:tc>
          <w:tcPr>
            <w:tcW w:w="1513" w:type="dxa"/>
            <w:noWrap w:val="0"/>
            <w:vAlign w:val="center"/>
          </w:tcPr>
          <w:p>
            <w:pPr>
              <w:pStyle w:val="79"/>
              <w:rPr>
                <w:u w:val="single"/>
              </w:rPr>
            </w:pPr>
            <w:r>
              <w:rPr>
                <w:rFonts w:hint="eastAsia"/>
                <w:u w:val="single"/>
                <w:lang w:eastAsia="zh-CN"/>
              </w:rPr>
              <w:t>已投资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17" w:type="dxa"/>
            <w:vMerge w:val="continue"/>
            <w:noWrap w:val="0"/>
            <w:vAlign w:val="center"/>
          </w:tcPr>
          <w:p>
            <w:pPr>
              <w:pStyle w:val="79"/>
              <w:rPr>
                <w:u w:val="single"/>
              </w:rPr>
            </w:pPr>
          </w:p>
        </w:tc>
        <w:tc>
          <w:tcPr>
            <w:tcW w:w="1985" w:type="dxa"/>
            <w:noWrap w:val="0"/>
            <w:vAlign w:val="center"/>
          </w:tcPr>
          <w:p>
            <w:pPr>
              <w:pStyle w:val="79"/>
              <w:rPr>
                <w:u w:val="single"/>
              </w:rPr>
            </w:pPr>
            <w:r>
              <w:rPr>
                <w:u w:val="single"/>
              </w:rPr>
              <w:t>污泥运输</w:t>
            </w:r>
          </w:p>
        </w:tc>
        <w:tc>
          <w:tcPr>
            <w:tcW w:w="1134" w:type="dxa"/>
            <w:noWrap w:val="0"/>
            <w:vAlign w:val="center"/>
          </w:tcPr>
          <w:p>
            <w:pPr>
              <w:pStyle w:val="79"/>
              <w:rPr>
                <w:rFonts w:hint="default" w:ascii="Times New Roman" w:hAnsi="Times New Roman" w:eastAsia="宋体" w:cs="Times New Roman"/>
                <w:u w:val="single"/>
                <w:lang w:val="en-US" w:eastAsia="zh-CN"/>
              </w:rPr>
            </w:pPr>
            <w:r>
              <w:rPr>
                <w:rFonts w:hint="eastAsia" w:ascii="Times New Roman" w:hAnsi="Times New Roman" w:cs="Times New Roman"/>
                <w:u w:val="single"/>
                <w:lang w:val="en-US" w:eastAsia="zh-CN"/>
              </w:rPr>
              <w:t>25</w:t>
            </w:r>
          </w:p>
        </w:tc>
        <w:tc>
          <w:tcPr>
            <w:tcW w:w="2881" w:type="dxa"/>
            <w:noWrap w:val="0"/>
            <w:vAlign w:val="center"/>
          </w:tcPr>
          <w:p>
            <w:pPr>
              <w:pStyle w:val="79"/>
              <w:rPr>
                <w:u w:val="single"/>
              </w:rPr>
            </w:pPr>
            <w:r>
              <w:rPr>
                <w:u w:val="single"/>
              </w:rPr>
              <w:t>加盖、翻斗污泥运输车</w:t>
            </w:r>
          </w:p>
        </w:tc>
        <w:tc>
          <w:tcPr>
            <w:tcW w:w="1513" w:type="dxa"/>
            <w:noWrap w:val="0"/>
            <w:vAlign w:val="center"/>
          </w:tcPr>
          <w:p>
            <w:pPr>
              <w:pStyle w:val="79"/>
              <w:rPr>
                <w:rFonts w:hint="eastAsia" w:eastAsia="宋体"/>
                <w:u w:val="single"/>
                <w:lang w:eastAsia="zh-CN"/>
              </w:rPr>
            </w:pPr>
            <w:r>
              <w:rPr>
                <w:u w:val="single"/>
              </w:rPr>
              <w:t>运营期</w:t>
            </w:r>
            <w:r>
              <w:rPr>
                <w:rFonts w:hint="eastAsia"/>
                <w:u w:val="single"/>
                <w:lang w:eastAsia="zh-CN"/>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noWrap w:val="0"/>
            <w:vAlign w:val="center"/>
          </w:tcPr>
          <w:p>
            <w:pPr>
              <w:pStyle w:val="79"/>
              <w:rPr>
                <w:u w:val="single"/>
              </w:rPr>
            </w:pPr>
            <w:r>
              <w:rPr>
                <w:u w:val="single"/>
              </w:rPr>
              <w:t>绿化</w:t>
            </w:r>
          </w:p>
        </w:tc>
        <w:tc>
          <w:tcPr>
            <w:tcW w:w="1985" w:type="dxa"/>
            <w:noWrap w:val="0"/>
            <w:vAlign w:val="center"/>
          </w:tcPr>
          <w:p>
            <w:pPr>
              <w:pStyle w:val="79"/>
              <w:rPr>
                <w:u w:val="single"/>
              </w:rPr>
            </w:pPr>
            <w:r>
              <w:rPr>
                <w:u w:val="single"/>
              </w:rPr>
              <w:t>厂区绿化以及周边防林带、管线以及道路周围植被恢复</w:t>
            </w:r>
          </w:p>
        </w:tc>
        <w:tc>
          <w:tcPr>
            <w:tcW w:w="1134" w:type="dxa"/>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20</w:t>
            </w:r>
          </w:p>
        </w:tc>
        <w:tc>
          <w:tcPr>
            <w:tcW w:w="2881" w:type="dxa"/>
            <w:noWrap w:val="0"/>
            <w:vAlign w:val="center"/>
          </w:tcPr>
          <w:p>
            <w:pPr>
              <w:pStyle w:val="79"/>
              <w:rPr>
                <w:rFonts w:hint="eastAsia" w:eastAsia="宋体"/>
                <w:u w:val="single"/>
                <w:lang w:eastAsia="zh-CN"/>
              </w:rPr>
            </w:pPr>
            <w:r>
              <w:rPr>
                <w:rFonts w:hint="eastAsia"/>
                <w:u w:val="single"/>
                <w:lang w:val="en-US" w:eastAsia="zh-CN"/>
              </w:rPr>
              <w:t>/</w:t>
            </w:r>
          </w:p>
        </w:tc>
        <w:tc>
          <w:tcPr>
            <w:tcW w:w="1513" w:type="dxa"/>
            <w:noWrap w:val="0"/>
            <w:vAlign w:val="center"/>
          </w:tcPr>
          <w:p>
            <w:pPr>
              <w:pStyle w:val="79"/>
              <w:rPr>
                <w:u w:val="single"/>
              </w:rPr>
            </w:pPr>
            <w:r>
              <w:rPr>
                <w:rFonts w:hint="eastAsia"/>
                <w:u w:val="single"/>
                <w:lang w:eastAsia="zh-CN"/>
              </w:rPr>
              <w:t>已投资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2" w:type="dxa"/>
            <w:gridSpan w:val="2"/>
            <w:noWrap w:val="0"/>
            <w:vAlign w:val="center"/>
          </w:tcPr>
          <w:p>
            <w:pPr>
              <w:pStyle w:val="79"/>
              <w:rPr>
                <w:u w:val="single"/>
              </w:rPr>
            </w:pPr>
            <w:r>
              <w:rPr>
                <w:u w:val="single"/>
              </w:rPr>
              <w:t>合计</w:t>
            </w:r>
          </w:p>
        </w:tc>
        <w:tc>
          <w:tcPr>
            <w:tcW w:w="1134" w:type="dxa"/>
            <w:noWrap w:val="0"/>
            <w:vAlign w:val="center"/>
          </w:tcPr>
          <w:p>
            <w:pPr>
              <w:pStyle w:val="79"/>
              <w:rPr>
                <w:rFonts w:hint="default" w:ascii="Times New Roman" w:hAnsi="Times New Roman" w:eastAsia="宋体" w:cs="Times New Roman"/>
                <w:u w:val="single"/>
                <w:lang w:val="en-US" w:eastAsia="zh-CN"/>
              </w:rPr>
            </w:pPr>
            <w:r>
              <w:rPr>
                <w:rFonts w:hint="eastAsia" w:ascii="Times New Roman" w:hAnsi="Times New Roman" w:cs="Times New Roman"/>
                <w:u w:val="single"/>
                <w:lang w:val="en-US" w:eastAsia="zh-CN"/>
              </w:rPr>
              <w:t>771</w:t>
            </w:r>
          </w:p>
        </w:tc>
        <w:tc>
          <w:tcPr>
            <w:tcW w:w="2881" w:type="dxa"/>
            <w:noWrap w:val="0"/>
            <w:vAlign w:val="center"/>
          </w:tcPr>
          <w:p>
            <w:pPr>
              <w:pStyle w:val="79"/>
              <w:rPr>
                <w:u w:val="single"/>
              </w:rPr>
            </w:pPr>
            <w:r>
              <w:rPr>
                <w:u w:val="single"/>
              </w:rPr>
              <w:t>/</w:t>
            </w:r>
          </w:p>
        </w:tc>
        <w:tc>
          <w:tcPr>
            <w:tcW w:w="1513" w:type="dxa"/>
            <w:noWrap w:val="0"/>
            <w:vAlign w:val="center"/>
          </w:tcPr>
          <w:p>
            <w:pPr>
              <w:pStyle w:val="79"/>
              <w:rPr>
                <w:u w:val="single"/>
              </w:rPr>
            </w:pPr>
            <w:r>
              <w:rPr>
                <w:u w:val="single"/>
              </w:rPr>
              <w:t>/</w:t>
            </w:r>
          </w:p>
        </w:tc>
      </w:tr>
    </w:tbl>
    <w:p>
      <w:pPr>
        <w:pStyle w:val="86"/>
        <w:widowControl w:val="0"/>
        <w:spacing w:before="120" w:after="120"/>
        <w:rPr>
          <w:color w:val="000000"/>
          <w:kern w:val="0"/>
        </w:rPr>
      </w:pPr>
      <w:bookmarkStart w:id="291" w:name="_Toc29308678"/>
      <w:bookmarkStart w:id="292" w:name="_Toc27638"/>
      <w:r>
        <w:rPr>
          <w:color w:val="000000"/>
          <w:kern w:val="0"/>
        </w:rPr>
        <w:t>6</w:t>
      </w:r>
      <w:r>
        <w:rPr>
          <w:rFonts w:hint="eastAsia"/>
          <w:color w:val="000000"/>
          <w:kern w:val="0"/>
        </w:rPr>
        <w:t>.2 环境损益分析</w:t>
      </w:r>
      <w:bookmarkEnd w:id="291"/>
      <w:bookmarkEnd w:id="292"/>
    </w:p>
    <w:p>
      <w:pPr>
        <w:widowControl w:val="0"/>
        <w:ind w:firstLine="480"/>
        <w:rPr>
          <w:rFonts w:hint="eastAsia"/>
          <w:color w:val="000000"/>
          <w:kern w:val="0"/>
        </w:rPr>
      </w:pPr>
      <w:r>
        <w:t>项目</w:t>
      </w:r>
      <w:r>
        <w:rPr>
          <w:rFonts w:hint="eastAsia"/>
          <w:color w:val="000000"/>
          <w:kern w:val="0"/>
        </w:rPr>
        <w:t>处理能力为</w:t>
      </w:r>
      <w:r>
        <w:rPr>
          <w:rFonts w:hint="eastAsia"/>
          <w:color w:val="000000"/>
          <w:kern w:val="0"/>
          <w:lang w:val="en-US" w:eastAsia="zh-CN"/>
        </w:rPr>
        <w:t>3000</w:t>
      </w:r>
      <w:r>
        <w:rPr>
          <w:rFonts w:hint="eastAsia"/>
          <w:color w:val="000000"/>
          <w:kern w:val="0"/>
        </w:rPr>
        <w:t>m</w:t>
      </w:r>
      <w:r>
        <w:rPr>
          <w:rFonts w:hint="eastAsia"/>
          <w:color w:val="000000"/>
          <w:kern w:val="0"/>
          <w:vertAlign w:val="superscript"/>
        </w:rPr>
        <w:t>3</w:t>
      </w:r>
      <w:r>
        <w:rPr>
          <w:rFonts w:hint="eastAsia"/>
          <w:color w:val="000000"/>
          <w:kern w:val="0"/>
        </w:rPr>
        <w:t>/d，主要污染物为</w:t>
      </w:r>
      <w:r>
        <w:rPr>
          <w:rFonts w:hint="eastAsia"/>
          <w:color w:val="000000"/>
          <w:kern w:val="0"/>
          <w:lang w:eastAsia="zh-CN"/>
        </w:rPr>
        <w:t>重金属</w:t>
      </w:r>
      <w:r>
        <w:rPr>
          <w:rFonts w:hint="eastAsia"/>
          <w:color w:val="000000"/>
          <w:kern w:val="0"/>
        </w:rPr>
        <w:t>。该工程的实施将减轻</w:t>
      </w:r>
      <w:r>
        <w:rPr>
          <w:rFonts w:hint="eastAsia"/>
          <w:color w:val="000000"/>
          <w:kern w:val="0"/>
          <w:lang w:eastAsia="zh-CN"/>
        </w:rPr>
        <w:t>园区重金属废水</w:t>
      </w:r>
      <w:r>
        <w:rPr>
          <w:rFonts w:hint="eastAsia"/>
          <w:color w:val="000000"/>
          <w:kern w:val="0"/>
        </w:rPr>
        <w:t>污水排放对</w:t>
      </w:r>
      <w:r>
        <w:rPr>
          <w:rFonts w:hint="eastAsia"/>
          <w:color w:val="000000"/>
          <w:kern w:val="0"/>
          <w:lang w:eastAsia="zh-CN"/>
        </w:rPr>
        <w:t>区域的环境风险</w:t>
      </w:r>
      <w:r>
        <w:rPr>
          <w:rFonts w:hint="eastAsia"/>
          <w:color w:val="000000"/>
          <w:kern w:val="0"/>
        </w:rPr>
        <w:t>，并为</w:t>
      </w:r>
      <w:r>
        <w:rPr>
          <w:rFonts w:hint="eastAsia"/>
          <w:color w:val="000000"/>
          <w:kern w:val="0"/>
          <w:lang w:eastAsia="zh-CN"/>
        </w:rPr>
        <w:t>花垣工业集中区</w:t>
      </w:r>
      <w:r>
        <w:rPr>
          <w:rFonts w:hint="eastAsia"/>
          <w:color w:val="000000"/>
          <w:kern w:val="0"/>
        </w:rPr>
        <w:t>的建设提供环境保障，环境效益显著。</w:t>
      </w:r>
    </w:p>
    <w:p>
      <w:pPr>
        <w:ind w:firstLine="480"/>
        <w:rPr>
          <w:rFonts w:hint="eastAsia"/>
          <w:color w:val="000000"/>
          <w:kern w:val="0"/>
        </w:rPr>
      </w:pPr>
      <w:r>
        <w:rPr>
          <w:rFonts w:hint="eastAsia"/>
          <w:color w:val="000000"/>
          <w:kern w:val="0"/>
        </w:rPr>
        <w:t>（1）直接经济效益</w:t>
      </w:r>
    </w:p>
    <w:p>
      <w:pPr>
        <w:ind w:firstLine="480"/>
        <w:rPr>
          <w:rFonts w:eastAsia="Times New Roman"/>
          <w:color w:val="000000"/>
          <w:kern w:val="0"/>
          <w:sz w:val="16"/>
        </w:rPr>
      </w:pPr>
      <w:r>
        <w:rPr>
          <w:rFonts w:hint="eastAsia"/>
          <w:color w:val="000000"/>
          <w:kern w:val="0"/>
        </w:rPr>
        <w:t>本项目为环境保护整治工程，工程投运后，其主要效益体现在改善环保状况方面，但同时可带来良好的经济效益，实施过程用工可带动当地就业，同时可改善受污染区域的生活、生产和投资环境，增强招商引资吸引力，促进当地经济全面发展，从而产生间接经济效益</w:t>
      </w:r>
      <w:r>
        <w:rPr>
          <w:color w:val="000000"/>
          <w:kern w:val="0"/>
        </w:rPr>
        <w:t>。</w:t>
      </w:r>
    </w:p>
    <w:p>
      <w:pPr>
        <w:ind w:firstLine="480"/>
        <w:rPr>
          <w:color w:val="000000"/>
          <w:kern w:val="0"/>
        </w:rPr>
      </w:pPr>
      <w:r>
        <w:rPr>
          <w:rFonts w:hint="eastAsia"/>
          <w:color w:val="000000"/>
          <w:kern w:val="0"/>
        </w:rPr>
        <w:t>（2）间接效益</w:t>
      </w:r>
    </w:p>
    <w:p>
      <w:pPr>
        <w:ind w:firstLine="480"/>
        <w:rPr>
          <w:color w:val="000000"/>
          <w:kern w:val="0"/>
        </w:rPr>
      </w:pPr>
      <w:r>
        <w:rPr>
          <w:color w:val="000000"/>
          <w:kern w:val="0"/>
        </w:rPr>
        <w:t>污水处理工程其经济效益主要表现在改善水环境后减少因水污染而造成的经济损失等的间接效益。</w:t>
      </w:r>
    </w:p>
    <w:p>
      <w:pPr>
        <w:ind w:firstLine="480"/>
        <w:rPr>
          <w:color w:val="000000"/>
          <w:kern w:val="0"/>
        </w:rPr>
      </w:pPr>
      <w:r>
        <w:rPr>
          <w:rFonts w:hint="eastAsia" w:cs="宋体"/>
          <w:color w:val="000000"/>
          <w:kern w:val="0"/>
        </w:rPr>
        <w:t>①</w:t>
      </w:r>
      <w:r>
        <w:rPr>
          <w:rFonts w:hint="eastAsia"/>
          <w:color w:val="000000"/>
          <w:kern w:val="0"/>
        </w:rPr>
        <w:t>节</w:t>
      </w:r>
      <w:r>
        <w:rPr>
          <w:color w:val="000000"/>
          <w:kern w:val="0"/>
        </w:rPr>
        <w:t>省部分工业用水处理费用。</w:t>
      </w:r>
    </w:p>
    <w:p>
      <w:pPr>
        <w:ind w:firstLine="480"/>
        <w:rPr>
          <w:rFonts w:hint="eastAsia"/>
          <w:color w:val="000000"/>
          <w:kern w:val="0"/>
        </w:rPr>
      </w:pPr>
      <w:r>
        <w:rPr>
          <w:rFonts w:hint="eastAsia" w:cs="宋体"/>
          <w:color w:val="000000"/>
          <w:kern w:val="0"/>
        </w:rPr>
        <w:t>②</w:t>
      </w:r>
      <w:r>
        <w:rPr>
          <w:rFonts w:hint="eastAsia"/>
          <w:color w:val="000000"/>
          <w:kern w:val="0"/>
        </w:rPr>
        <w:t>减</w:t>
      </w:r>
      <w:r>
        <w:rPr>
          <w:color w:val="000000"/>
          <w:kern w:val="0"/>
        </w:rPr>
        <w:t>少污水分散处理运行开支。</w:t>
      </w:r>
    </w:p>
    <w:p>
      <w:pPr>
        <w:ind w:firstLine="480"/>
        <w:rPr>
          <w:rFonts w:hint="eastAsia"/>
          <w:color w:val="000000"/>
          <w:kern w:val="0"/>
        </w:rPr>
      </w:pPr>
      <w:r>
        <w:rPr>
          <w:rFonts w:hint="eastAsia" w:cs="宋体"/>
          <w:color w:val="000000"/>
          <w:kern w:val="0"/>
        </w:rPr>
        <w:t>③土</w:t>
      </w:r>
      <w:r>
        <w:rPr>
          <w:color w:val="000000"/>
          <w:kern w:val="0"/>
        </w:rPr>
        <w:t>地增值作用。污水处理</w:t>
      </w:r>
      <w:r>
        <w:rPr>
          <w:rFonts w:hint="eastAsia"/>
          <w:color w:val="000000"/>
          <w:kern w:val="0"/>
          <w:lang w:eastAsia="zh-CN"/>
        </w:rPr>
        <w:t>站</w:t>
      </w:r>
      <w:r>
        <w:rPr>
          <w:color w:val="000000"/>
          <w:kern w:val="0"/>
        </w:rPr>
        <w:t>的建设解决了地块开发的污水问题，区域水环境也将得到改善，同时改善周边区域大环境，城市的土地价值会随之而提高，从而改善投资环境，吸引外商投资。</w:t>
      </w:r>
    </w:p>
    <w:p>
      <w:pPr>
        <w:ind w:firstLine="480"/>
        <w:rPr>
          <w:rFonts w:hint="eastAsia"/>
          <w:color w:val="000000"/>
          <w:kern w:val="0"/>
        </w:rPr>
      </w:pPr>
      <w:r>
        <w:rPr>
          <w:rFonts w:hint="eastAsia" w:cs="宋体"/>
          <w:color w:val="000000"/>
          <w:kern w:val="0"/>
        </w:rPr>
        <w:t>④</w:t>
      </w:r>
      <w:r>
        <w:rPr>
          <w:rFonts w:hint="eastAsia"/>
          <w:color w:val="000000"/>
          <w:kern w:val="0"/>
        </w:rPr>
        <w:t>减</w:t>
      </w:r>
      <w:r>
        <w:rPr>
          <w:color w:val="000000"/>
          <w:kern w:val="0"/>
        </w:rPr>
        <w:t>少水污染对农业、渔业的收成损害。</w:t>
      </w:r>
    </w:p>
    <w:p>
      <w:pPr>
        <w:ind w:firstLine="480"/>
        <w:rPr>
          <w:color w:val="000000"/>
          <w:kern w:val="0"/>
        </w:rPr>
      </w:pPr>
      <w:r>
        <w:rPr>
          <w:rFonts w:hint="eastAsia" w:cs="宋体"/>
          <w:color w:val="000000"/>
          <w:kern w:val="0"/>
        </w:rPr>
        <w:t>⑤</w:t>
      </w:r>
      <w:r>
        <w:rPr>
          <w:rFonts w:hint="eastAsia"/>
          <w:color w:val="000000"/>
          <w:kern w:val="0"/>
        </w:rPr>
        <w:t>通</w:t>
      </w:r>
      <w:r>
        <w:rPr>
          <w:color w:val="000000"/>
          <w:kern w:val="0"/>
        </w:rPr>
        <w:t>过污水处理</w:t>
      </w:r>
      <w:r>
        <w:rPr>
          <w:rFonts w:hint="eastAsia"/>
          <w:color w:val="000000"/>
          <w:kern w:val="0"/>
          <w:lang w:eastAsia="zh-CN"/>
        </w:rPr>
        <w:t>站</w:t>
      </w:r>
      <w:r>
        <w:rPr>
          <w:color w:val="000000"/>
          <w:kern w:val="0"/>
        </w:rPr>
        <w:t>工程的建设，可以改善</w:t>
      </w:r>
      <w:r>
        <w:rPr>
          <w:rFonts w:hint="eastAsia"/>
          <w:color w:val="000000"/>
          <w:kern w:val="0"/>
        </w:rPr>
        <w:t>万溶江</w:t>
      </w:r>
      <w:r>
        <w:rPr>
          <w:color w:val="000000"/>
          <w:kern w:val="0"/>
        </w:rPr>
        <w:t>的水质。</w:t>
      </w:r>
    </w:p>
    <w:p>
      <w:pPr>
        <w:ind w:firstLine="480"/>
        <w:rPr>
          <w:color w:val="000000"/>
          <w:kern w:val="0"/>
        </w:rPr>
      </w:pPr>
      <w:r>
        <w:rPr>
          <w:rFonts w:hint="eastAsia" w:cs="宋体"/>
          <w:color w:val="000000"/>
          <w:kern w:val="0"/>
        </w:rPr>
        <w:t>⑥</w:t>
      </w:r>
      <w:r>
        <w:rPr>
          <w:rFonts w:hint="eastAsia"/>
          <w:color w:val="000000"/>
          <w:kern w:val="0"/>
        </w:rPr>
        <w:t>水</w:t>
      </w:r>
      <w:r>
        <w:rPr>
          <w:color w:val="000000"/>
          <w:kern w:val="0"/>
        </w:rPr>
        <w:t>质改善有利于</w:t>
      </w:r>
      <w:r>
        <w:rPr>
          <w:rFonts w:hint="eastAsia"/>
          <w:color w:val="000000"/>
          <w:kern w:val="0"/>
          <w:lang w:eastAsia="zh-CN"/>
        </w:rPr>
        <w:t>花垣县</w:t>
      </w:r>
      <w:r>
        <w:rPr>
          <w:rFonts w:hint="eastAsia"/>
          <w:color w:val="000000"/>
          <w:kern w:val="0"/>
        </w:rPr>
        <w:t>工</w:t>
      </w:r>
      <w:r>
        <w:rPr>
          <w:color w:val="000000"/>
          <w:kern w:val="0"/>
        </w:rPr>
        <w:t>业的发展，由此可见，进行本项目的建设具有巨大的经济效益。</w:t>
      </w:r>
    </w:p>
    <w:p>
      <w:pPr>
        <w:ind w:firstLine="480"/>
        <w:rPr>
          <w:color w:val="000000"/>
          <w:kern w:val="0"/>
        </w:rPr>
      </w:pPr>
      <w:r>
        <w:rPr>
          <w:rFonts w:hint="eastAsia"/>
          <w:color w:val="000000"/>
          <w:kern w:val="0"/>
        </w:rPr>
        <w:t>（3）社会效益分析</w:t>
      </w:r>
    </w:p>
    <w:p>
      <w:pPr>
        <w:ind w:firstLine="480"/>
        <w:rPr>
          <w:color w:val="000000"/>
          <w:kern w:val="0"/>
        </w:rPr>
      </w:pPr>
      <w:r>
        <w:rPr>
          <w:color w:val="000000"/>
          <w:kern w:val="0"/>
        </w:rPr>
        <w:t>环境社会效益是站在国民经济评价的角度上考察项目对社会作出的贡献。污水处理项目的公共服务性是区别于其它建设项目的显著特点之一。</w:t>
      </w:r>
    </w:p>
    <w:p>
      <w:pPr>
        <w:ind w:firstLine="480"/>
        <w:rPr>
          <w:color w:val="000000"/>
          <w:kern w:val="0"/>
        </w:rPr>
      </w:pPr>
      <w:r>
        <w:rPr>
          <w:color w:val="000000"/>
          <w:kern w:val="0"/>
        </w:rPr>
        <w:t>随着工业集中区的开发，该地区的用水量将大幅度增加，这部分用水若无组织、未经处理直接进入</w:t>
      </w:r>
      <w:r>
        <w:rPr>
          <w:rFonts w:hint="eastAsia"/>
          <w:color w:val="000000"/>
          <w:kern w:val="0"/>
          <w:lang w:eastAsia="zh-CN"/>
        </w:rPr>
        <w:t>花垣河</w:t>
      </w:r>
      <w:r>
        <w:rPr>
          <w:color w:val="000000"/>
          <w:kern w:val="0"/>
        </w:rPr>
        <w:t>，将会使</w:t>
      </w:r>
      <w:r>
        <w:rPr>
          <w:rFonts w:hint="eastAsia"/>
          <w:color w:val="000000"/>
          <w:kern w:val="0"/>
          <w:lang w:eastAsia="zh-CN"/>
        </w:rPr>
        <w:t>花垣河</w:t>
      </w:r>
      <w:r>
        <w:rPr>
          <w:color w:val="000000"/>
          <w:kern w:val="0"/>
        </w:rPr>
        <w:t>水质恶化，污染加剧，并危害到当地人民的生活饮用水安全。污水处理</w:t>
      </w:r>
      <w:r>
        <w:rPr>
          <w:rFonts w:hint="eastAsia"/>
          <w:color w:val="000000"/>
          <w:kern w:val="0"/>
          <w:lang w:eastAsia="zh-CN"/>
        </w:rPr>
        <w:t>站</w:t>
      </w:r>
      <w:r>
        <w:rPr>
          <w:color w:val="000000"/>
          <w:kern w:val="0"/>
        </w:rPr>
        <w:t>运行后其出水达到排放标准，出水排入</w:t>
      </w:r>
      <w:r>
        <w:rPr>
          <w:rFonts w:hint="eastAsia"/>
          <w:color w:val="000000"/>
          <w:kern w:val="0"/>
          <w:lang w:eastAsia="zh-CN"/>
        </w:rPr>
        <w:t>花垣河</w:t>
      </w:r>
      <w:r>
        <w:rPr>
          <w:color w:val="000000"/>
          <w:kern w:val="0"/>
        </w:rPr>
        <w:t>，将使</w:t>
      </w:r>
      <w:r>
        <w:rPr>
          <w:rFonts w:hint="eastAsia"/>
          <w:color w:val="000000"/>
          <w:kern w:val="0"/>
          <w:lang w:eastAsia="zh-CN"/>
        </w:rPr>
        <w:t>花垣</w:t>
      </w:r>
      <w:r>
        <w:rPr>
          <w:color w:val="000000"/>
          <w:kern w:val="0"/>
        </w:rPr>
        <w:t>水质得到改善。</w:t>
      </w:r>
    </w:p>
    <w:p>
      <w:pPr>
        <w:pStyle w:val="7"/>
        <w:ind w:firstLine="643"/>
        <w:rPr>
          <w:color w:val="000000"/>
          <w:kern w:val="0"/>
        </w:rPr>
        <w:sectPr>
          <w:footerReference r:id="rId22" w:type="default"/>
          <w:pgSz w:w="11910" w:h="16840"/>
          <w:pgMar w:top="1440" w:right="1800" w:bottom="1440" w:left="1800" w:header="905" w:footer="680" w:gutter="0"/>
          <w:pgBorders>
            <w:top w:val="none" w:sz="0" w:space="0"/>
            <w:left w:val="none" w:sz="0" w:space="0"/>
            <w:bottom w:val="none" w:sz="0" w:space="0"/>
            <w:right w:val="none" w:sz="0" w:space="0"/>
          </w:pgBorders>
          <w:pgNumType w:fmt="decimal"/>
          <w:cols w:space="720" w:num="1"/>
          <w:docGrid w:linePitch="326" w:charSpace="0"/>
        </w:sectPr>
      </w:pPr>
      <w:bookmarkStart w:id="293" w:name="_Toc29308679"/>
    </w:p>
    <w:p>
      <w:pPr>
        <w:pStyle w:val="7"/>
        <w:ind w:firstLine="643"/>
        <w:rPr>
          <w:rFonts w:hint="eastAsia"/>
          <w:color w:val="000000"/>
          <w:kern w:val="0"/>
        </w:rPr>
      </w:pPr>
      <w:bookmarkStart w:id="294" w:name="_Toc11072"/>
      <w:r>
        <w:rPr>
          <w:rFonts w:hint="eastAsia"/>
          <w:color w:val="000000"/>
          <w:kern w:val="0"/>
        </w:rPr>
        <w:t>第</w:t>
      </w:r>
      <w:r>
        <w:rPr>
          <w:color w:val="000000"/>
          <w:kern w:val="0"/>
        </w:rPr>
        <w:t>7</w:t>
      </w:r>
      <w:r>
        <w:rPr>
          <w:rFonts w:hint="eastAsia"/>
          <w:color w:val="000000"/>
          <w:kern w:val="0"/>
        </w:rPr>
        <w:t>章  环境管理及监测计划</w:t>
      </w:r>
      <w:bookmarkEnd w:id="293"/>
      <w:bookmarkEnd w:id="294"/>
    </w:p>
    <w:p>
      <w:pPr>
        <w:pStyle w:val="86"/>
        <w:spacing w:before="120" w:after="120"/>
        <w:rPr>
          <w:rFonts w:hint="eastAsia"/>
          <w:color w:val="000000"/>
          <w:kern w:val="0"/>
        </w:rPr>
      </w:pPr>
      <w:bookmarkStart w:id="295" w:name="_Toc29308680"/>
      <w:bookmarkStart w:id="296" w:name="_Toc2983"/>
      <w:r>
        <w:rPr>
          <w:color w:val="000000"/>
          <w:kern w:val="0"/>
        </w:rPr>
        <w:t>7</w:t>
      </w:r>
      <w:r>
        <w:rPr>
          <w:rFonts w:hint="eastAsia"/>
          <w:color w:val="000000"/>
          <w:kern w:val="0"/>
        </w:rPr>
        <w:t>.1 环境管理基本任务</w:t>
      </w:r>
      <w:bookmarkEnd w:id="295"/>
      <w:bookmarkEnd w:id="296"/>
    </w:p>
    <w:p>
      <w:pPr>
        <w:ind w:firstLine="480"/>
        <w:rPr>
          <w:rFonts w:hint="eastAsia"/>
          <w:color w:val="000000"/>
          <w:kern w:val="0"/>
        </w:rPr>
      </w:pPr>
      <w:r>
        <w:rPr>
          <w:rFonts w:hint="eastAsia"/>
          <w:color w:val="000000"/>
          <w:kern w:val="0"/>
        </w:rPr>
        <w:t>本工程建设单位负责制定项目环保工作计划，协调各主管部门及建设单位之间的环境管理工作，指导建设单位执行各项管理措施；为施工期现场的监督、管理机构，负责环境保护计划的设计阶段环境管理，负责施工期环境行动的实施与管理。另外为了控制污染物排放量，避免污染物对环境质量的损害，建设单位需要加强计划、生产、技术、质量、设备、劳动、财务等方面的管理，把环境管理渗透到整个企业管理中，将环境管理融合一起，以减少从生产过程中各环节排出的污染物。并建立环境污染管理系统、制度、环境规划、协调发展生产保护环境的关系，使生产管理系统、制度、环境污染规划协调生产与保护环境的关系，使生产目标与环境目标统一起来，经济效益与环境效益统一起来。</w:t>
      </w:r>
    </w:p>
    <w:p>
      <w:pPr>
        <w:pStyle w:val="86"/>
        <w:spacing w:before="120" w:after="120"/>
        <w:rPr>
          <w:rFonts w:hint="eastAsia"/>
          <w:color w:val="000000"/>
          <w:kern w:val="0"/>
        </w:rPr>
      </w:pPr>
      <w:bookmarkStart w:id="297" w:name="_Toc29308681"/>
      <w:bookmarkStart w:id="298" w:name="_Toc2769"/>
      <w:r>
        <w:rPr>
          <w:color w:val="000000"/>
          <w:kern w:val="0"/>
        </w:rPr>
        <w:t>7</w:t>
      </w:r>
      <w:r>
        <w:rPr>
          <w:rFonts w:hint="eastAsia"/>
          <w:color w:val="000000"/>
          <w:kern w:val="0"/>
        </w:rPr>
        <w:t>.2 环境管理机制</w:t>
      </w:r>
      <w:bookmarkEnd w:id="297"/>
      <w:bookmarkEnd w:id="298"/>
    </w:p>
    <w:p>
      <w:pPr>
        <w:ind w:firstLine="480"/>
        <w:rPr>
          <w:rFonts w:hint="eastAsia"/>
          <w:color w:val="000000"/>
        </w:rPr>
      </w:pPr>
      <w:r>
        <w:rPr>
          <w:rFonts w:hint="eastAsia"/>
          <w:color w:val="000000"/>
        </w:rPr>
        <w:t>为落实拟建工程的各项环境保护措施，园区应加强环境保护和管理工作，组建环境保护管理机构（环境管理机构-安全环保部，专职环境管理人员 2 人），形成一个生产与环保、兼职与专职相结合的环保工作网络。厂区环境监测工作可委托当地有资质的环境监测单位开展。</w:t>
      </w:r>
    </w:p>
    <w:p>
      <w:pPr>
        <w:ind w:firstLine="480"/>
        <w:rPr>
          <w:color w:val="000000"/>
        </w:rPr>
      </w:pPr>
      <w:r>
        <w:rPr>
          <w:rFonts w:hint="eastAsia"/>
          <w:color w:val="000000"/>
        </w:rPr>
        <w:t>环境管理机构的主要管理职责，根据不同时期工程内容，环境管理的侧重点不同。根据工程情况，可将环境管理职责分为建设期、运营期。</w:t>
      </w:r>
    </w:p>
    <w:p>
      <w:pPr>
        <w:ind w:firstLine="480"/>
        <w:rPr>
          <w:rFonts w:hint="eastAsia"/>
          <w:color w:val="000000"/>
        </w:rPr>
      </w:pPr>
      <w:r>
        <w:rPr>
          <w:rFonts w:hint="eastAsia"/>
          <w:color w:val="000000"/>
        </w:rPr>
        <w:t>运营期间，公司应该设立环境管理机构，负责环保管理和环境监测工作。</w:t>
      </w:r>
    </w:p>
    <w:p>
      <w:pPr>
        <w:ind w:firstLine="480"/>
        <w:rPr>
          <w:rFonts w:hint="eastAsia"/>
          <w:color w:val="000000"/>
        </w:rPr>
      </w:pPr>
      <w:r>
        <w:rPr>
          <w:rFonts w:hint="eastAsia"/>
          <w:color w:val="000000"/>
        </w:rPr>
        <w:t>其主要环境管理职责如下：</w:t>
      </w:r>
    </w:p>
    <w:p>
      <w:pPr>
        <w:ind w:firstLine="480"/>
        <w:rPr>
          <w:rFonts w:hint="eastAsia"/>
          <w:color w:val="000000"/>
        </w:rPr>
      </w:pPr>
      <w:r>
        <w:rPr>
          <w:rFonts w:hint="eastAsia"/>
          <w:color w:val="000000"/>
        </w:rPr>
        <w:t>①制定环境监测、监理和环境治理方案；</w:t>
      </w:r>
    </w:p>
    <w:p>
      <w:pPr>
        <w:ind w:firstLine="480"/>
        <w:rPr>
          <w:rFonts w:hint="eastAsia"/>
          <w:color w:val="000000"/>
        </w:rPr>
      </w:pPr>
      <w:r>
        <w:rPr>
          <w:rFonts w:hint="eastAsia"/>
          <w:color w:val="000000"/>
        </w:rPr>
        <w:t>②制定并组织实施全公司详细的生态建设环境保护规划和计划；</w:t>
      </w:r>
    </w:p>
    <w:p>
      <w:pPr>
        <w:ind w:firstLine="480"/>
        <w:rPr>
          <w:rFonts w:hint="eastAsia"/>
          <w:color w:val="000000"/>
        </w:rPr>
      </w:pPr>
      <w:r>
        <w:rPr>
          <w:rFonts w:hint="eastAsia"/>
          <w:color w:val="000000"/>
        </w:rPr>
        <w:t>③对监测指标异常的污染物及新发现的污染物要及时上报有关部门；</w:t>
      </w:r>
    </w:p>
    <w:p>
      <w:pPr>
        <w:ind w:firstLine="480"/>
        <w:rPr>
          <w:rFonts w:hint="eastAsia"/>
          <w:color w:val="000000"/>
        </w:rPr>
      </w:pPr>
      <w:r>
        <w:rPr>
          <w:rFonts w:hint="eastAsia"/>
          <w:color w:val="000000"/>
        </w:rPr>
        <w:t>④建立环境科技档案和管理方案，实行环境保护工作动态管理；</w:t>
      </w:r>
    </w:p>
    <w:p>
      <w:pPr>
        <w:ind w:firstLine="480"/>
        <w:rPr>
          <w:rFonts w:hint="eastAsia"/>
          <w:color w:val="000000"/>
        </w:rPr>
      </w:pPr>
      <w:r>
        <w:rPr>
          <w:rFonts w:hint="eastAsia"/>
          <w:color w:val="000000"/>
        </w:rPr>
        <w:t>⑤编制污染监测及环境指标考核报表，及时送交有关部门；</w:t>
      </w:r>
    </w:p>
    <w:p>
      <w:pPr>
        <w:ind w:firstLine="480"/>
        <w:rPr>
          <w:rFonts w:hint="eastAsia"/>
          <w:color w:val="000000"/>
        </w:rPr>
      </w:pPr>
      <w:r>
        <w:rPr>
          <w:rFonts w:hint="eastAsia"/>
          <w:color w:val="000000"/>
        </w:rPr>
        <w:t>⑥每季度对环保设施进行全面检查，确保无重大环境污染、泄漏事故发生；</w:t>
      </w:r>
    </w:p>
    <w:p>
      <w:pPr>
        <w:ind w:firstLine="480"/>
        <w:rPr>
          <w:rFonts w:hint="eastAsia"/>
          <w:color w:val="000000"/>
        </w:rPr>
      </w:pPr>
      <w:r>
        <w:rPr>
          <w:rFonts w:hint="eastAsia"/>
          <w:color w:val="000000"/>
        </w:rPr>
        <w:t>⑦组织和开展本单位的环境保护专业技术培训，提高环保工作人员的素质，推广应用环境保护先进技术和经验，组织环保宣传教育工作；</w:t>
      </w:r>
    </w:p>
    <w:p>
      <w:pPr>
        <w:ind w:firstLine="480"/>
        <w:rPr>
          <w:color w:val="000000"/>
        </w:rPr>
      </w:pPr>
      <w:r>
        <w:rPr>
          <w:rFonts w:hint="eastAsia"/>
          <w:color w:val="000000"/>
        </w:rPr>
        <w:t>⑧处理公司内有关环保的生产事故。</w:t>
      </w:r>
    </w:p>
    <w:p>
      <w:pPr>
        <w:pStyle w:val="86"/>
        <w:spacing w:before="120" w:after="120"/>
        <w:rPr>
          <w:u w:val="none"/>
        </w:rPr>
      </w:pPr>
      <w:bookmarkStart w:id="299" w:name="_Toc31392"/>
      <w:r>
        <w:rPr>
          <w:u w:val="none"/>
        </w:rPr>
        <w:t>7.3环境管理要求</w:t>
      </w:r>
      <w:bookmarkEnd w:id="299"/>
    </w:p>
    <w:p>
      <w:pPr>
        <w:pStyle w:val="8"/>
        <w:spacing w:before="120"/>
        <w:rPr>
          <w:rFonts w:hint="eastAsia"/>
          <w:u w:val="none"/>
          <w:lang w:val="zh-CN" w:bidi="zh-CN"/>
        </w:rPr>
      </w:pPr>
      <w:r>
        <w:rPr>
          <w:u w:val="none"/>
          <w:lang w:val="zh-CN" w:bidi="zh-CN"/>
        </w:rPr>
        <w:t>7.3.</w:t>
      </w:r>
      <w:r>
        <w:rPr>
          <w:rFonts w:hint="eastAsia"/>
          <w:u w:val="none"/>
          <w:lang w:val="en-US" w:bidi="zh-CN"/>
        </w:rPr>
        <w:t>1</w:t>
      </w:r>
      <w:r>
        <w:rPr>
          <w:rFonts w:hint="eastAsia"/>
          <w:u w:val="none"/>
          <w:lang w:val="zh-CN" w:bidi="zh-CN"/>
        </w:rPr>
        <w:t>运营期管理要求</w:t>
      </w:r>
    </w:p>
    <w:p>
      <w:pPr>
        <w:topLinePunct/>
        <w:adjustRightInd w:val="0"/>
        <w:snapToGrid w:val="0"/>
        <w:ind w:firstLine="480"/>
        <w:jc w:val="both"/>
        <w:rPr>
          <w:color w:val="000000"/>
          <w:u w:val="none"/>
        </w:rPr>
      </w:pPr>
      <w:r>
        <w:rPr>
          <w:rFonts w:hint="eastAsia"/>
          <w:color w:val="000000"/>
          <w:u w:val="none"/>
        </w:rPr>
        <w:t>严格按照《城镇污水处理厂运行监督管理技术规范》HJ2038-2014 要求对本项目运营期进行管理，同时污染防治措施还需按以下要求：</w:t>
      </w:r>
    </w:p>
    <w:p>
      <w:pPr>
        <w:wordWrap w:val="0"/>
        <w:topLinePunct/>
        <w:adjustRightInd w:val="0"/>
        <w:snapToGrid w:val="0"/>
        <w:ind w:firstLine="480"/>
        <w:jc w:val="both"/>
        <w:rPr>
          <w:color w:val="000000"/>
          <w:u w:val="none"/>
        </w:rPr>
      </w:pPr>
      <w:r>
        <w:rPr>
          <w:rFonts w:hint="eastAsia"/>
          <w:color w:val="000000"/>
          <w:u w:val="none"/>
        </w:rPr>
        <w:t>（</w:t>
      </w:r>
      <w:r>
        <w:rPr>
          <w:rFonts w:hint="eastAsia"/>
          <w:color w:val="000000"/>
          <w:u w:val="none"/>
          <w:lang w:val="en-US" w:eastAsia="zh-CN"/>
        </w:rPr>
        <w:t>1</w:t>
      </w:r>
      <w:r>
        <w:rPr>
          <w:rFonts w:hint="eastAsia"/>
          <w:color w:val="000000"/>
          <w:u w:val="none"/>
        </w:rPr>
        <w:t>）废水排放控制运行管理要求</w:t>
      </w:r>
    </w:p>
    <w:p>
      <w:pPr>
        <w:wordWrap w:val="0"/>
        <w:topLinePunct/>
        <w:adjustRightInd w:val="0"/>
        <w:snapToGrid w:val="0"/>
        <w:ind w:firstLine="480"/>
        <w:jc w:val="both"/>
        <w:rPr>
          <w:color w:val="000000"/>
          <w:u w:val="none"/>
        </w:rPr>
      </w:pPr>
      <w:r>
        <w:rPr>
          <w:rFonts w:hint="eastAsia"/>
          <w:color w:val="000000"/>
          <w:u w:val="none"/>
        </w:rPr>
        <w:t>①废水污染治理设施运行应满足设计工况条件，并根据工艺要求，定期对设备、电气、自控仪表等进行检查维护，确保污染治理设施可靠运行。</w:t>
      </w:r>
    </w:p>
    <w:p>
      <w:pPr>
        <w:wordWrap w:val="0"/>
        <w:topLinePunct/>
        <w:adjustRightInd w:val="0"/>
        <w:snapToGrid w:val="0"/>
        <w:ind w:firstLine="480"/>
        <w:jc w:val="both"/>
        <w:rPr>
          <w:color w:val="000000"/>
          <w:u w:val="none"/>
        </w:rPr>
      </w:pPr>
      <w:r>
        <w:rPr>
          <w:rFonts w:hint="eastAsia"/>
          <w:color w:val="000000"/>
          <w:u w:val="none"/>
        </w:rPr>
        <w:t>②污水处理过程产生的污泥堆放渗出液应收集并返回调节池。不得将固体传废物弃置和倾倒排入下水道。</w:t>
      </w:r>
    </w:p>
    <w:p>
      <w:pPr>
        <w:wordWrap w:val="0"/>
        <w:topLinePunct/>
        <w:adjustRightInd w:val="0"/>
        <w:snapToGrid w:val="0"/>
        <w:ind w:firstLine="480"/>
        <w:jc w:val="both"/>
        <w:rPr>
          <w:color w:val="000000"/>
          <w:u w:val="none"/>
        </w:rPr>
      </w:pPr>
      <w:r>
        <w:rPr>
          <w:rFonts w:hint="eastAsia"/>
          <w:color w:val="000000"/>
          <w:u w:val="none"/>
        </w:rPr>
        <w:t>③污水处理设施应按最高日排水量设计，停留时间为24-36h。</w:t>
      </w:r>
    </w:p>
    <w:p>
      <w:pPr>
        <w:wordWrap w:val="0"/>
        <w:topLinePunct/>
        <w:adjustRightInd w:val="0"/>
        <w:snapToGrid w:val="0"/>
        <w:ind w:firstLine="480"/>
        <w:jc w:val="both"/>
        <w:rPr>
          <w:color w:val="000000"/>
          <w:u w:val="none"/>
        </w:rPr>
      </w:pPr>
      <w:r>
        <w:rPr>
          <w:rFonts w:hint="eastAsia"/>
          <w:color w:val="000000"/>
          <w:u w:val="none"/>
        </w:rPr>
        <w:t>④应设置应急或备用处理设施，避免污染物超标排放，并做好雨污分流。</w:t>
      </w:r>
    </w:p>
    <w:p>
      <w:pPr>
        <w:wordWrap w:val="0"/>
        <w:topLinePunct/>
        <w:adjustRightInd w:val="0"/>
        <w:snapToGrid w:val="0"/>
        <w:ind w:firstLine="480"/>
        <w:jc w:val="both"/>
        <w:rPr>
          <w:color w:val="000000"/>
          <w:u w:val="none"/>
        </w:rPr>
      </w:pPr>
      <w:r>
        <w:rPr>
          <w:rFonts w:hint="eastAsia"/>
          <w:color w:val="000000"/>
          <w:u w:val="none"/>
        </w:rPr>
        <w:t>（3）固体废物管理要求</w:t>
      </w:r>
    </w:p>
    <w:p>
      <w:pPr>
        <w:wordWrap w:val="0"/>
        <w:topLinePunct/>
        <w:adjustRightInd w:val="0"/>
        <w:snapToGrid w:val="0"/>
        <w:ind w:firstLine="480"/>
        <w:jc w:val="both"/>
        <w:rPr>
          <w:color w:val="000000"/>
          <w:u w:val="none"/>
        </w:rPr>
      </w:pPr>
      <w:r>
        <w:rPr>
          <w:rFonts w:hint="eastAsia"/>
          <w:color w:val="000000"/>
          <w:u w:val="none"/>
        </w:rPr>
        <w:t>①</w:t>
      </w:r>
      <w:r>
        <w:rPr>
          <w:rFonts w:hint="eastAsia"/>
          <w:color w:val="000000"/>
          <w:u w:val="none"/>
          <w:lang w:eastAsia="zh-CN"/>
        </w:rPr>
        <w:t>危废</w:t>
      </w:r>
      <w:r>
        <w:rPr>
          <w:rFonts w:hint="eastAsia"/>
          <w:color w:val="000000"/>
          <w:u w:val="none"/>
        </w:rPr>
        <w:t>贮存的建设与管理应符合GB18597的要求。</w:t>
      </w:r>
    </w:p>
    <w:p>
      <w:pPr>
        <w:wordWrap w:val="0"/>
        <w:topLinePunct/>
        <w:adjustRightInd w:val="0"/>
        <w:snapToGrid w:val="0"/>
        <w:ind w:firstLine="480"/>
        <w:jc w:val="both"/>
        <w:rPr>
          <w:color w:val="000000"/>
          <w:u w:val="none"/>
        </w:rPr>
      </w:pPr>
      <w:r>
        <w:rPr>
          <w:rFonts w:hint="eastAsia"/>
          <w:color w:val="000000"/>
          <w:u w:val="none"/>
        </w:rPr>
        <w:t>②应按照分类记录污泥的产生量、贮存量和转移量，并向全国固体废物管理信息系统报送相关数据。</w:t>
      </w:r>
    </w:p>
    <w:p>
      <w:pPr>
        <w:wordWrap w:val="0"/>
        <w:topLinePunct/>
        <w:adjustRightInd w:val="0"/>
        <w:snapToGrid w:val="0"/>
        <w:ind w:firstLine="480"/>
        <w:jc w:val="both"/>
        <w:rPr>
          <w:color w:val="000000"/>
          <w:u w:val="none"/>
        </w:rPr>
      </w:pPr>
      <w:r>
        <w:rPr>
          <w:rFonts w:hint="eastAsia"/>
          <w:color w:val="000000"/>
          <w:u w:val="none"/>
        </w:rPr>
        <w:t>③危险废物应及时清运。</w:t>
      </w:r>
    </w:p>
    <w:p>
      <w:pPr>
        <w:wordWrap w:val="0"/>
        <w:topLinePunct/>
        <w:adjustRightInd w:val="0"/>
        <w:snapToGrid w:val="0"/>
        <w:ind w:firstLine="480"/>
        <w:jc w:val="both"/>
        <w:rPr>
          <w:color w:val="000000"/>
          <w:u w:val="none"/>
        </w:rPr>
      </w:pPr>
      <w:r>
        <w:rPr>
          <w:rFonts w:hint="eastAsia"/>
          <w:color w:val="000000"/>
          <w:u w:val="none"/>
        </w:rPr>
        <w:t>（4）噪声污染防治管理要求</w:t>
      </w:r>
    </w:p>
    <w:p>
      <w:pPr>
        <w:wordWrap w:val="0"/>
        <w:topLinePunct/>
        <w:adjustRightInd w:val="0"/>
        <w:snapToGrid w:val="0"/>
        <w:ind w:firstLine="480"/>
        <w:jc w:val="both"/>
        <w:rPr>
          <w:color w:val="000000"/>
          <w:u w:val="none"/>
        </w:rPr>
      </w:pPr>
      <w:r>
        <w:rPr>
          <w:rFonts w:hint="eastAsia"/>
          <w:color w:val="000000"/>
          <w:u w:val="none"/>
        </w:rPr>
        <w:t>①污水处理设施水泵噪声防治措施采用安装隔声门、墙体隔声、选用低噪声设备，放置于水下及减震垫等措施。</w:t>
      </w:r>
    </w:p>
    <w:p>
      <w:pPr>
        <w:wordWrap w:val="0"/>
        <w:topLinePunct/>
        <w:adjustRightInd w:val="0"/>
        <w:snapToGrid w:val="0"/>
        <w:ind w:firstLine="480"/>
        <w:jc w:val="both"/>
        <w:rPr>
          <w:color w:val="000000"/>
          <w:u w:val="none"/>
        </w:rPr>
      </w:pPr>
      <w:r>
        <w:rPr>
          <w:rFonts w:hint="eastAsia"/>
          <w:color w:val="000000"/>
          <w:u w:val="none"/>
        </w:rPr>
        <w:t>②空调分式外机噪声防治措施选用低噪声设备、安装减震垫、房间墙体隔声及隔声罩等措施。</w:t>
      </w:r>
    </w:p>
    <w:p>
      <w:pPr>
        <w:wordWrap w:val="0"/>
        <w:topLinePunct/>
        <w:adjustRightInd w:val="0"/>
        <w:snapToGrid w:val="0"/>
        <w:ind w:firstLine="480"/>
        <w:jc w:val="both"/>
        <w:rPr>
          <w:color w:val="000000"/>
          <w:u w:val="none"/>
        </w:rPr>
      </w:pPr>
      <w:r>
        <w:rPr>
          <w:rFonts w:hint="eastAsia"/>
          <w:color w:val="000000"/>
          <w:u w:val="none"/>
        </w:rPr>
        <w:t>（5）其他环境管理要求</w:t>
      </w:r>
    </w:p>
    <w:p>
      <w:pPr>
        <w:wordWrap w:val="0"/>
        <w:topLinePunct/>
        <w:adjustRightInd w:val="0"/>
        <w:snapToGrid w:val="0"/>
        <w:ind w:firstLine="480"/>
        <w:jc w:val="both"/>
        <w:rPr>
          <w:color w:val="000000"/>
          <w:u w:val="none"/>
        </w:rPr>
      </w:pPr>
      <w:r>
        <w:rPr>
          <w:rFonts w:hint="eastAsia"/>
          <w:color w:val="000000"/>
          <w:u w:val="none"/>
        </w:rPr>
        <w:t>①污水处理构筑物应考虑排空设施。场界应绿化降低恶臭和噪声对环境的影响。</w:t>
      </w:r>
    </w:p>
    <w:p>
      <w:pPr>
        <w:wordWrap w:val="0"/>
        <w:topLinePunct/>
        <w:adjustRightInd w:val="0"/>
        <w:snapToGrid w:val="0"/>
        <w:ind w:firstLine="480"/>
        <w:jc w:val="both"/>
        <w:rPr>
          <w:color w:val="000000"/>
          <w:u w:val="none"/>
        </w:rPr>
      </w:pPr>
      <w:r>
        <w:rPr>
          <w:rFonts w:hint="eastAsia"/>
          <w:color w:val="000000"/>
          <w:u w:val="none"/>
        </w:rPr>
        <w:t>②应保持污水处理设施场界内环境整洁，无污泥杂物遗洒、污水横流等脏乱现象，采取灭蝇、灭蚊、灭鼠措施，做到清洁整齐，文明卫生。</w:t>
      </w:r>
    </w:p>
    <w:p>
      <w:pPr>
        <w:wordWrap w:val="0"/>
        <w:topLinePunct/>
        <w:adjustRightInd w:val="0"/>
        <w:snapToGrid w:val="0"/>
        <w:ind w:firstLine="480"/>
        <w:jc w:val="both"/>
        <w:rPr>
          <w:rFonts w:hint="eastAsia"/>
          <w:color w:val="000000"/>
          <w:u w:val="none"/>
        </w:rPr>
      </w:pPr>
      <w:r>
        <w:rPr>
          <w:rFonts w:hint="eastAsia"/>
          <w:color w:val="000000"/>
          <w:u w:val="none"/>
        </w:rPr>
        <w:t>③生态环境管理部门有其他管理要求的，按照其规定执行</w:t>
      </w:r>
    </w:p>
    <w:p>
      <w:pPr>
        <w:wordWrap w:val="0"/>
        <w:topLinePunct/>
        <w:adjustRightInd w:val="0"/>
        <w:snapToGrid w:val="0"/>
        <w:ind w:firstLine="480"/>
        <w:jc w:val="both"/>
        <w:rPr>
          <w:rFonts w:hint="eastAsia"/>
          <w:color w:val="000000"/>
          <w:u w:val="none"/>
        </w:rPr>
      </w:pPr>
      <w:r>
        <w:rPr>
          <w:rFonts w:hint="eastAsia"/>
          <w:color w:val="000000"/>
          <w:u w:val="none"/>
        </w:rPr>
        <w:t>④</w:t>
      </w:r>
      <w:r>
        <w:rPr>
          <w:rFonts w:hint="eastAsia"/>
          <w:color w:val="000000"/>
          <w:u w:val="none"/>
          <w:lang w:val="en-US" w:eastAsia="zh-CN"/>
        </w:rPr>
        <w:t xml:space="preserve"> 根据《固定污染源排污许可分类管理名录》（2019年版），本项目属于污水处理及其再生利用，中的工业废水集中处理场所，属于重点管理，应按规定</w:t>
      </w:r>
      <w:r>
        <w:rPr>
          <w:rFonts w:hint="eastAsia"/>
          <w:color w:val="000000"/>
          <w:u w:val="none"/>
          <w:lang w:eastAsia="zh-CN"/>
        </w:rPr>
        <w:t>申请办理排污许可证相关手续</w:t>
      </w:r>
      <w:r>
        <w:rPr>
          <w:rFonts w:hint="eastAsia"/>
          <w:color w:val="000000"/>
          <w:u w:val="none"/>
        </w:rPr>
        <w:t>。</w:t>
      </w:r>
    </w:p>
    <w:p>
      <w:pPr>
        <w:wordWrap w:val="0"/>
        <w:topLinePunct/>
        <w:adjustRightInd w:val="0"/>
        <w:snapToGrid w:val="0"/>
        <w:ind w:firstLine="480"/>
        <w:jc w:val="both"/>
        <w:rPr>
          <w:rFonts w:hint="eastAsia"/>
          <w:color w:val="000000"/>
          <w:u w:val="none"/>
        </w:rPr>
      </w:pPr>
      <w:r>
        <w:rPr>
          <w:rFonts w:hint="eastAsia" w:ascii="宋体" w:hAnsi="宋体" w:eastAsia="宋体" w:cs="宋体"/>
          <w:color w:val="000000"/>
          <w:u w:val="none"/>
        </w:rPr>
        <w:t>⑤</w:t>
      </w:r>
      <w:r>
        <w:rPr>
          <w:rFonts w:hint="eastAsia"/>
          <w:color w:val="000000"/>
          <w:u w:val="none"/>
        </w:rPr>
        <w:t>按照排污许可证规定的项目、频次和有关标准规范开展自行监测(包括在线监测、手工监测)，按要求公开自行监测信息。保存原始监测记录，保存期限不得少于5年。</w:t>
      </w:r>
    </w:p>
    <w:p>
      <w:pPr>
        <w:wordWrap w:val="0"/>
        <w:topLinePunct/>
        <w:adjustRightInd w:val="0"/>
        <w:snapToGrid w:val="0"/>
        <w:ind w:firstLine="480"/>
        <w:jc w:val="both"/>
        <w:rPr>
          <w:rFonts w:hint="eastAsia"/>
          <w:color w:val="000000"/>
          <w:u w:val="none"/>
        </w:rPr>
      </w:pPr>
      <w:r>
        <w:rPr>
          <w:rFonts w:hint="eastAsia" w:ascii="宋体" w:hAnsi="宋体" w:eastAsia="宋体" w:cs="宋体"/>
          <w:color w:val="000000"/>
          <w:u w:val="none"/>
        </w:rPr>
        <w:t>⑥</w:t>
      </w:r>
      <w:r>
        <w:rPr>
          <w:rFonts w:hint="eastAsia"/>
          <w:color w:val="000000"/>
          <w:u w:val="none"/>
        </w:rPr>
        <w:t>建立环境管理台账制度，落实环境管理台账记录的责任部门和责任人。按排污许可证要求的记录频次和内容，真实记录生产设施运行管理信息、污染防治设施运行管理信息、非正常工况及污染防治设施异常情况记录信息、监测记录信息、其他环境管理信息。</w:t>
      </w:r>
    </w:p>
    <w:p>
      <w:pPr>
        <w:wordWrap w:val="0"/>
        <w:topLinePunct/>
        <w:adjustRightInd w:val="0"/>
        <w:snapToGrid w:val="0"/>
        <w:ind w:firstLine="480"/>
        <w:jc w:val="both"/>
        <w:rPr>
          <w:rFonts w:hint="eastAsia" w:eastAsia="宋体"/>
          <w:color w:val="000000"/>
          <w:u w:val="none"/>
          <w:lang w:eastAsia="zh-CN"/>
        </w:rPr>
      </w:pPr>
      <w:r>
        <w:rPr>
          <w:rFonts w:hint="eastAsia" w:ascii="宋体" w:hAnsi="宋体" w:eastAsia="宋体" w:cs="宋体"/>
          <w:color w:val="000000"/>
          <w:u w:val="none"/>
        </w:rPr>
        <w:t>⑦</w:t>
      </w:r>
      <w:r>
        <w:rPr>
          <w:rFonts w:hint="eastAsia"/>
          <w:color w:val="000000"/>
          <w:u w:val="none"/>
        </w:rPr>
        <w:t>按规定内容编制排污许可证执行报告(年度、季度)，按规定时间在统一的平台提交执行报告，自觉接受生态环境</w:t>
      </w:r>
      <w:r>
        <w:rPr>
          <w:rFonts w:hint="eastAsia"/>
          <w:color w:val="000000"/>
          <w:u w:val="none"/>
          <w:lang w:eastAsia="zh-CN"/>
        </w:rPr>
        <w:t>部门监管和社会公众监督。</w:t>
      </w:r>
    </w:p>
    <w:p>
      <w:pPr>
        <w:pStyle w:val="86"/>
        <w:spacing w:before="120" w:after="120"/>
        <w:rPr>
          <w:rFonts w:hint="eastAsia"/>
          <w:u w:val="none"/>
        </w:rPr>
      </w:pPr>
      <w:bookmarkStart w:id="300" w:name="_Toc14332"/>
      <w:bookmarkStart w:id="301" w:name="_Toc29308682"/>
      <w:r>
        <w:rPr>
          <w:u w:val="none"/>
        </w:rPr>
        <w:t>7</w:t>
      </w:r>
      <w:r>
        <w:rPr>
          <w:rFonts w:hint="eastAsia"/>
          <w:u w:val="none"/>
        </w:rPr>
        <w:t>.</w:t>
      </w:r>
      <w:r>
        <w:rPr>
          <w:u w:val="none"/>
        </w:rPr>
        <w:t>4</w:t>
      </w:r>
      <w:r>
        <w:rPr>
          <w:rFonts w:hint="eastAsia"/>
          <w:u w:val="none"/>
        </w:rPr>
        <w:t xml:space="preserve"> 排污口规范化管理</w:t>
      </w:r>
      <w:bookmarkEnd w:id="300"/>
      <w:bookmarkEnd w:id="301"/>
    </w:p>
    <w:p>
      <w:pPr>
        <w:widowControl w:val="0"/>
        <w:wordWrap w:val="0"/>
        <w:ind w:firstLine="480"/>
        <w:jc w:val="both"/>
        <w:rPr>
          <w:rFonts w:hint="eastAsia"/>
          <w:color w:val="000000"/>
          <w:szCs w:val="20"/>
          <w:u w:val="none"/>
        </w:rPr>
      </w:pPr>
      <w:r>
        <w:rPr>
          <w:rFonts w:hint="eastAsia"/>
          <w:color w:val="000000"/>
          <w:szCs w:val="20"/>
          <w:u w:val="none"/>
        </w:rPr>
        <w:t>排污口规范化管理体制是实施污染物排放总量控制的基础性工作之一，也是总量控制不可缺少的一部分内容。此项工作可强化污染源的现场监督检查，促进排污单位加强管理和污染源治理，加大环境监理执法力度，实现主要污染物排放的科学化、定量化管理。同时进行排污口规范化管理。</w:t>
      </w:r>
    </w:p>
    <w:p>
      <w:pPr>
        <w:widowControl w:val="0"/>
        <w:wordWrap w:val="0"/>
        <w:ind w:firstLine="480"/>
        <w:jc w:val="both"/>
        <w:rPr>
          <w:rFonts w:hint="eastAsia"/>
          <w:color w:val="000000"/>
          <w:szCs w:val="20"/>
          <w:u w:val="none"/>
        </w:rPr>
      </w:pPr>
      <w:r>
        <w:rPr>
          <w:rFonts w:hint="eastAsia"/>
          <w:color w:val="000000"/>
          <w:szCs w:val="20"/>
          <w:u w:val="none"/>
        </w:rPr>
        <w:t>排放口规范化主要内容包括废气排放口、废水排放口、固废储存的规范化设置。</w:t>
      </w:r>
    </w:p>
    <w:p>
      <w:pPr>
        <w:widowControl w:val="0"/>
        <w:wordWrap w:val="0"/>
        <w:ind w:firstLine="480"/>
        <w:jc w:val="both"/>
        <w:rPr>
          <w:rFonts w:hint="eastAsia"/>
          <w:color w:val="000000"/>
          <w:szCs w:val="20"/>
          <w:u w:val="none"/>
        </w:rPr>
      </w:pPr>
      <w:r>
        <w:rPr>
          <w:rFonts w:hint="eastAsia"/>
          <w:color w:val="000000"/>
          <w:szCs w:val="20"/>
          <w:u w:val="none"/>
        </w:rPr>
        <w:t>（</w:t>
      </w:r>
      <w:r>
        <w:rPr>
          <w:rFonts w:hint="eastAsia"/>
          <w:color w:val="000000"/>
          <w:szCs w:val="20"/>
          <w:u w:val="none"/>
          <w:lang w:val="en-US" w:eastAsia="zh-CN"/>
        </w:rPr>
        <w:t>1</w:t>
      </w:r>
      <w:r>
        <w:rPr>
          <w:rFonts w:hint="eastAsia"/>
          <w:color w:val="000000"/>
          <w:szCs w:val="20"/>
          <w:u w:val="none"/>
        </w:rPr>
        <w:t>）废水排放口图像标志</w:t>
      </w:r>
    </w:p>
    <w:p>
      <w:pPr>
        <w:widowControl w:val="0"/>
        <w:wordWrap w:val="0"/>
        <w:ind w:firstLine="480"/>
        <w:jc w:val="both"/>
        <w:rPr>
          <w:rFonts w:hint="eastAsia"/>
          <w:color w:val="000000"/>
          <w:szCs w:val="20"/>
          <w:u w:val="none"/>
        </w:rPr>
      </w:pPr>
      <w:r>
        <w:rPr>
          <w:rFonts w:hint="eastAsia"/>
          <w:color w:val="000000"/>
          <w:szCs w:val="20"/>
          <w:u w:val="none"/>
        </w:rPr>
        <w:t>废水排放口图形符号分别为提示图形符号和警告图形符号两种，图形符号的设置按GB15562.1—1995《环境保护图形标志—排放口（源）》执行。</w:t>
      </w:r>
    </w:p>
    <w:p>
      <w:pPr>
        <w:widowControl w:val="0"/>
        <w:wordWrap w:val="0"/>
        <w:ind w:firstLine="480"/>
        <w:jc w:val="both"/>
        <w:rPr>
          <w:rFonts w:hint="eastAsia"/>
          <w:color w:val="000000"/>
          <w:szCs w:val="20"/>
          <w:u w:val="none"/>
        </w:rPr>
      </w:pPr>
      <w:r>
        <w:rPr>
          <w:rFonts w:hint="eastAsia"/>
          <w:color w:val="000000"/>
          <w:szCs w:val="20"/>
          <w:u w:val="none"/>
        </w:rPr>
        <w:t>（</w:t>
      </w:r>
      <w:r>
        <w:rPr>
          <w:rFonts w:hint="eastAsia"/>
          <w:color w:val="000000"/>
          <w:szCs w:val="20"/>
          <w:u w:val="none"/>
          <w:lang w:val="en-US" w:eastAsia="zh-CN"/>
        </w:rPr>
        <w:t>2</w:t>
      </w:r>
      <w:r>
        <w:rPr>
          <w:rFonts w:hint="eastAsia"/>
          <w:color w:val="000000"/>
          <w:szCs w:val="20"/>
          <w:u w:val="none"/>
        </w:rPr>
        <w:t>）固体废物贮存（处置）场图形标志</w:t>
      </w:r>
    </w:p>
    <w:p>
      <w:pPr>
        <w:widowControl w:val="0"/>
        <w:wordWrap w:val="0"/>
        <w:ind w:firstLine="480"/>
        <w:jc w:val="both"/>
        <w:rPr>
          <w:rFonts w:hint="eastAsia"/>
          <w:color w:val="000000"/>
          <w:szCs w:val="20"/>
          <w:u w:val="none"/>
        </w:rPr>
      </w:pPr>
      <w:r>
        <w:rPr>
          <w:rFonts w:hint="eastAsia"/>
          <w:color w:val="000000"/>
          <w:szCs w:val="20"/>
          <w:u w:val="none"/>
        </w:rPr>
        <w:t>固体废物贮存（处置）场图形符号分别为提示图形符号和警告图形符号两种，图形符号的设置按GB15562.2—1995《环境保护图形标志—固体废物贮存（处置）场》执行。</w:t>
      </w:r>
    </w:p>
    <w:p>
      <w:pPr>
        <w:ind w:firstLine="482"/>
        <w:rPr>
          <w:rFonts w:hint="eastAsia"/>
          <w:b/>
          <w:bCs/>
          <w:color w:val="000000"/>
          <w:u w:val="none"/>
        </w:rPr>
      </w:pPr>
      <w:r>
        <w:rPr>
          <w:rFonts w:hint="eastAsia"/>
          <w:b/>
          <w:bCs/>
          <w:color w:val="000000"/>
          <w:u w:val="none"/>
        </w:rPr>
        <w:t>排污口规范化技术要求：</w:t>
      </w:r>
    </w:p>
    <w:p>
      <w:pPr>
        <w:widowControl w:val="0"/>
        <w:wordWrap w:val="0"/>
        <w:ind w:firstLine="480"/>
        <w:jc w:val="both"/>
        <w:rPr>
          <w:rFonts w:hint="eastAsia"/>
          <w:color w:val="000000"/>
          <w:szCs w:val="20"/>
          <w:u w:val="none"/>
        </w:rPr>
      </w:pPr>
      <w:r>
        <w:rPr>
          <w:rFonts w:hint="eastAsia"/>
          <w:color w:val="000000"/>
          <w:szCs w:val="20"/>
          <w:u w:val="none"/>
        </w:rPr>
        <w:t>（1）排污口立标要求</w:t>
      </w:r>
    </w:p>
    <w:p>
      <w:pPr>
        <w:widowControl w:val="0"/>
        <w:wordWrap w:val="0"/>
        <w:ind w:firstLine="480"/>
        <w:jc w:val="both"/>
        <w:rPr>
          <w:rFonts w:hint="eastAsia"/>
          <w:color w:val="000000"/>
          <w:szCs w:val="20"/>
          <w:u w:val="none"/>
        </w:rPr>
      </w:pPr>
      <w:r>
        <w:rPr>
          <w:rFonts w:hint="eastAsia"/>
          <w:color w:val="000000"/>
          <w:szCs w:val="20"/>
          <w:u w:val="none"/>
        </w:rPr>
        <w:t>本项目出水达标后进入花垣工业集中区污水处理厂，本项目不另设排污口，</w:t>
      </w:r>
      <w:r>
        <w:rPr>
          <w:rFonts w:hint="eastAsia"/>
          <w:color w:val="000000"/>
          <w:szCs w:val="20"/>
          <w:u w:val="none"/>
          <w:lang w:eastAsia="zh-CN"/>
        </w:rPr>
        <w:t>本项目属于间接排放，</w:t>
      </w:r>
      <w:r>
        <w:rPr>
          <w:rFonts w:hint="eastAsia"/>
          <w:color w:val="000000"/>
          <w:szCs w:val="20"/>
          <w:u w:val="none"/>
        </w:rPr>
        <w:t>花垣县工业集中区污水处理厂已进行了入河排污口论证，本次环评不再进行分析。</w:t>
      </w:r>
    </w:p>
    <w:p>
      <w:pPr>
        <w:widowControl w:val="0"/>
        <w:wordWrap w:val="0"/>
        <w:ind w:firstLine="480"/>
        <w:jc w:val="both"/>
        <w:rPr>
          <w:rFonts w:hint="eastAsia"/>
          <w:color w:val="000000"/>
          <w:szCs w:val="20"/>
          <w:u w:val="none"/>
        </w:rPr>
      </w:pPr>
      <w:r>
        <w:rPr>
          <w:rFonts w:hint="eastAsia"/>
          <w:color w:val="000000"/>
          <w:szCs w:val="20"/>
          <w:u w:val="none"/>
        </w:rPr>
        <w:t>按照国家标准《环境保护图形标志》(GB15562.1-1995）(GB15562.2—1995）的规定，设置与之相适应的环境保护图形标志牌。环境保护图形标志牌设置位置应距污染物排放口(源）或采样点较近且醒目处，并能长久保留，设置高度一般为：环境保护图形标志牌上缘距离地面2米。</w:t>
      </w:r>
    </w:p>
    <w:p>
      <w:pPr>
        <w:widowControl w:val="0"/>
        <w:wordWrap w:val="0"/>
        <w:spacing w:before="60" w:after="100" w:line="240" w:lineRule="auto"/>
        <w:ind w:firstLine="0" w:firstLineChars="0"/>
        <w:jc w:val="center"/>
        <w:rPr>
          <w:rFonts w:hint="eastAsia"/>
          <w:b/>
          <w:color w:val="000000"/>
          <w:sz w:val="21"/>
          <w:szCs w:val="20"/>
          <w:u w:val="none"/>
        </w:rPr>
      </w:pPr>
      <w:r>
        <w:rPr>
          <w:rFonts w:hint="eastAsia"/>
          <w:b/>
          <w:color w:val="000000"/>
          <w:sz w:val="21"/>
          <w:szCs w:val="20"/>
          <w:u w:val="none"/>
        </w:rPr>
        <w:t>表</w:t>
      </w:r>
      <w:r>
        <w:rPr>
          <w:b/>
          <w:color w:val="000000"/>
          <w:sz w:val="21"/>
          <w:szCs w:val="20"/>
          <w:u w:val="none"/>
        </w:rPr>
        <w:t>7.4-1</w:t>
      </w:r>
      <w:r>
        <w:rPr>
          <w:rFonts w:hint="eastAsia"/>
          <w:b/>
          <w:color w:val="000000"/>
          <w:sz w:val="21"/>
          <w:szCs w:val="20"/>
          <w:u w:val="none"/>
        </w:rPr>
        <w:t>环境保护图形标志的形状及颜色表</w:t>
      </w:r>
    </w:p>
    <w:tbl>
      <w:tblPr>
        <w:tblStyle w:val="37"/>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327"/>
        <w:gridCol w:w="1547"/>
        <w:gridCol w:w="2324"/>
        <w:gridCol w:w="232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5" w:type="pct"/>
            <w:noWrap w:val="0"/>
            <w:tcMar>
              <w:top w:w="0" w:type="dxa"/>
              <w:left w:w="108" w:type="dxa"/>
              <w:bottom w:w="0" w:type="dxa"/>
              <w:right w:w="108" w:type="dxa"/>
            </w:tcMar>
            <w:vAlign w:val="center"/>
          </w:tcPr>
          <w:p>
            <w:pPr>
              <w:widowControl w:val="0"/>
              <w:wordWrap w:val="0"/>
              <w:spacing w:line="320" w:lineRule="exact"/>
              <w:ind w:firstLine="0" w:firstLineChars="0"/>
              <w:jc w:val="center"/>
              <w:rPr>
                <w:rFonts w:hint="eastAsia"/>
                <w:bCs/>
                <w:color w:val="000000"/>
                <w:sz w:val="21"/>
                <w:szCs w:val="21"/>
                <w:u w:val="none"/>
              </w:rPr>
            </w:pPr>
            <w:r>
              <w:rPr>
                <w:rFonts w:hint="eastAsia"/>
                <w:bCs/>
                <w:color w:val="000000"/>
                <w:sz w:val="21"/>
                <w:szCs w:val="21"/>
                <w:u w:val="none"/>
              </w:rPr>
              <w:t>标志名称</w:t>
            </w:r>
          </w:p>
        </w:tc>
        <w:tc>
          <w:tcPr>
            <w:tcW w:w="907" w:type="pct"/>
            <w:noWrap w:val="0"/>
            <w:vAlign w:val="center"/>
          </w:tcPr>
          <w:p>
            <w:pPr>
              <w:widowControl w:val="0"/>
              <w:wordWrap w:val="0"/>
              <w:spacing w:line="320" w:lineRule="exact"/>
              <w:ind w:firstLine="0" w:firstLineChars="0"/>
              <w:jc w:val="center"/>
              <w:rPr>
                <w:rFonts w:hint="eastAsia"/>
                <w:bCs/>
                <w:color w:val="000000"/>
                <w:sz w:val="21"/>
                <w:szCs w:val="21"/>
                <w:u w:val="none"/>
              </w:rPr>
            </w:pPr>
            <w:r>
              <w:rPr>
                <w:rFonts w:hint="eastAsia"/>
                <w:bCs/>
                <w:color w:val="000000"/>
                <w:sz w:val="21"/>
                <w:szCs w:val="21"/>
                <w:u w:val="none"/>
              </w:rPr>
              <w:t>形状</w:t>
            </w:r>
          </w:p>
        </w:tc>
        <w:tc>
          <w:tcPr>
            <w:tcW w:w="1363" w:type="pct"/>
            <w:noWrap w:val="0"/>
            <w:vAlign w:val="center"/>
          </w:tcPr>
          <w:p>
            <w:pPr>
              <w:widowControl w:val="0"/>
              <w:wordWrap w:val="0"/>
              <w:spacing w:line="320" w:lineRule="exact"/>
              <w:ind w:firstLine="0" w:firstLineChars="0"/>
              <w:jc w:val="center"/>
              <w:rPr>
                <w:rFonts w:hint="eastAsia"/>
                <w:bCs/>
                <w:color w:val="000000"/>
                <w:sz w:val="21"/>
                <w:szCs w:val="21"/>
                <w:u w:val="none"/>
              </w:rPr>
            </w:pPr>
            <w:r>
              <w:rPr>
                <w:rFonts w:hint="eastAsia"/>
                <w:bCs/>
                <w:color w:val="000000"/>
                <w:sz w:val="21"/>
                <w:szCs w:val="21"/>
                <w:u w:val="none"/>
              </w:rPr>
              <w:t>背景颜色</w:t>
            </w:r>
          </w:p>
        </w:tc>
        <w:tc>
          <w:tcPr>
            <w:tcW w:w="1365" w:type="pct"/>
            <w:noWrap w:val="0"/>
            <w:tcMar>
              <w:top w:w="0" w:type="dxa"/>
              <w:left w:w="108" w:type="dxa"/>
              <w:bottom w:w="0" w:type="dxa"/>
              <w:right w:w="108" w:type="dxa"/>
            </w:tcMar>
            <w:vAlign w:val="center"/>
          </w:tcPr>
          <w:p>
            <w:pPr>
              <w:widowControl w:val="0"/>
              <w:wordWrap w:val="0"/>
              <w:spacing w:line="320" w:lineRule="exact"/>
              <w:ind w:firstLine="0" w:firstLineChars="0"/>
              <w:jc w:val="center"/>
              <w:rPr>
                <w:rFonts w:hint="eastAsia"/>
                <w:bCs/>
                <w:color w:val="000000"/>
                <w:sz w:val="21"/>
                <w:szCs w:val="21"/>
                <w:u w:val="none"/>
              </w:rPr>
            </w:pPr>
            <w:r>
              <w:rPr>
                <w:rFonts w:hint="eastAsia"/>
                <w:bCs/>
                <w:color w:val="000000"/>
                <w:sz w:val="21"/>
                <w:szCs w:val="21"/>
                <w:u w:val="none"/>
              </w:rPr>
              <w:t>图形颜色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5" w:type="pct"/>
            <w:noWrap w:val="0"/>
            <w:tcMar>
              <w:top w:w="0" w:type="dxa"/>
              <w:left w:w="108" w:type="dxa"/>
              <w:bottom w:w="0" w:type="dxa"/>
              <w:right w:w="108" w:type="dxa"/>
            </w:tcMar>
            <w:vAlign w:val="center"/>
          </w:tcPr>
          <w:p>
            <w:pPr>
              <w:widowControl w:val="0"/>
              <w:wordWrap w:val="0"/>
              <w:spacing w:line="320" w:lineRule="exact"/>
              <w:ind w:firstLine="0" w:firstLineChars="0"/>
              <w:jc w:val="center"/>
              <w:rPr>
                <w:rFonts w:hint="eastAsia"/>
                <w:bCs/>
                <w:color w:val="000000"/>
                <w:sz w:val="21"/>
                <w:szCs w:val="21"/>
                <w:u w:val="none"/>
              </w:rPr>
            </w:pPr>
            <w:r>
              <w:rPr>
                <w:rFonts w:hint="eastAsia"/>
                <w:bCs/>
                <w:color w:val="000000"/>
                <w:sz w:val="21"/>
                <w:szCs w:val="21"/>
                <w:u w:val="none"/>
              </w:rPr>
              <w:t>警告标志</w:t>
            </w:r>
          </w:p>
        </w:tc>
        <w:tc>
          <w:tcPr>
            <w:tcW w:w="907" w:type="pct"/>
            <w:noWrap w:val="0"/>
            <w:vAlign w:val="center"/>
          </w:tcPr>
          <w:p>
            <w:pPr>
              <w:widowControl w:val="0"/>
              <w:wordWrap w:val="0"/>
              <w:spacing w:line="320" w:lineRule="exact"/>
              <w:ind w:firstLine="0" w:firstLineChars="0"/>
              <w:jc w:val="center"/>
              <w:rPr>
                <w:rFonts w:hint="eastAsia"/>
                <w:bCs/>
                <w:color w:val="000000"/>
                <w:sz w:val="21"/>
                <w:szCs w:val="21"/>
                <w:u w:val="none"/>
              </w:rPr>
            </w:pPr>
            <w:r>
              <w:rPr>
                <w:rFonts w:hint="eastAsia"/>
                <w:bCs/>
                <w:color w:val="000000"/>
                <w:sz w:val="21"/>
                <w:szCs w:val="21"/>
                <w:u w:val="none"/>
              </w:rPr>
              <w:t>三角形边框</w:t>
            </w:r>
          </w:p>
        </w:tc>
        <w:tc>
          <w:tcPr>
            <w:tcW w:w="1363" w:type="pct"/>
            <w:noWrap w:val="0"/>
            <w:vAlign w:val="center"/>
          </w:tcPr>
          <w:p>
            <w:pPr>
              <w:widowControl w:val="0"/>
              <w:wordWrap w:val="0"/>
              <w:spacing w:line="320" w:lineRule="exact"/>
              <w:ind w:firstLine="0" w:firstLineChars="0"/>
              <w:jc w:val="center"/>
              <w:rPr>
                <w:rFonts w:hint="eastAsia"/>
                <w:bCs/>
                <w:color w:val="000000"/>
                <w:sz w:val="21"/>
                <w:szCs w:val="21"/>
                <w:u w:val="none"/>
              </w:rPr>
            </w:pPr>
            <w:r>
              <w:rPr>
                <w:rFonts w:hint="eastAsia"/>
                <w:bCs/>
                <w:color w:val="000000"/>
                <w:sz w:val="21"/>
                <w:szCs w:val="21"/>
                <w:u w:val="none"/>
              </w:rPr>
              <w:t>黄色</w:t>
            </w:r>
          </w:p>
        </w:tc>
        <w:tc>
          <w:tcPr>
            <w:tcW w:w="1365" w:type="pct"/>
            <w:noWrap w:val="0"/>
            <w:tcMar>
              <w:top w:w="0" w:type="dxa"/>
              <w:left w:w="108" w:type="dxa"/>
              <w:bottom w:w="0" w:type="dxa"/>
              <w:right w:w="108" w:type="dxa"/>
            </w:tcMar>
            <w:vAlign w:val="center"/>
          </w:tcPr>
          <w:p>
            <w:pPr>
              <w:widowControl w:val="0"/>
              <w:wordWrap w:val="0"/>
              <w:spacing w:line="320" w:lineRule="exact"/>
              <w:ind w:firstLine="0" w:firstLineChars="0"/>
              <w:jc w:val="center"/>
              <w:rPr>
                <w:rFonts w:hint="eastAsia"/>
                <w:bCs/>
                <w:color w:val="000000"/>
                <w:sz w:val="21"/>
                <w:szCs w:val="21"/>
                <w:u w:val="none"/>
              </w:rPr>
            </w:pPr>
            <w:r>
              <w:rPr>
                <w:rFonts w:hint="eastAsia"/>
                <w:bCs/>
                <w:color w:val="000000"/>
                <w:sz w:val="21"/>
                <w:szCs w:val="21"/>
                <w:u w:val="none"/>
              </w:rPr>
              <w:t>黑色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5" w:type="pct"/>
            <w:noWrap w:val="0"/>
            <w:tcMar>
              <w:top w:w="0" w:type="dxa"/>
              <w:left w:w="108" w:type="dxa"/>
              <w:bottom w:w="0" w:type="dxa"/>
              <w:right w:w="108" w:type="dxa"/>
            </w:tcMar>
            <w:vAlign w:val="center"/>
          </w:tcPr>
          <w:p>
            <w:pPr>
              <w:widowControl w:val="0"/>
              <w:wordWrap w:val="0"/>
              <w:spacing w:line="320" w:lineRule="exact"/>
              <w:ind w:firstLine="0" w:firstLineChars="0"/>
              <w:jc w:val="center"/>
              <w:rPr>
                <w:rFonts w:hint="eastAsia"/>
                <w:bCs/>
                <w:color w:val="000000"/>
                <w:sz w:val="21"/>
                <w:szCs w:val="21"/>
                <w:u w:val="none"/>
              </w:rPr>
            </w:pPr>
            <w:r>
              <w:rPr>
                <w:rFonts w:hint="eastAsia"/>
                <w:bCs/>
                <w:color w:val="000000"/>
                <w:sz w:val="21"/>
                <w:szCs w:val="21"/>
                <w:u w:val="none"/>
              </w:rPr>
              <w:t>提示标志</w:t>
            </w:r>
          </w:p>
        </w:tc>
        <w:tc>
          <w:tcPr>
            <w:tcW w:w="907" w:type="pct"/>
            <w:noWrap w:val="0"/>
            <w:vAlign w:val="center"/>
          </w:tcPr>
          <w:p>
            <w:pPr>
              <w:widowControl w:val="0"/>
              <w:wordWrap w:val="0"/>
              <w:spacing w:line="320" w:lineRule="exact"/>
              <w:ind w:firstLine="0" w:firstLineChars="0"/>
              <w:jc w:val="center"/>
              <w:rPr>
                <w:rFonts w:hint="eastAsia"/>
                <w:bCs/>
                <w:color w:val="000000"/>
                <w:sz w:val="21"/>
                <w:szCs w:val="21"/>
                <w:u w:val="none"/>
              </w:rPr>
            </w:pPr>
            <w:r>
              <w:rPr>
                <w:rFonts w:hint="eastAsia"/>
                <w:bCs/>
                <w:color w:val="000000"/>
                <w:sz w:val="21"/>
                <w:szCs w:val="21"/>
                <w:u w:val="none"/>
              </w:rPr>
              <w:t>正方形边框</w:t>
            </w:r>
          </w:p>
        </w:tc>
        <w:tc>
          <w:tcPr>
            <w:tcW w:w="1363" w:type="pct"/>
            <w:noWrap w:val="0"/>
            <w:vAlign w:val="center"/>
          </w:tcPr>
          <w:p>
            <w:pPr>
              <w:widowControl w:val="0"/>
              <w:wordWrap w:val="0"/>
              <w:spacing w:line="320" w:lineRule="exact"/>
              <w:ind w:firstLine="0" w:firstLineChars="0"/>
              <w:jc w:val="center"/>
              <w:rPr>
                <w:rFonts w:hint="eastAsia"/>
                <w:bCs/>
                <w:color w:val="000000"/>
                <w:sz w:val="21"/>
                <w:szCs w:val="21"/>
                <w:u w:val="none"/>
              </w:rPr>
            </w:pPr>
            <w:r>
              <w:rPr>
                <w:rFonts w:hint="eastAsia"/>
                <w:bCs/>
                <w:color w:val="000000"/>
                <w:sz w:val="21"/>
                <w:szCs w:val="21"/>
                <w:u w:val="none"/>
              </w:rPr>
              <w:t>绿色</w:t>
            </w:r>
          </w:p>
        </w:tc>
        <w:tc>
          <w:tcPr>
            <w:tcW w:w="1365" w:type="pct"/>
            <w:noWrap w:val="0"/>
            <w:tcMar>
              <w:top w:w="0" w:type="dxa"/>
              <w:left w:w="108" w:type="dxa"/>
              <w:bottom w:w="0" w:type="dxa"/>
              <w:right w:w="108" w:type="dxa"/>
            </w:tcMar>
            <w:vAlign w:val="center"/>
          </w:tcPr>
          <w:p>
            <w:pPr>
              <w:widowControl w:val="0"/>
              <w:wordWrap w:val="0"/>
              <w:spacing w:line="320" w:lineRule="exact"/>
              <w:ind w:firstLine="0" w:firstLineChars="0"/>
              <w:jc w:val="center"/>
              <w:rPr>
                <w:rFonts w:hint="eastAsia"/>
                <w:bCs/>
                <w:color w:val="000000"/>
                <w:sz w:val="21"/>
                <w:szCs w:val="21"/>
                <w:u w:val="none"/>
              </w:rPr>
            </w:pPr>
            <w:r>
              <w:rPr>
                <w:rFonts w:hint="eastAsia"/>
                <w:bCs/>
                <w:color w:val="000000"/>
                <w:sz w:val="21"/>
                <w:szCs w:val="21"/>
                <w:u w:val="none"/>
              </w:rPr>
              <w:t>白色</w:t>
            </w:r>
          </w:p>
        </w:tc>
      </w:tr>
    </w:tbl>
    <w:p>
      <w:pPr>
        <w:widowControl w:val="0"/>
        <w:wordWrap w:val="0"/>
        <w:spacing w:before="60" w:after="100" w:line="240" w:lineRule="auto"/>
        <w:ind w:firstLine="0" w:firstLineChars="0"/>
        <w:jc w:val="center"/>
        <w:rPr>
          <w:rFonts w:hint="eastAsia"/>
          <w:b/>
          <w:color w:val="000000"/>
          <w:sz w:val="21"/>
          <w:szCs w:val="20"/>
          <w:u w:val="none"/>
        </w:rPr>
      </w:pPr>
      <w:r>
        <w:rPr>
          <w:rFonts w:hint="eastAsia"/>
          <w:b/>
          <w:color w:val="000000"/>
          <w:sz w:val="21"/>
          <w:szCs w:val="20"/>
          <w:u w:val="none"/>
        </w:rPr>
        <w:t>表</w:t>
      </w:r>
      <w:r>
        <w:rPr>
          <w:b/>
          <w:color w:val="000000"/>
          <w:sz w:val="21"/>
          <w:szCs w:val="20"/>
          <w:u w:val="none"/>
        </w:rPr>
        <w:t>7.4-2</w:t>
      </w:r>
      <w:r>
        <w:rPr>
          <w:rFonts w:hint="eastAsia"/>
          <w:b/>
          <w:color w:val="000000"/>
          <w:sz w:val="21"/>
          <w:szCs w:val="20"/>
          <w:u w:val="none"/>
        </w:rPr>
        <w:t>排污口图形标志一览表</w:t>
      </w:r>
    </w:p>
    <w:p>
      <w:pPr>
        <w:widowControl w:val="0"/>
        <w:wordWrap w:val="0"/>
        <w:snapToGrid w:val="0"/>
        <w:spacing w:line="240" w:lineRule="auto"/>
        <w:ind w:firstLine="0" w:firstLineChars="0"/>
        <w:jc w:val="center"/>
        <w:rPr>
          <w:rFonts w:hint="eastAsia"/>
          <w:color w:val="000000"/>
          <w:sz w:val="21"/>
          <w:szCs w:val="20"/>
          <w:u w:val="none"/>
        </w:rPr>
      </w:pPr>
      <w:r>
        <w:rPr>
          <w:rFonts w:hint="eastAsia"/>
          <w:color w:val="000000"/>
          <w:sz w:val="21"/>
          <w:szCs w:val="20"/>
          <w:u w:val="none"/>
        </w:rPr>
        <w:drawing>
          <wp:inline distT="0" distB="0" distL="114300" distR="114300">
            <wp:extent cx="5029200" cy="3494405"/>
            <wp:effectExtent l="0" t="0" r="0" b="10795"/>
            <wp:docPr id="12"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47"/>
                    <pic:cNvPicPr>
                      <a:picLocks noChangeAspect="true"/>
                    </pic:cNvPicPr>
                  </pic:nvPicPr>
                  <pic:blipFill>
                    <a:blip r:embed="rId67"/>
                    <a:stretch>
                      <a:fillRect/>
                    </a:stretch>
                  </pic:blipFill>
                  <pic:spPr>
                    <a:xfrm>
                      <a:off x="0" y="0"/>
                      <a:ext cx="5029200" cy="3494405"/>
                    </a:xfrm>
                    <a:prstGeom prst="rect">
                      <a:avLst/>
                    </a:prstGeom>
                    <a:noFill/>
                    <a:ln>
                      <a:noFill/>
                    </a:ln>
                  </pic:spPr>
                </pic:pic>
              </a:graphicData>
            </a:graphic>
          </wp:inline>
        </w:drawing>
      </w:r>
    </w:p>
    <w:p>
      <w:pPr>
        <w:widowControl w:val="0"/>
        <w:wordWrap w:val="0"/>
        <w:ind w:firstLine="480"/>
        <w:jc w:val="both"/>
        <w:rPr>
          <w:rFonts w:hint="eastAsia"/>
          <w:color w:val="000000"/>
          <w:szCs w:val="20"/>
          <w:u w:val="none"/>
        </w:rPr>
      </w:pPr>
      <w:r>
        <w:rPr>
          <w:rFonts w:hint="eastAsia"/>
          <w:color w:val="000000"/>
          <w:szCs w:val="20"/>
          <w:u w:val="none"/>
        </w:rPr>
        <w:t>（2）排污口建档要求</w:t>
      </w:r>
    </w:p>
    <w:p>
      <w:pPr>
        <w:widowControl w:val="0"/>
        <w:wordWrap w:val="0"/>
        <w:ind w:firstLine="480"/>
        <w:jc w:val="both"/>
        <w:rPr>
          <w:rFonts w:hint="eastAsia"/>
          <w:color w:val="000000"/>
          <w:szCs w:val="20"/>
          <w:u w:val="none"/>
        </w:rPr>
      </w:pPr>
      <w:r>
        <w:rPr>
          <w:rFonts w:hint="eastAsia"/>
          <w:color w:val="000000"/>
          <w:szCs w:val="20"/>
          <w:u w:val="none"/>
        </w:rPr>
        <w:t>使用由国家环境保护局统一印制的《中华人民共和国规范化排污口标志登记证》，并按要求认真填写有关内容，由环境保护部门签发登记证。根据登记证的内容建立排污口管理档案，如：排污口性质及编号，排污口地理位置、排放主要污染物种类、数量、浓度，排放去向，立标情况，设施运行情况及整改意见等。</w:t>
      </w:r>
    </w:p>
    <w:p>
      <w:pPr>
        <w:widowControl w:val="0"/>
        <w:wordWrap w:val="0"/>
        <w:ind w:firstLine="480"/>
        <w:jc w:val="both"/>
        <w:rPr>
          <w:rFonts w:hint="eastAsia"/>
          <w:color w:val="000000"/>
          <w:szCs w:val="20"/>
          <w:u w:val="none"/>
        </w:rPr>
      </w:pPr>
      <w:r>
        <w:rPr>
          <w:rFonts w:hint="eastAsia"/>
          <w:color w:val="000000"/>
          <w:szCs w:val="20"/>
          <w:u w:val="none"/>
        </w:rPr>
        <w:t>（3）排污口环境保护设施管理要求</w:t>
      </w:r>
    </w:p>
    <w:p>
      <w:pPr>
        <w:widowControl w:val="0"/>
        <w:wordWrap w:val="0"/>
        <w:ind w:firstLine="480"/>
        <w:jc w:val="both"/>
        <w:rPr>
          <w:rFonts w:hint="eastAsia"/>
          <w:color w:val="000000"/>
          <w:szCs w:val="20"/>
          <w:u w:val="none"/>
        </w:rPr>
      </w:pPr>
      <w:r>
        <w:rPr>
          <w:rFonts w:hint="eastAsia"/>
          <w:color w:val="000000"/>
          <w:szCs w:val="20"/>
          <w:u w:val="none"/>
        </w:rPr>
        <w:t>建设单位应将环境保护设施纳入本单位设备管理，制定相应的管理办法和规章制度，选派责任心强，有专业知识和技能的兼、专职人员对排污口进行管理，做到责任明确、奖罚分明。</w:t>
      </w:r>
    </w:p>
    <w:p>
      <w:pPr>
        <w:pStyle w:val="86"/>
        <w:spacing w:before="120" w:after="120"/>
        <w:rPr>
          <w:rFonts w:hint="eastAsia"/>
          <w:color w:val="000000"/>
          <w:kern w:val="0"/>
        </w:rPr>
      </w:pPr>
      <w:bookmarkStart w:id="302" w:name="_Toc29308683"/>
      <w:bookmarkStart w:id="303" w:name="_Toc7042"/>
      <w:r>
        <w:rPr>
          <w:color w:val="000000"/>
          <w:kern w:val="0"/>
        </w:rPr>
        <w:t>7</w:t>
      </w:r>
      <w:r>
        <w:rPr>
          <w:rFonts w:hint="eastAsia"/>
          <w:color w:val="000000"/>
          <w:kern w:val="0"/>
        </w:rPr>
        <w:t>.</w:t>
      </w:r>
      <w:r>
        <w:rPr>
          <w:color w:val="000000"/>
          <w:kern w:val="0"/>
        </w:rPr>
        <w:t>5</w:t>
      </w:r>
      <w:r>
        <w:rPr>
          <w:rFonts w:hint="eastAsia"/>
          <w:color w:val="000000"/>
          <w:kern w:val="0"/>
        </w:rPr>
        <w:t>总量控制</w:t>
      </w:r>
      <w:bookmarkEnd w:id="302"/>
      <w:bookmarkEnd w:id="303"/>
    </w:p>
    <w:p>
      <w:pPr>
        <w:widowControl w:val="0"/>
        <w:ind w:firstLine="480" w:firstLineChars="0"/>
        <w:jc w:val="both"/>
        <w:rPr>
          <w:rFonts w:hint="default" w:eastAsia="宋体"/>
          <w:color w:val="000000"/>
          <w:u w:val="single"/>
          <w:lang w:val="en-US" w:eastAsia="zh-CN"/>
        </w:rPr>
      </w:pPr>
      <w:r>
        <w:rPr>
          <w:rFonts w:hint="eastAsia"/>
          <w:color w:val="000000"/>
          <w:szCs w:val="21"/>
          <w:u w:val="single"/>
        </w:rPr>
        <w:t>依据《湖南省“十</w:t>
      </w:r>
      <w:r>
        <w:rPr>
          <w:rFonts w:hint="eastAsia"/>
          <w:color w:val="000000"/>
          <w:szCs w:val="21"/>
          <w:u w:val="single"/>
          <w:lang w:eastAsia="zh-CN"/>
        </w:rPr>
        <w:t>四</w:t>
      </w:r>
      <w:r>
        <w:rPr>
          <w:rFonts w:hint="eastAsia"/>
          <w:color w:val="000000"/>
          <w:szCs w:val="21"/>
          <w:u w:val="single"/>
        </w:rPr>
        <w:t>五”主要污染物减排规划》，湖南省对COD、NH</w:t>
      </w:r>
      <w:r>
        <w:rPr>
          <w:rFonts w:hint="eastAsia"/>
          <w:color w:val="000000"/>
          <w:szCs w:val="21"/>
          <w:u w:val="single"/>
          <w:vertAlign w:val="subscript"/>
        </w:rPr>
        <w:t>3</w:t>
      </w:r>
      <w:r>
        <w:rPr>
          <w:rFonts w:hint="eastAsia"/>
          <w:color w:val="000000"/>
          <w:szCs w:val="21"/>
          <w:u w:val="single"/>
        </w:rPr>
        <w:t>-N、SO</w:t>
      </w:r>
      <w:r>
        <w:rPr>
          <w:rFonts w:hint="eastAsia"/>
          <w:color w:val="000000"/>
          <w:szCs w:val="21"/>
          <w:u w:val="single"/>
          <w:vertAlign w:val="subscript"/>
        </w:rPr>
        <w:t>2</w:t>
      </w:r>
      <w:r>
        <w:rPr>
          <w:rFonts w:hint="eastAsia"/>
          <w:color w:val="000000"/>
          <w:szCs w:val="21"/>
          <w:u w:val="single"/>
        </w:rPr>
        <w:t>、NO</w:t>
      </w:r>
      <w:r>
        <w:rPr>
          <w:rFonts w:hint="eastAsia"/>
          <w:color w:val="000000"/>
          <w:szCs w:val="21"/>
          <w:u w:val="single"/>
          <w:vertAlign w:val="subscript"/>
        </w:rPr>
        <w:t>X</w:t>
      </w:r>
      <w:r>
        <w:rPr>
          <w:rFonts w:hint="eastAsia"/>
          <w:color w:val="000000"/>
          <w:szCs w:val="21"/>
          <w:u w:val="single"/>
        </w:rPr>
        <w:t>、VOCs五项污染物实施总量控制，其中COD、NH</w:t>
      </w:r>
      <w:r>
        <w:rPr>
          <w:rFonts w:hint="eastAsia"/>
          <w:color w:val="000000"/>
          <w:szCs w:val="21"/>
          <w:u w:val="single"/>
          <w:vertAlign w:val="subscript"/>
        </w:rPr>
        <w:t>3</w:t>
      </w:r>
      <w:r>
        <w:rPr>
          <w:rFonts w:hint="eastAsia"/>
          <w:color w:val="000000"/>
          <w:szCs w:val="21"/>
          <w:u w:val="single"/>
        </w:rPr>
        <w:t>-N、SO</w:t>
      </w:r>
      <w:r>
        <w:rPr>
          <w:rFonts w:hint="eastAsia"/>
          <w:color w:val="000000"/>
          <w:szCs w:val="21"/>
          <w:u w:val="single"/>
          <w:vertAlign w:val="subscript"/>
        </w:rPr>
        <w:t>2</w:t>
      </w:r>
      <w:r>
        <w:rPr>
          <w:rFonts w:hint="eastAsia"/>
          <w:color w:val="000000"/>
          <w:szCs w:val="21"/>
          <w:u w:val="single"/>
        </w:rPr>
        <w:t>、NO</w:t>
      </w:r>
      <w:r>
        <w:rPr>
          <w:rFonts w:hint="eastAsia"/>
          <w:color w:val="000000"/>
          <w:szCs w:val="21"/>
          <w:u w:val="single"/>
          <w:vertAlign w:val="subscript"/>
        </w:rPr>
        <w:t>X</w:t>
      </w:r>
      <w:r>
        <w:rPr>
          <w:rFonts w:hint="eastAsia"/>
          <w:color w:val="000000"/>
          <w:szCs w:val="21"/>
          <w:u w:val="single"/>
        </w:rPr>
        <w:t>为约束</w:t>
      </w:r>
      <w:r>
        <w:rPr>
          <w:rFonts w:hint="eastAsia"/>
          <w:color w:val="000000"/>
          <w:u w:val="single"/>
        </w:rPr>
        <w:t>性指标，VOCs为指导性指标。</w:t>
      </w:r>
      <w:r>
        <w:rPr>
          <w:rFonts w:hint="eastAsia"/>
          <w:color w:val="000000"/>
          <w:u w:val="single"/>
          <w:lang w:val="en-US" w:eastAsia="zh-CN"/>
        </w:rPr>
        <w:t>本项目属于重金属废水处理，主要是对重金属进行减排，项目污染物总量核算情况见下表：</w:t>
      </w:r>
    </w:p>
    <w:p>
      <w:pPr>
        <w:pStyle w:val="2"/>
        <w:jc w:val="center"/>
        <w:rPr>
          <w:rFonts w:hint="default" w:ascii="Times New Roman" w:hAnsi="Times New Roman" w:eastAsia="宋体" w:cs="Times New Roman"/>
          <w:b/>
          <w:bCs/>
          <w:color w:val="000000"/>
          <w:kern w:val="0"/>
          <w:sz w:val="21"/>
          <w:szCs w:val="21"/>
          <w:u w:val="single"/>
          <w:lang w:val="en-US" w:eastAsia="zh-CN"/>
        </w:rPr>
      </w:pPr>
      <w:r>
        <w:rPr>
          <w:rFonts w:hint="default" w:ascii="Times New Roman" w:hAnsi="Times New Roman" w:cs="Times New Roman"/>
          <w:b/>
          <w:bCs/>
          <w:color w:val="000000"/>
          <w:kern w:val="0"/>
          <w:sz w:val="21"/>
          <w:szCs w:val="21"/>
          <w:u w:val="single"/>
          <w:lang w:val="en-US" w:eastAsia="zh-CN"/>
        </w:rPr>
        <w:t>表</w:t>
      </w:r>
      <w:r>
        <w:rPr>
          <w:rFonts w:hint="eastAsia" w:ascii="Times New Roman" w:hAnsi="Times New Roman" w:cs="Times New Roman"/>
          <w:b/>
          <w:bCs/>
          <w:color w:val="000000"/>
          <w:kern w:val="0"/>
          <w:sz w:val="21"/>
          <w:szCs w:val="21"/>
          <w:u w:val="single"/>
          <w:lang w:val="en-US" w:eastAsia="zh-CN"/>
        </w:rPr>
        <w:t xml:space="preserve"> </w:t>
      </w:r>
      <w:r>
        <w:rPr>
          <w:rFonts w:hint="default" w:ascii="Times New Roman" w:hAnsi="Times New Roman" w:cs="Times New Roman"/>
          <w:b/>
          <w:bCs/>
          <w:color w:val="000000"/>
          <w:kern w:val="0"/>
          <w:sz w:val="21"/>
          <w:szCs w:val="21"/>
          <w:u w:val="single"/>
          <w:lang w:val="en-US" w:eastAsia="zh-CN"/>
        </w:rPr>
        <w:t>7.5-1  项目总量核算一览表</w:t>
      </w:r>
    </w:p>
    <w:tbl>
      <w:tblPr>
        <w:tblStyle w:val="37"/>
        <w:tblW w:w="7862"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91"/>
        <w:gridCol w:w="1716"/>
        <w:gridCol w:w="1585"/>
        <w:gridCol w:w="1585"/>
        <w:gridCol w:w="15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13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污染物种类</w:t>
            </w:r>
          </w:p>
        </w:tc>
        <w:tc>
          <w:tcPr>
            <w:tcW w:w="17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排放浓度/（mg/L）</w:t>
            </w:r>
          </w:p>
        </w:tc>
        <w:tc>
          <w:tcPr>
            <w:tcW w:w="15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日排放量/（t/d）</w:t>
            </w:r>
          </w:p>
        </w:tc>
        <w:tc>
          <w:tcPr>
            <w:tcW w:w="15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年排放量/（</w:t>
            </w:r>
            <w:r>
              <w:rPr>
                <w:rFonts w:hint="eastAsia" w:cs="Times New Roman"/>
                <w:sz w:val="21"/>
                <w:szCs w:val="21"/>
                <w:u w:val="single"/>
                <w:lang w:val="en-US" w:eastAsia="zh-CN"/>
              </w:rPr>
              <w:t>kg</w:t>
            </w:r>
            <w:r>
              <w:rPr>
                <w:rFonts w:hint="default" w:ascii="Times New Roman" w:hAnsi="Times New Roman" w:cs="Times New Roman"/>
                <w:sz w:val="21"/>
                <w:szCs w:val="21"/>
                <w:u w:val="single"/>
                <w:lang w:val="en-US" w:eastAsia="zh-CN"/>
              </w:rPr>
              <w:t>/a）</w:t>
            </w:r>
          </w:p>
        </w:tc>
        <w:tc>
          <w:tcPr>
            <w:tcW w:w="158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lang w:val="en-US" w:eastAsia="zh-CN"/>
              </w:rPr>
              <w:t>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13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rPr>
              <w:t>总锰</w:t>
            </w:r>
          </w:p>
        </w:tc>
        <w:tc>
          <w:tcPr>
            <w:tcW w:w="17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1.0</w:t>
            </w:r>
          </w:p>
        </w:tc>
        <w:tc>
          <w:tcPr>
            <w:tcW w:w="1585"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cs="Times New Roman"/>
                <w:sz w:val="21"/>
                <w:szCs w:val="21"/>
                <w:u w:val="single"/>
                <w:lang w:val="en-US" w:eastAsia="zh-CN"/>
              </w:rPr>
            </w:pPr>
            <w:r>
              <w:rPr>
                <w:rFonts w:hint="eastAsia"/>
                <w:u w:val="single"/>
                <w:lang w:val="en-US" w:eastAsia="zh-CN"/>
              </w:rPr>
              <w:t>0.003</w:t>
            </w:r>
          </w:p>
        </w:tc>
        <w:tc>
          <w:tcPr>
            <w:tcW w:w="1585"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eastAsia="宋体" w:cs="Times New Roman"/>
                <w:u w:val="single"/>
                <w:lang w:val="en-US" w:eastAsia="zh-CN"/>
              </w:rPr>
            </w:pPr>
            <w:r>
              <w:rPr>
                <w:rFonts w:hint="eastAsia" w:eastAsia="宋体" w:cs="Times New Roman"/>
                <w:u w:val="single"/>
                <w:lang w:val="en-US" w:eastAsia="zh-CN"/>
              </w:rPr>
              <w:t>1095</w:t>
            </w:r>
          </w:p>
        </w:tc>
        <w:tc>
          <w:tcPr>
            <w:tcW w:w="1585"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1.095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13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rPr>
              <w:t>总</w:t>
            </w:r>
            <w:r>
              <w:rPr>
                <w:rFonts w:hint="eastAsia" w:ascii="Times New Roman" w:hAnsi="Times New Roman" w:cs="Times New Roman"/>
                <w:sz w:val="21"/>
                <w:szCs w:val="21"/>
                <w:u w:val="single"/>
                <w:lang w:val="en-US" w:eastAsia="zh-CN"/>
              </w:rPr>
              <w:t>铬</w:t>
            </w:r>
          </w:p>
        </w:tc>
        <w:tc>
          <w:tcPr>
            <w:tcW w:w="17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0.1</w:t>
            </w:r>
          </w:p>
        </w:tc>
        <w:tc>
          <w:tcPr>
            <w:tcW w:w="1585"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cs="Times New Roman"/>
                <w:sz w:val="21"/>
                <w:szCs w:val="21"/>
                <w:u w:val="single"/>
                <w:lang w:val="en-US" w:eastAsia="zh-CN"/>
              </w:rPr>
            </w:pPr>
            <w:r>
              <w:rPr>
                <w:rFonts w:hint="eastAsia" w:ascii="Times New Roman" w:hAnsi="Times New Roman" w:eastAsia="宋体" w:cs="Times New Roman"/>
                <w:u w:val="single"/>
                <w:lang w:val="en-US" w:eastAsia="zh-CN"/>
              </w:rPr>
              <w:t>0.0003</w:t>
            </w:r>
          </w:p>
        </w:tc>
        <w:tc>
          <w:tcPr>
            <w:tcW w:w="1585"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eastAsia="宋体" w:cs="Times New Roman"/>
                <w:u w:val="single"/>
                <w:lang w:val="en-US" w:eastAsia="zh-CN"/>
              </w:rPr>
            </w:pPr>
            <w:r>
              <w:rPr>
                <w:rFonts w:hint="eastAsia" w:eastAsia="宋体" w:cs="Times New Roman"/>
                <w:u w:val="single"/>
                <w:lang w:val="en-US" w:eastAsia="zh-CN"/>
              </w:rPr>
              <w:t>109.5</w:t>
            </w:r>
          </w:p>
        </w:tc>
        <w:tc>
          <w:tcPr>
            <w:tcW w:w="1585"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0.1095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28" w:hRule="atLeast"/>
          <w:jc w:val="center"/>
        </w:trPr>
        <w:tc>
          <w:tcPr>
            <w:tcW w:w="13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rPr>
              <w:t>六价铬</w:t>
            </w:r>
          </w:p>
        </w:tc>
        <w:tc>
          <w:tcPr>
            <w:tcW w:w="17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0.05</w:t>
            </w:r>
          </w:p>
        </w:tc>
        <w:tc>
          <w:tcPr>
            <w:tcW w:w="1585"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cs="Times New Roman"/>
                <w:sz w:val="21"/>
                <w:szCs w:val="21"/>
                <w:u w:val="single"/>
                <w:lang w:val="en-US" w:eastAsia="zh-CN"/>
              </w:rPr>
            </w:pPr>
            <w:r>
              <w:rPr>
                <w:rFonts w:hint="eastAsia" w:ascii="Times New Roman" w:hAnsi="Times New Roman" w:eastAsia="宋体" w:cs="Times New Roman"/>
                <w:u w:val="single"/>
                <w:lang w:val="en-US" w:eastAsia="zh-CN"/>
              </w:rPr>
              <w:t>0.00015</w:t>
            </w:r>
          </w:p>
        </w:tc>
        <w:tc>
          <w:tcPr>
            <w:tcW w:w="1585"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eastAsia="宋体" w:cs="Times New Roman"/>
                <w:u w:val="single"/>
                <w:lang w:val="en-US" w:eastAsia="zh-CN"/>
              </w:rPr>
            </w:pPr>
            <w:r>
              <w:rPr>
                <w:rFonts w:hint="eastAsia" w:eastAsia="宋体" w:cs="Times New Roman"/>
                <w:u w:val="single"/>
                <w:lang w:val="en-US" w:eastAsia="zh-CN"/>
              </w:rPr>
              <w:t>54.75</w:t>
            </w:r>
          </w:p>
        </w:tc>
        <w:tc>
          <w:tcPr>
            <w:tcW w:w="1585"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0.05475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6" w:hRule="atLeast"/>
          <w:jc w:val="center"/>
        </w:trPr>
        <w:tc>
          <w:tcPr>
            <w:tcW w:w="13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default" w:ascii="Times New Roman" w:hAnsi="Times New Roman" w:cs="Times New Roman"/>
                <w:sz w:val="21"/>
                <w:szCs w:val="21"/>
                <w:u w:val="single"/>
              </w:rPr>
              <w:t>总钒</w:t>
            </w:r>
          </w:p>
        </w:tc>
        <w:tc>
          <w:tcPr>
            <w:tcW w:w="17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eastAsia" w:cs="Times New Roman"/>
                <w:sz w:val="21"/>
                <w:szCs w:val="21"/>
                <w:u w:val="single"/>
                <w:lang w:val="en-US" w:eastAsia="zh-CN"/>
              </w:rPr>
              <w:t>1</w:t>
            </w:r>
            <w:r>
              <w:rPr>
                <w:rFonts w:hint="eastAsia" w:ascii="Times New Roman" w:hAnsi="Times New Roman" w:cs="Times New Roman"/>
                <w:sz w:val="21"/>
                <w:szCs w:val="21"/>
                <w:u w:val="single"/>
                <w:lang w:val="en-US" w:eastAsia="zh-CN"/>
              </w:rPr>
              <w:t>.0</w:t>
            </w:r>
          </w:p>
        </w:tc>
        <w:tc>
          <w:tcPr>
            <w:tcW w:w="1585"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cs="Times New Roman"/>
                <w:sz w:val="21"/>
                <w:szCs w:val="21"/>
                <w:u w:val="single"/>
                <w:lang w:val="en-US" w:eastAsia="zh-CN"/>
              </w:rPr>
            </w:pPr>
            <w:r>
              <w:rPr>
                <w:rFonts w:hint="eastAsia" w:ascii="Times New Roman" w:hAnsi="Times New Roman" w:eastAsia="宋体" w:cs="Times New Roman"/>
                <w:u w:val="single"/>
                <w:lang w:val="en-US" w:eastAsia="zh-CN"/>
              </w:rPr>
              <w:t>0.00</w:t>
            </w:r>
            <w:r>
              <w:rPr>
                <w:rFonts w:hint="eastAsia" w:eastAsia="宋体" w:cs="Times New Roman"/>
                <w:u w:val="single"/>
                <w:lang w:val="en-US" w:eastAsia="zh-CN"/>
              </w:rPr>
              <w:t>3</w:t>
            </w:r>
          </w:p>
        </w:tc>
        <w:tc>
          <w:tcPr>
            <w:tcW w:w="1585"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eastAsia="宋体" w:cs="Times New Roman"/>
                <w:u w:val="single"/>
                <w:lang w:val="en-US" w:eastAsia="zh-CN"/>
              </w:rPr>
            </w:pPr>
            <w:r>
              <w:rPr>
                <w:rFonts w:hint="eastAsia" w:eastAsia="宋体" w:cs="Times New Roman"/>
                <w:u w:val="single"/>
                <w:lang w:val="en-US" w:eastAsia="zh-CN"/>
              </w:rPr>
              <w:t>1095</w:t>
            </w:r>
          </w:p>
        </w:tc>
        <w:tc>
          <w:tcPr>
            <w:tcW w:w="1585"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eastAsia="宋体" w:cs="Times New Roman"/>
                <w:u w:val="single"/>
                <w:lang w:val="en-US" w:eastAsia="zh-CN"/>
              </w:rPr>
            </w:pPr>
            <w:r>
              <w:rPr>
                <w:rFonts w:hint="eastAsia" w:eastAsia="宋体" w:cs="Times New Roman"/>
                <w:u w:val="single"/>
                <w:lang w:val="en-US" w:eastAsia="zh-CN"/>
              </w:rPr>
              <w:t>1.095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8" w:hRule="atLeast"/>
          <w:jc w:val="center"/>
        </w:trPr>
        <w:tc>
          <w:tcPr>
            <w:tcW w:w="13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eastAsia="zh-CN"/>
              </w:rPr>
              <w:t>锌</w:t>
            </w:r>
          </w:p>
        </w:tc>
        <w:tc>
          <w:tcPr>
            <w:tcW w:w="17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1.0</w:t>
            </w:r>
          </w:p>
        </w:tc>
        <w:tc>
          <w:tcPr>
            <w:tcW w:w="1585" w:type="dxa"/>
            <w:tcBorders>
              <w:tl2br w:val="nil"/>
              <w:tr2bl w:val="nil"/>
            </w:tcBorders>
            <w:noWrap w:val="0"/>
            <w:vAlign w:val="center"/>
          </w:tcPr>
          <w:p>
            <w:pPr>
              <w:pStyle w:val="132"/>
              <w:keepNext w:val="0"/>
              <w:keepLines w:val="0"/>
              <w:widowControl w:val="0"/>
              <w:ind w:firstLine="0" w:firstLineChars="0"/>
              <w:rPr>
                <w:rFonts w:hint="eastAsia" w:ascii="Times New Roman" w:hAnsi="Times New Roman" w:cs="Times New Roman"/>
                <w:sz w:val="21"/>
                <w:szCs w:val="21"/>
                <w:u w:val="single"/>
                <w:lang w:val="en-US" w:eastAsia="zh-CN"/>
              </w:rPr>
            </w:pPr>
            <w:r>
              <w:rPr>
                <w:rFonts w:hint="eastAsia" w:ascii="Times New Roman" w:hAnsi="Times New Roman" w:eastAsia="宋体" w:cs="Times New Roman"/>
                <w:u w:val="single"/>
                <w:lang w:val="en-US" w:eastAsia="zh-CN"/>
              </w:rPr>
              <w:t>0.003</w:t>
            </w:r>
          </w:p>
        </w:tc>
        <w:tc>
          <w:tcPr>
            <w:tcW w:w="1585"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eastAsia="宋体" w:cs="Times New Roman"/>
                <w:u w:val="single"/>
                <w:lang w:val="en-US" w:eastAsia="zh-CN"/>
              </w:rPr>
            </w:pPr>
            <w:r>
              <w:rPr>
                <w:rFonts w:hint="eastAsia" w:eastAsia="宋体" w:cs="Times New Roman"/>
                <w:u w:val="single"/>
                <w:lang w:val="en-US" w:eastAsia="zh-CN"/>
              </w:rPr>
              <w:t>1095</w:t>
            </w:r>
          </w:p>
        </w:tc>
        <w:tc>
          <w:tcPr>
            <w:tcW w:w="1585" w:type="dxa"/>
            <w:tcBorders>
              <w:tl2br w:val="nil"/>
              <w:tr2bl w:val="nil"/>
            </w:tcBorders>
            <w:noWrap w:val="0"/>
            <w:vAlign w:val="center"/>
          </w:tcPr>
          <w:p>
            <w:pPr>
              <w:pStyle w:val="132"/>
              <w:keepNext w:val="0"/>
              <w:keepLines w:val="0"/>
              <w:widowControl w:val="0"/>
              <w:ind w:firstLine="0" w:firstLineChars="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1.095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1391"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铅</w:t>
            </w:r>
          </w:p>
        </w:tc>
        <w:tc>
          <w:tcPr>
            <w:tcW w:w="17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default" w:ascii="Times New Roman" w:hAnsi="Times New Roman" w:cs="Times New Roman"/>
                <w:sz w:val="21"/>
                <w:szCs w:val="21"/>
                <w:u w:val="single"/>
                <w:lang w:val="en-US" w:eastAsia="zh-CN"/>
              </w:rPr>
            </w:pPr>
            <w:r>
              <w:rPr>
                <w:rFonts w:hint="eastAsia" w:ascii="Times New Roman" w:hAnsi="Times New Roman" w:cs="Times New Roman"/>
                <w:sz w:val="21"/>
                <w:szCs w:val="21"/>
                <w:u w:val="single"/>
                <w:lang w:val="en-US" w:eastAsia="zh-CN"/>
              </w:rPr>
              <w:t>0.1</w:t>
            </w:r>
          </w:p>
        </w:tc>
        <w:tc>
          <w:tcPr>
            <w:tcW w:w="1585" w:type="dxa"/>
            <w:tcBorders>
              <w:tl2br w:val="nil"/>
              <w:tr2bl w:val="nil"/>
            </w:tcBorders>
            <w:noWrap w:val="0"/>
            <w:vAlign w:val="center"/>
          </w:tcPr>
          <w:p>
            <w:pPr>
              <w:pStyle w:val="132"/>
              <w:keepNext w:val="0"/>
              <w:keepLines w:val="0"/>
              <w:widowControl w:val="0"/>
              <w:ind w:firstLine="0" w:firstLineChars="0"/>
              <w:rPr>
                <w:rFonts w:hint="eastAsia" w:ascii="Times New Roman" w:hAnsi="Times New Roman" w:cs="Times New Roman"/>
                <w:sz w:val="21"/>
                <w:szCs w:val="21"/>
                <w:u w:val="single"/>
                <w:lang w:val="en-US" w:eastAsia="zh-CN"/>
              </w:rPr>
            </w:pPr>
            <w:r>
              <w:rPr>
                <w:rFonts w:hint="eastAsia" w:ascii="Times New Roman" w:hAnsi="Times New Roman" w:eastAsia="宋体" w:cs="Times New Roman"/>
                <w:u w:val="single"/>
                <w:lang w:val="en-US" w:eastAsia="zh-CN"/>
              </w:rPr>
              <w:t>0.0003</w:t>
            </w:r>
          </w:p>
        </w:tc>
        <w:tc>
          <w:tcPr>
            <w:tcW w:w="1585" w:type="dxa"/>
            <w:tcBorders>
              <w:tl2br w:val="nil"/>
              <w:tr2bl w:val="nil"/>
            </w:tcBorders>
            <w:noWrap w:val="0"/>
            <w:vAlign w:val="center"/>
          </w:tcPr>
          <w:p>
            <w:pPr>
              <w:pStyle w:val="132"/>
              <w:keepNext w:val="0"/>
              <w:keepLines w:val="0"/>
              <w:widowControl w:val="0"/>
              <w:ind w:firstLine="0" w:firstLineChars="0"/>
              <w:rPr>
                <w:rFonts w:hint="default" w:ascii="Times New Roman" w:hAnsi="Times New Roman" w:eastAsia="宋体" w:cs="Times New Roman"/>
                <w:u w:val="single"/>
                <w:lang w:val="en-US" w:eastAsia="zh-CN"/>
              </w:rPr>
            </w:pPr>
            <w:r>
              <w:rPr>
                <w:rFonts w:hint="eastAsia" w:eastAsia="宋体" w:cs="Times New Roman"/>
                <w:u w:val="single"/>
                <w:lang w:val="en-US" w:eastAsia="zh-CN"/>
              </w:rPr>
              <w:t>109.5</w:t>
            </w:r>
          </w:p>
        </w:tc>
        <w:tc>
          <w:tcPr>
            <w:tcW w:w="1585" w:type="dxa"/>
            <w:tcBorders>
              <w:tl2br w:val="nil"/>
              <w:tr2bl w:val="nil"/>
            </w:tcBorders>
            <w:noWrap w:val="0"/>
            <w:vAlign w:val="center"/>
          </w:tcPr>
          <w:p>
            <w:pPr>
              <w:pStyle w:val="132"/>
              <w:keepNext w:val="0"/>
              <w:keepLines w:val="0"/>
              <w:widowControl w:val="0"/>
              <w:ind w:firstLine="0" w:firstLineChars="0"/>
              <w:rPr>
                <w:rFonts w:hint="eastAsia" w:ascii="Times New Roman" w:hAnsi="Times New Roman" w:eastAsia="宋体" w:cs="Times New Roman"/>
                <w:u w:val="single"/>
                <w:lang w:val="en-US" w:eastAsia="zh-CN"/>
              </w:rPr>
            </w:pPr>
            <w:r>
              <w:rPr>
                <w:rFonts w:hint="eastAsia" w:ascii="Times New Roman" w:hAnsi="Times New Roman" w:eastAsia="宋体" w:cs="Times New Roman"/>
                <w:u w:val="single"/>
                <w:lang w:val="en-US" w:eastAsia="zh-CN"/>
              </w:rPr>
              <w:t>0.1095</w:t>
            </w:r>
          </w:p>
        </w:tc>
      </w:tr>
    </w:tbl>
    <w:p>
      <w:pPr>
        <w:pStyle w:val="86"/>
        <w:spacing w:before="120" w:after="120"/>
        <w:rPr>
          <w:rFonts w:hint="eastAsia"/>
          <w:color w:val="000000"/>
          <w:kern w:val="0"/>
        </w:rPr>
      </w:pPr>
      <w:bookmarkStart w:id="304" w:name="_Toc6229"/>
      <w:bookmarkStart w:id="305" w:name="_Toc29308684"/>
      <w:r>
        <w:rPr>
          <w:color w:val="000000"/>
          <w:kern w:val="0"/>
        </w:rPr>
        <w:t>7</w:t>
      </w:r>
      <w:r>
        <w:rPr>
          <w:rFonts w:hint="eastAsia"/>
          <w:color w:val="000000"/>
          <w:kern w:val="0"/>
        </w:rPr>
        <w:t>.</w:t>
      </w:r>
      <w:r>
        <w:rPr>
          <w:color w:val="000000"/>
          <w:kern w:val="0"/>
        </w:rPr>
        <w:t>6</w:t>
      </w:r>
      <w:r>
        <w:rPr>
          <w:rFonts w:hint="eastAsia"/>
          <w:color w:val="000000"/>
          <w:kern w:val="0"/>
        </w:rPr>
        <w:t xml:space="preserve"> 环境监测</w:t>
      </w:r>
      <w:bookmarkEnd w:id="304"/>
      <w:bookmarkEnd w:id="305"/>
    </w:p>
    <w:p>
      <w:pPr>
        <w:pStyle w:val="8"/>
        <w:spacing w:before="120"/>
        <w:rPr>
          <w:rFonts w:hint="eastAsia"/>
          <w:color w:val="000000"/>
          <w:u w:val="none"/>
        </w:rPr>
      </w:pPr>
      <w:r>
        <w:rPr>
          <w:color w:val="000000"/>
          <w:u w:val="none"/>
        </w:rPr>
        <w:t>7</w:t>
      </w:r>
      <w:r>
        <w:rPr>
          <w:rFonts w:hint="eastAsia"/>
          <w:color w:val="000000"/>
          <w:u w:val="none"/>
        </w:rPr>
        <w:t>.</w:t>
      </w:r>
      <w:r>
        <w:rPr>
          <w:color w:val="000000"/>
          <w:u w:val="none"/>
        </w:rPr>
        <w:t>6</w:t>
      </w:r>
      <w:r>
        <w:rPr>
          <w:rFonts w:hint="eastAsia"/>
          <w:color w:val="000000"/>
          <w:u w:val="none"/>
        </w:rPr>
        <w:t>.</w:t>
      </w:r>
      <w:r>
        <w:rPr>
          <w:rFonts w:hint="eastAsia"/>
          <w:color w:val="000000"/>
          <w:u w:val="none"/>
          <w:lang w:val="en-US" w:eastAsia="zh-CN"/>
        </w:rPr>
        <w:t>1</w:t>
      </w:r>
      <w:r>
        <w:rPr>
          <w:rFonts w:hint="eastAsia"/>
          <w:color w:val="000000"/>
          <w:u w:val="none"/>
        </w:rPr>
        <w:t xml:space="preserve">  营运期环境监测方案</w:t>
      </w:r>
    </w:p>
    <w:p>
      <w:pPr>
        <w:ind w:firstLine="480"/>
        <w:rPr>
          <w:rFonts w:hint="eastAsia"/>
          <w:color w:val="000000"/>
          <w:kern w:val="0"/>
          <w:u w:val="none"/>
        </w:rPr>
      </w:pPr>
      <w:r>
        <w:rPr>
          <w:rFonts w:hint="eastAsia"/>
          <w:color w:val="000000"/>
          <w:kern w:val="0"/>
          <w:u w:val="none"/>
        </w:rPr>
        <w:t>根据《排污许可证申请与核发技术规范水处理（试行）》(HJ 978-2018)和《排污单位自行监测技术指南 水处理》（HJ 1083-2020），</w:t>
      </w:r>
      <w:r>
        <w:rPr>
          <w:color w:val="000000"/>
          <w:kern w:val="0"/>
          <w:u w:val="none"/>
        </w:rPr>
        <w:t>营运期主要对企业入管污水水质，处理后污水排放口水质进行日常常规检测，对污水处理</w:t>
      </w:r>
      <w:r>
        <w:rPr>
          <w:rFonts w:hint="eastAsia"/>
          <w:color w:val="000000"/>
          <w:kern w:val="0"/>
          <w:u w:val="none"/>
          <w:lang w:eastAsia="zh-CN"/>
        </w:rPr>
        <w:t>站</w:t>
      </w:r>
      <w:r>
        <w:rPr>
          <w:color w:val="000000"/>
          <w:kern w:val="0"/>
          <w:u w:val="none"/>
        </w:rPr>
        <w:t>各运行单元内部水质进行定期监测。营运期环境监测的要求见表</w:t>
      </w:r>
      <w:r>
        <w:rPr>
          <w:rFonts w:hint="eastAsia"/>
          <w:color w:val="000000"/>
          <w:kern w:val="0"/>
          <w:u w:val="none"/>
        </w:rPr>
        <w:t>7</w:t>
      </w:r>
      <w:r>
        <w:rPr>
          <w:color w:val="000000"/>
          <w:kern w:val="0"/>
          <w:u w:val="none"/>
        </w:rPr>
        <w:t>.6-</w:t>
      </w:r>
      <w:r>
        <w:rPr>
          <w:rFonts w:hint="eastAsia"/>
          <w:color w:val="000000"/>
          <w:kern w:val="0"/>
          <w:u w:val="none"/>
          <w:lang w:val="en-US" w:eastAsia="zh-CN"/>
        </w:rPr>
        <w:t>1</w:t>
      </w:r>
      <w:r>
        <w:rPr>
          <w:color w:val="000000"/>
          <w:kern w:val="0"/>
          <w:u w:val="none"/>
        </w:rPr>
        <w:t>。</w:t>
      </w:r>
    </w:p>
    <w:p>
      <w:pPr>
        <w:ind w:firstLine="480"/>
        <w:rPr>
          <w:rFonts w:hint="eastAsia"/>
          <w:color w:val="000000"/>
          <w:kern w:val="0"/>
          <w:u w:val="single"/>
        </w:rPr>
      </w:pPr>
      <w:r>
        <w:rPr>
          <w:color w:val="000000"/>
          <w:kern w:val="0"/>
          <w:u w:val="none"/>
        </w:rPr>
        <w:t>为了使地方环保管理部门对污水处理</w:t>
      </w:r>
      <w:r>
        <w:rPr>
          <w:rFonts w:hint="eastAsia"/>
          <w:color w:val="000000"/>
          <w:kern w:val="0"/>
          <w:u w:val="none"/>
          <w:lang w:eastAsia="zh-CN"/>
        </w:rPr>
        <w:t>站</w:t>
      </w:r>
      <w:r>
        <w:rPr>
          <w:color w:val="000000"/>
          <w:kern w:val="0"/>
          <w:u w:val="none"/>
        </w:rPr>
        <w:t>运行的管理，要求在排污口设置在线监测装置。在线监测装置的终端和</w:t>
      </w:r>
      <w:r>
        <w:rPr>
          <w:rFonts w:hint="eastAsia"/>
          <w:color w:val="000000"/>
          <w:kern w:val="0"/>
          <w:u w:val="none"/>
        </w:rPr>
        <w:t>环保部门</w:t>
      </w:r>
      <w:r>
        <w:rPr>
          <w:color w:val="000000"/>
          <w:kern w:val="0"/>
          <w:u w:val="none"/>
        </w:rPr>
        <w:t>电脑监控装置相连接。确保当地环保管理部门对污水处理</w:t>
      </w:r>
      <w:r>
        <w:rPr>
          <w:rFonts w:hint="eastAsia"/>
          <w:color w:val="000000"/>
          <w:kern w:val="0"/>
          <w:u w:val="none"/>
          <w:lang w:eastAsia="zh-CN"/>
        </w:rPr>
        <w:t>站</w:t>
      </w:r>
      <w:r>
        <w:rPr>
          <w:color w:val="000000"/>
          <w:kern w:val="0"/>
          <w:u w:val="none"/>
        </w:rPr>
        <w:t>正</w:t>
      </w:r>
      <w:r>
        <w:rPr>
          <w:color w:val="000000"/>
          <w:kern w:val="0"/>
          <w:u w:val="single"/>
        </w:rPr>
        <w:t>常运转的管理。</w:t>
      </w:r>
    </w:p>
    <w:p>
      <w:pPr>
        <w:pStyle w:val="98"/>
        <w:rPr>
          <w:rFonts w:hint="eastAsia"/>
          <w:u w:val="single"/>
        </w:rPr>
      </w:pPr>
      <w:r>
        <w:rPr>
          <w:rFonts w:hint="eastAsia"/>
          <w:u w:val="single"/>
        </w:rPr>
        <w:t>表</w:t>
      </w:r>
      <w:r>
        <w:rPr>
          <w:u w:val="single"/>
        </w:rPr>
        <w:t>7</w:t>
      </w:r>
      <w:r>
        <w:rPr>
          <w:rFonts w:hint="eastAsia"/>
          <w:u w:val="single"/>
        </w:rPr>
        <w:t>.</w:t>
      </w:r>
      <w:r>
        <w:rPr>
          <w:u w:val="single"/>
        </w:rPr>
        <w:t>6</w:t>
      </w:r>
      <w:r>
        <w:rPr>
          <w:rFonts w:hint="eastAsia"/>
          <w:u w:val="single"/>
        </w:rPr>
        <w:t>-</w:t>
      </w:r>
      <w:r>
        <w:rPr>
          <w:rFonts w:hint="eastAsia"/>
          <w:u w:val="single"/>
          <w:lang w:val="en-US" w:eastAsia="zh-CN"/>
        </w:rPr>
        <w:t>1</w:t>
      </w:r>
      <w:r>
        <w:rPr>
          <w:rFonts w:hint="eastAsia"/>
          <w:u w:val="single"/>
        </w:rPr>
        <w:t xml:space="preserve">  营运期环境监测计划</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2549"/>
        <w:gridCol w:w="2865"/>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noWrap w:val="0"/>
            <w:vAlign w:val="center"/>
          </w:tcPr>
          <w:p>
            <w:pPr>
              <w:pStyle w:val="79"/>
              <w:widowControl w:val="0"/>
              <w:rPr>
                <w:b/>
                <w:bCs/>
                <w:u w:val="single"/>
              </w:rPr>
            </w:pPr>
            <w:r>
              <w:rPr>
                <w:b/>
                <w:bCs/>
                <w:u w:val="single"/>
              </w:rPr>
              <w:t>监测项目</w:t>
            </w:r>
          </w:p>
        </w:tc>
        <w:tc>
          <w:tcPr>
            <w:tcW w:w="1495" w:type="pct"/>
            <w:noWrap w:val="0"/>
            <w:vAlign w:val="center"/>
          </w:tcPr>
          <w:p>
            <w:pPr>
              <w:pStyle w:val="79"/>
              <w:widowControl w:val="0"/>
              <w:rPr>
                <w:b/>
                <w:bCs/>
                <w:u w:val="single"/>
              </w:rPr>
            </w:pPr>
            <w:r>
              <w:rPr>
                <w:b/>
                <w:bCs/>
                <w:u w:val="single"/>
              </w:rPr>
              <w:t>监测点</w:t>
            </w:r>
          </w:p>
        </w:tc>
        <w:tc>
          <w:tcPr>
            <w:tcW w:w="1680" w:type="pct"/>
            <w:noWrap w:val="0"/>
            <w:vAlign w:val="center"/>
          </w:tcPr>
          <w:p>
            <w:pPr>
              <w:pStyle w:val="79"/>
              <w:widowControl w:val="0"/>
              <w:rPr>
                <w:b/>
                <w:bCs/>
                <w:u w:val="single"/>
              </w:rPr>
            </w:pPr>
            <w:r>
              <w:rPr>
                <w:b/>
                <w:bCs/>
                <w:u w:val="single"/>
              </w:rPr>
              <w:t>监测因子</w:t>
            </w:r>
          </w:p>
        </w:tc>
        <w:tc>
          <w:tcPr>
            <w:tcW w:w="1178" w:type="pct"/>
            <w:noWrap w:val="0"/>
            <w:vAlign w:val="center"/>
          </w:tcPr>
          <w:p>
            <w:pPr>
              <w:pStyle w:val="79"/>
              <w:widowControl w:val="0"/>
              <w:rPr>
                <w:b/>
                <w:bCs/>
                <w:u w:val="single"/>
              </w:rPr>
            </w:pPr>
            <w:r>
              <w:rPr>
                <w:b/>
                <w:bCs/>
                <w:u w:val="single"/>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noWrap w:val="0"/>
            <w:vAlign w:val="center"/>
          </w:tcPr>
          <w:p>
            <w:pPr>
              <w:pStyle w:val="79"/>
              <w:widowControl w:val="0"/>
              <w:rPr>
                <w:rFonts w:hint="eastAsia"/>
                <w:u w:val="single"/>
              </w:rPr>
            </w:pPr>
            <w:r>
              <w:rPr>
                <w:rFonts w:hint="eastAsia"/>
                <w:u w:val="single"/>
              </w:rPr>
              <w:t>地下水</w:t>
            </w:r>
          </w:p>
        </w:tc>
        <w:tc>
          <w:tcPr>
            <w:tcW w:w="1495" w:type="pct"/>
            <w:noWrap w:val="0"/>
            <w:vAlign w:val="center"/>
          </w:tcPr>
          <w:p>
            <w:pPr>
              <w:pStyle w:val="79"/>
              <w:widowControl w:val="0"/>
              <w:rPr>
                <w:u w:val="single"/>
              </w:rPr>
            </w:pPr>
            <w:r>
              <w:rPr>
                <w:rFonts w:hint="eastAsia"/>
                <w:u w:val="single"/>
              </w:rPr>
              <w:t>厂区上游、厂区、厂区下游监测井</w:t>
            </w:r>
          </w:p>
        </w:tc>
        <w:tc>
          <w:tcPr>
            <w:tcW w:w="1680" w:type="pct"/>
            <w:noWrap w:val="0"/>
            <w:vAlign w:val="center"/>
          </w:tcPr>
          <w:p>
            <w:pPr>
              <w:pStyle w:val="79"/>
              <w:widowControl w:val="0"/>
              <w:rPr>
                <w:rFonts w:hint="eastAsia" w:eastAsia="宋体"/>
                <w:u w:val="single"/>
                <w:lang w:eastAsia="zh-CN"/>
              </w:rPr>
            </w:pPr>
            <w:r>
              <w:rPr>
                <w:rFonts w:hint="eastAsia"/>
                <w:u w:val="single"/>
                <w:lang w:eastAsia="zh-CN"/>
              </w:rPr>
              <w:t>流量、锰、钒、铬、铅、锌</w:t>
            </w:r>
          </w:p>
        </w:tc>
        <w:tc>
          <w:tcPr>
            <w:tcW w:w="1178" w:type="pct"/>
            <w:noWrap w:val="0"/>
            <w:vAlign w:val="center"/>
          </w:tcPr>
          <w:p>
            <w:pPr>
              <w:pStyle w:val="79"/>
              <w:widowControl w:val="0"/>
              <w:rPr>
                <w:u w:val="single"/>
              </w:rPr>
            </w:pPr>
            <w:r>
              <w:rPr>
                <w:rFonts w:hint="eastAsia"/>
                <w:u w:val="single"/>
              </w:rPr>
              <w:t>枯水期各监测1次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46" w:type="pct"/>
            <w:vMerge w:val="restart"/>
            <w:noWrap w:val="0"/>
            <w:vAlign w:val="center"/>
          </w:tcPr>
          <w:p>
            <w:pPr>
              <w:pStyle w:val="79"/>
              <w:widowControl w:val="0"/>
              <w:rPr>
                <w:u w:val="single"/>
              </w:rPr>
            </w:pPr>
            <w:r>
              <w:rPr>
                <w:u w:val="single"/>
              </w:rPr>
              <w:t>废水</w:t>
            </w:r>
          </w:p>
        </w:tc>
        <w:tc>
          <w:tcPr>
            <w:tcW w:w="1495" w:type="pct"/>
            <w:noWrap w:val="0"/>
            <w:vAlign w:val="center"/>
          </w:tcPr>
          <w:p>
            <w:pPr>
              <w:pStyle w:val="79"/>
              <w:widowControl w:val="0"/>
              <w:rPr>
                <w:u w:val="single"/>
              </w:rPr>
            </w:pPr>
            <w:r>
              <w:rPr>
                <w:u w:val="single"/>
              </w:rPr>
              <w:t>污水处理</w:t>
            </w:r>
            <w:r>
              <w:rPr>
                <w:rFonts w:hint="eastAsia"/>
                <w:u w:val="single"/>
                <w:lang w:eastAsia="zh-CN"/>
              </w:rPr>
              <w:t>站</w:t>
            </w:r>
            <w:r>
              <w:rPr>
                <w:u w:val="single"/>
              </w:rPr>
              <w:t>进水口</w:t>
            </w:r>
          </w:p>
        </w:tc>
        <w:tc>
          <w:tcPr>
            <w:tcW w:w="1680" w:type="pct"/>
            <w:noWrap w:val="0"/>
            <w:vAlign w:val="center"/>
          </w:tcPr>
          <w:p>
            <w:pPr>
              <w:pStyle w:val="79"/>
              <w:widowControl w:val="0"/>
              <w:rPr>
                <w:u w:val="single"/>
              </w:rPr>
            </w:pPr>
            <w:r>
              <w:rPr>
                <w:rFonts w:hint="eastAsia"/>
                <w:u w:val="single"/>
                <w:lang w:eastAsia="zh-CN"/>
              </w:rPr>
              <w:t>锰、钒、铬、铅、锌</w:t>
            </w:r>
          </w:p>
        </w:tc>
        <w:tc>
          <w:tcPr>
            <w:tcW w:w="1178" w:type="pct"/>
            <w:noWrap w:val="0"/>
            <w:vAlign w:val="center"/>
          </w:tcPr>
          <w:p>
            <w:pPr>
              <w:pStyle w:val="79"/>
              <w:widowControl w:val="0"/>
              <w:rPr>
                <w:u w:val="single"/>
              </w:rPr>
            </w:pPr>
            <w:r>
              <w:rPr>
                <w:u w:val="single"/>
              </w:rPr>
              <w:t>在线监测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6" w:type="pct"/>
            <w:vMerge w:val="continue"/>
            <w:noWrap w:val="0"/>
            <w:vAlign w:val="center"/>
          </w:tcPr>
          <w:p>
            <w:pPr>
              <w:pStyle w:val="79"/>
              <w:widowControl w:val="0"/>
              <w:rPr>
                <w:u w:val="single"/>
              </w:rPr>
            </w:pPr>
          </w:p>
        </w:tc>
        <w:tc>
          <w:tcPr>
            <w:tcW w:w="1495" w:type="pct"/>
            <w:noWrap w:val="0"/>
            <w:vAlign w:val="center"/>
          </w:tcPr>
          <w:p>
            <w:pPr>
              <w:pStyle w:val="79"/>
              <w:widowControl w:val="0"/>
              <w:rPr>
                <w:u w:val="single"/>
              </w:rPr>
            </w:pPr>
            <w:r>
              <w:rPr>
                <w:rFonts w:hint="eastAsia"/>
                <w:u w:val="single"/>
              </w:rPr>
              <w:t>污水处理</w:t>
            </w:r>
            <w:r>
              <w:rPr>
                <w:rFonts w:hint="eastAsia"/>
                <w:u w:val="single"/>
                <w:lang w:eastAsia="zh-CN"/>
              </w:rPr>
              <w:t>站出水</w:t>
            </w:r>
            <w:r>
              <w:rPr>
                <w:u w:val="single"/>
              </w:rPr>
              <w:t>口</w:t>
            </w:r>
          </w:p>
        </w:tc>
        <w:tc>
          <w:tcPr>
            <w:tcW w:w="1680" w:type="pct"/>
            <w:noWrap w:val="0"/>
            <w:vAlign w:val="center"/>
          </w:tcPr>
          <w:p>
            <w:pPr>
              <w:pStyle w:val="79"/>
              <w:widowControl w:val="0"/>
              <w:rPr>
                <w:u w:val="single"/>
              </w:rPr>
            </w:pPr>
            <w:r>
              <w:rPr>
                <w:rFonts w:hint="eastAsia"/>
                <w:u w:val="single"/>
                <w:lang w:eastAsia="zh-CN"/>
              </w:rPr>
              <w:t>锰、钒、铬、铅、锌</w:t>
            </w:r>
          </w:p>
        </w:tc>
        <w:tc>
          <w:tcPr>
            <w:tcW w:w="1178" w:type="pct"/>
            <w:noWrap w:val="0"/>
            <w:vAlign w:val="center"/>
          </w:tcPr>
          <w:p>
            <w:pPr>
              <w:pStyle w:val="79"/>
              <w:widowControl w:val="0"/>
              <w:rPr>
                <w:u w:val="single"/>
              </w:rPr>
            </w:pPr>
            <w:r>
              <w:rPr>
                <w:u w:val="single"/>
              </w:rPr>
              <w:t>在线监测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5" w:hRule="atLeast"/>
          <w:jc w:val="center"/>
        </w:trPr>
        <w:tc>
          <w:tcPr>
            <w:tcW w:w="646" w:type="pct"/>
            <w:noWrap w:val="0"/>
            <w:vAlign w:val="center"/>
          </w:tcPr>
          <w:p>
            <w:pPr>
              <w:pStyle w:val="79"/>
              <w:widowControl w:val="0"/>
              <w:rPr>
                <w:rFonts w:hint="eastAsia" w:eastAsia="宋体"/>
                <w:u w:val="single"/>
                <w:lang w:eastAsia="zh-CN"/>
              </w:rPr>
            </w:pPr>
            <w:r>
              <w:rPr>
                <w:rFonts w:hint="eastAsia"/>
                <w:u w:val="single"/>
                <w:lang w:eastAsia="zh-CN"/>
              </w:rPr>
              <w:t>雨水</w:t>
            </w:r>
          </w:p>
        </w:tc>
        <w:tc>
          <w:tcPr>
            <w:tcW w:w="1495" w:type="pct"/>
            <w:noWrap w:val="0"/>
            <w:vAlign w:val="center"/>
          </w:tcPr>
          <w:p>
            <w:pPr>
              <w:pStyle w:val="79"/>
              <w:widowControl w:val="0"/>
              <w:rPr>
                <w:rFonts w:hint="eastAsia" w:eastAsia="宋体"/>
                <w:u w:val="single"/>
                <w:lang w:eastAsia="zh-CN"/>
              </w:rPr>
            </w:pPr>
            <w:r>
              <w:rPr>
                <w:rFonts w:hint="eastAsia"/>
                <w:u w:val="single"/>
                <w:lang w:eastAsia="zh-CN"/>
              </w:rPr>
              <w:t>雨水排放口</w:t>
            </w:r>
          </w:p>
        </w:tc>
        <w:tc>
          <w:tcPr>
            <w:tcW w:w="1680" w:type="pct"/>
            <w:noWrap w:val="0"/>
            <w:vAlign w:val="center"/>
          </w:tcPr>
          <w:p>
            <w:pPr>
              <w:pStyle w:val="79"/>
              <w:widowControl w:val="0"/>
              <w:rPr>
                <w:rFonts w:hint="eastAsia"/>
                <w:u w:val="single"/>
                <w:lang w:eastAsia="zh-CN"/>
              </w:rPr>
            </w:pPr>
            <w:r>
              <w:rPr>
                <w:rFonts w:hint="eastAsia"/>
                <w:u w:val="single"/>
                <w:lang w:eastAsia="zh-CN"/>
              </w:rPr>
              <w:t>pH值、化学需氧量、氨氮、悬浮物</w:t>
            </w:r>
          </w:p>
        </w:tc>
        <w:tc>
          <w:tcPr>
            <w:tcW w:w="1178" w:type="pct"/>
            <w:noWrap w:val="0"/>
            <w:vAlign w:val="center"/>
          </w:tcPr>
          <w:p>
            <w:pPr>
              <w:pStyle w:val="79"/>
              <w:widowControl w:val="0"/>
              <w:rPr>
                <w:u w:val="single"/>
              </w:rPr>
            </w:pPr>
            <w:r>
              <w:rPr>
                <w:rFonts w:hint="eastAsia"/>
                <w:u w:val="single"/>
              </w:rPr>
              <w:t>每日一次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noWrap w:val="0"/>
            <w:vAlign w:val="center"/>
          </w:tcPr>
          <w:p>
            <w:pPr>
              <w:pStyle w:val="79"/>
              <w:widowControl w:val="0"/>
              <w:rPr>
                <w:u w:val="single"/>
              </w:rPr>
            </w:pPr>
            <w:r>
              <w:rPr>
                <w:u w:val="single"/>
              </w:rPr>
              <w:t>噪声</w:t>
            </w:r>
          </w:p>
        </w:tc>
        <w:tc>
          <w:tcPr>
            <w:tcW w:w="1495" w:type="pct"/>
            <w:noWrap w:val="0"/>
            <w:vAlign w:val="center"/>
          </w:tcPr>
          <w:p>
            <w:pPr>
              <w:pStyle w:val="79"/>
              <w:widowControl w:val="0"/>
              <w:rPr>
                <w:u w:val="single"/>
              </w:rPr>
            </w:pPr>
            <w:r>
              <w:rPr>
                <w:u w:val="single"/>
              </w:rPr>
              <w:t>厂界</w:t>
            </w:r>
          </w:p>
        </w:tc>
        <w:tc>
          <w:tcPr>
            <w:tcW w:w="1680" w:type="pct"/>
            <w:noWrap w:val="0"/>
            <w:vAlign w:val="center"/>
          </w:tcPr>
          <w:p>
            <w:pPr>
              <w:pStyle w:val="79"/>
              <w:widowControl w:val="0"/>
              <w:rPr>
                <w:u w:val="single"/>
              </w:rPr>
            </w:pPr>
            <w:r>
              <w:rPr>
                <w:u w:val="single"/>
              </w:rPr>
              <w:t>等效A声级</w:t>
            </w:r>
          </w:p>
        </w:tc>
        <w:tc>
          <w:tcPr>
            <w:tcW w:w="1178" w:type="pct"/>
            <w:noWrap w:val="0"/>
            <w:vAlign w:val="center"/>
          </w:tcPr>
          <w:p>
            <w:pPr>
              <w:pStyle w:val="79"/>
              <w:widowControl w:val="0"/>
              <w:rPr>
                <w:u w:val="single"/>
              </w:rPr>
            </w:pPr>
            <w:r>
              <w:rPr>
                <w:u w:val="single"/>
              </w:rPr>
              <w:t>每</w:t>
            </w:r>
            <w:r>
              <w:rPr>
                <w:rFonts w:hint="eastAsia"/>
                <w:u w:val="single"/>
                <w:lang w:eastAsia="zh-CN"/>
              </w:rPr>
              <w:t>季度</w:t>
            </w:r>
            <w:r>
              <w:rPr>
                <w:u w:val="single"/>
              </w:rPr>
              <w:t>一次，昼夜各一次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restart"/>
            <w:noWrap w:val="0"/>
            <w:vAlign w:val="center"/>
          </w:tcPr>
          <w:p>
            <w:pPr>
              <w:pStyle w:val="79"/>
              <w:widowControl w:val="0"/>
              <w:rPr>
                <w:u w:val="single"/>
              </w:rPr>
            </w:pPr>
            <w:r>
              <w:rPr>
                <w:rFonts w:hint="eastAsia"/>
                <w:u w:val="single"/>
              </w:rPr>
              <w:t>污泥</w:t>
            </w:r>
          </w:p>
        </w:tc>
        <w:tc>
          <w:tcPr>
            <w:tcW w:w="1495" w:type="pct"/>
            <w:vMerge w:val="restart"/>
            <w:noWrap w:val="0"/>
            <w:vAlign w:val="center"/>
          </w:tcPr>
          <w:p>
            <w:pPr>
              <w:pStyle w:val="79"/>
              <w:widowControl w:val="0"/>
              <w:rPr>
                <w:rFonts w:hint="eastAsia"/>
                <w:u w:val="single"/>
              </w:rPr>
            </w:pPr>
            <w:r>
              <w:rPr>
                <w:rFonts w:hint="eastAsia"/>
                <w:u w:val="single"/>
              </w:rPr>
              <w:t>压滤机污泥出口</w:t>
            </w:r>
          </w:p>
        </w:tc>
        <w:tc>
          <w:tcPr>
            <w:tcW w:w="1680" w:type="pct"/>
            <w:noWrap w:val="0"/>
            <w:vAlign w:val="center"/>
          </w:tcPr>
          <w:p>
            <w:pPr>
              <w:pStyle w:val="79"/>
              <w:widowControl w:val="0"/>
              <w:rPr>
                <w:u w:val="single"/>
              </w:rPr>
            </w:pPr>
            <w:r>
              <w:rPr>
                <w:rFonts w:hint="eastAsia"/>
                <w:u w:val="single"/>
              </w:rPr>
              <w:t>含水率</w:t>
            </w:r>
          </w:p>
        </w:tc>
        <w:tc>
          <w:tcPr>
            <w:tcW w:w="1178" w:type="pct"/>
            <w:noWrap w:val="0"/>
            <w:vAlign w:val="center"/>
          </w:tcPr>
          <w:p>
            <w:pPr>
              <w:pStyle w:val="79"/>
              <w:widowControl w:val="0"/>
              <w:rPr>
                <w:u w:val="single"/>
              </w:rPr>
            </w:pPr>
            <w:r>
              <w:rPr>
                <w:rFonts w:hint="eastAsia"/>
                <w:u w:val="single"/>
                <w:lang w:eastAsia="zh-CN"/>
              </w:rPr>
              <w:t>运行时每日</w:t>
            </w:r>
            <w:r>
              <w:rPr>
                <w:rFonts w:hint="eastAsia"/>
                <w:u w:val="single"/>
              </w:rPr>
              <w:t>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continue"/>
            <w:noWrap w:val="0"/>
            <w:vAlign w:val="center"/>
          </w:tcPr>
          <w:p>
            <w:pPr>
              <w:pStyle w:val="79"/>
              <w:widowControl w:val="0"/>
              <w:rPr>
                <w:u w:val="single"/>
              </w:rPr>
            </w:pPr>
          </w:p>
        </w:tc>
        <w:tc>
          <w:tcPr>
            <w:tcW w:w="1495" w:type="pct"/>
            <w:vMerge w:val="continue"/>
            <w:noWrap w:val="0"/>
            <w:vAlign w:val="center"/>
          </w:tcPr>
          <w:p>
            <w:pPr>
              <w:pStyle w:val="79"/>
              <w:widowControl w:val="0"/>
              <w:rPr>
                <w:u w:val="single"/>
              </w:rPr>
            </w:pPr>
          </w:p>
        </w:tc>
        <w:tc>
          <w:tcPr>
            <w:tcW w:w="1680" w:type="pct"/>
            <w:noWrap w:val="0"/>
            <w:vAlign w:val="center"/>
          </w:tcPr>
          <w:p>
            <w:pPr>
              <w:pStyle w:val="79"/>
              <w:widowControl w:val="0"/>
              <w:rPr>
                <w:u w:val="single"/>
              </w:rPr>
            </w:pPr>
            <w:r>
              <w:rPr>
                <w:rFonts w:hint="eastAsia"/>
                <w:u w:val="single"/>
              </w:rPr>
              <w:t>蠕虫卵死亡率、粪大肠菌群菌值</w:t>
            </w:r>
          </w:p>
        </w:tc>
        <w:tc>
          <w:tcPr>
            <w:tcW w:w="1178" w:type="pct"/>
            <w:noWrap w:val="0"/>
            <w:vAlign w:val="center"/>
          </w:tcPr>
          <w:p>
            <w:pPr>
              <w:pStyle w:val="79"/>
              <w:widowControl w:val="0"/>
              <w:rPr>
                <w:u w:val="single"/>
              </w:rPr>
            </w:pPr>
            <w:r>
              <w:rPr>
                <w:rFonts w:hint="eastAsia"/>
                <w:u w:val="single"/>
                <w:lang w:eastAsia="zh-CN"/>
              </w:rPr>
              <w:t>运行时</w:t>
            </w:r>
            <w:r>
              <w:rPr>
                <w:rFonts w:hint="eastAsia"/>
                <w:u w:val="single"/>
              </w:rPr>
              <w:t>每月一次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Merge w:val="continue"/>
            <w:noWrap w:val="0"/>
            <w:vAlign w:val="center"/>
          </w:tcPr>
          <w:p>
            <w:pPr>
              <w:pStyle w:val="79"/>
              <w:widowControl w:val="0"/>
              <w:rPr>
                <w:u w:val="single"/>
              </w:rPr>
            </w:pPr>
          </w:p>
        </w:tc>
        <w:tc>
          <w:tcPr>
            <w:tcW w:w="1495" w:type="pct"/>
            <w:vMerge w:val="continue"/>
            <w:noWrap w:val="0"/>
            <w:vAlign w:val="center"/>
          </w:tcPr>
          <w:p>
            <w:pPr>
              <w:pStyle w:val="79"/>
              <w:widowControl w:val="0"/>
              <w:rPr>
                <w:u w:val="single"/>
              </w:rPr>
            </w:pPr>
          </w:p>
        </w:tc>
        <w:tc>
          <w:tcPr>
            <w:tcW w:w="1680" w:type="pct"/>
            <w:noWrap w:val="0"/>
            <w:vAlign w:val="center"/>
          </w:tcPr>
          <w:p>
            <w:pPr>
              <w:pStyle w:val="79"/>
              <w:widowControl w:val="0"/>
              <w:rPr>
                <w:u w:val="single"/>
              </w:rPr>
            </w:pPr>
            <w:r>
              <w:rPr>
                <w:rFonts w:hint="eastAsia"/>
                <w:u w:val="single"/>
              </w:rPr>
              <w:t>有机物降解率</w:t>
            </w:r>
          </w:p>
        </w:tc>
        <w:tc>
          <w:tcPr>
            <w:tcW w:w="1178" w:type="pct"/>
            <w:noWrap w:val="0"/>
            <w:vAlign w:val="center"/>
          </w:tcPr>
          <w:p>
            <w:pPr>
              <w:pStyle w:val="79"/>
              <w:widowControl w:val="0"/>
              <w:rPr>
                <w:u w:val="single"/>
              </w:rPr>
            </w:pPr>
            <w:r>
              <w:rPr>
                <w:rFonts w:hint="eastAsia"/>
                <w:u w:val="single"/>
                <w:lang w:eastAsia="zh-CN"/>
              </w:rPr>
              <w:t>运行时</w:t>
            </w:r>
            <w:r>
              <w:rPr>
                <w:rFonts w:hint="eastAsia"/>
                <w:u w:val="single"/>
              </w:rPr>
              <w:t>每月一次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noWrap w:val="0"/>
            <w:vAlign w:val="center"/>
          </w:tcPr>
          <w:p>
            <w:pPr>
              <w:pStyle w:val="79"/>
              <w:widowControl w:val="0"/>
              <w:rPr>
                <w:rFonts w:hint="eastAsia"/>
                <w:u w:val="single"/>
                <w:lang w:eastAsia="zh-CN"/>
              </w:rPr>
            </w:pPr>
            <w:r>
              <w:rPr>
                <w:rFonts w:hint="eastAsia"/>
                <w:u w:val="single"/>
                <w:lang w:eastAsia="zh-CN"/>
              </w:rPr>
              <w:t>备注：雨水排放口有流动水排放时按日监测。若监测一年无异常情况，可放宽至每季度开展一次监测。</w:t>
            </w:r>
          </w:p>
        </w:tc>
      </w:tr>
    </w:tbl>
    <w:p>
      <w:pPr>
        <w:pStyle w:val="8"/>
        <w:spacing w:before="120"/>
        <w:rPr>
          <w:color w:val="000000"/>
          <w:u w:val="none"/>
        </w:rPr>
      </w:pPr>
      <w:r>
        <w:rPr>
          <w:color w:val="000000"/>
          <w:u w:val="none"/>
        </w:rPr>
        <w:t>7.6.3</w:t>
      </w:r>
      <w:r>
        <w:rPr>
          <w:rFonts w:hint="eastAsia"/>
          <w:color w:val="000000"/>
          <w:u w:val="none"/>
        </w:rPr>
        <w:t>在线监测设备安装要求</w:t>
      </w:r>
    </w:p>
    <w:p>
      <w:pPr>
        <w:ind w:firstLine="480"/>
        <w:rPr>
          <w:color w:val="000000"/>
          <w:u w:val="none"/>
        </w:rPr>
      </w:pPr>
      <w:r>
        <w:rPr>
          <w:rFonts w:hint="eastAsia"/>
          <w:color w:val="000000"/>
          <w:u w:val="none"/>
        </w:rPr>
        <w:t>（</w:t>
      </w:r>
      <w:r>
        <w:rPr>
          <w:color w:val="000000"/>
          <w:u w:val="none"/>
        </w:rPr>
        <w:t>1</w:t>
      </w:r>
      <w:r>
        <w:rPr>
          <w:rFonts w:hint="eastAsia"/>
          <w:color w:val="000000"/>
          <w:u w:val="none"/>
        </w:rPr>
        <w:t>）采样取水系统安装要求</w:t>
      </w:r>
    </w:p>
    <w:p>
      <w:pPr>
        <w:ind w:firstLine="480"/>
        <w:rPr>
          <w:color w:val="000000"/>
          <w:u w:val="none"/>
        </w:rPr>
      </w:pPr>
      <w:r>
        <w:rPr>
          <w:rFonts w:hint="eastAsia"/>
          <w:color w:val="000000"/>
          <w:u w:val="none"/>
        </w:rPr>
        <w:t>①采样取水系统应保证采集有代表性的水样，并保证将水样无变质的输送至监测站内自动分析仪取样分析或采样器采样保存。</w:t>
      </w:r>
    </w:p>
    <w:p>
      <w:pPr>
        <w:ind w:firstLine="480"/>
        <w:rPr>
          <w:color w:val="000000"/>
          <w:u w:val="none"/>
        </w:rPr>
      </w:pPr>
      <w:r>
        <w:rPr>
          <w:rFonts w:hint="eastAsia"/>
          <w:color w:val="000000"/>
          <w:u w:val="none"/>
        </w:rPr>
        <w:t>②采样取水系统应尽量设在废水排放堰槽取水口头部的流路中央，采水的前端设在下流的方向，减少采水部前端的堵塞。采样取水系统宜设置成可随睡眠的涨落而上下移动的形式。应同时设置人工采样口，以便进行比对试验。</w:t>
      </w:r>
    </w:p>
    <w:p>
      <w:pPr>
        <w:ind w:firstLine="480"/>
        <w:rPr>
          <w:color w:val="000000"/>
          <w:u w:val="none"/>
        </w:rPr>
      </w:pPr>
      <w:r>
        <w:rPr>
          <w:rFonts w:hint="eastAsia"/>
          <w:color w:val="000000"/>
          <w:u w:val="none"/>
        </w:rPr>
        <w:t>③采样取水系统的构造应有必要的防冻和防腐设施。</w:t>
      </w:r>
    </w:p>
    <w:p>
      <w:pPr>
        <w:ind w:firstLine="480"/>
        <w:rPr>
          <w:color w:val="000000"/>
          <w:u w:val="none"/>
        </w:rPr>
      </w:pPr>
      <w:r>
        <w:rPr>
          <w:rFonts w:hint="eastAsia"/>
          <w:color w:val="000000"/>
          <w:u w:val="none"/>
        </w:rPr>
        <w:t>④采样取水管材料应对所有监测项目没有干扰，并且耐腐蚀。取水管应能保证水质自动分析仪所需的流量。</w:t>
      </w:r>
    </w:p>
    <w:p>
      <w:pPr>
        <w:ind w:firstLine="480"/>
        <w:rPr>
          <w:color w:val="000000"/>
          <w:u w:val="none"/>
        </w:rPr>
      </w:pPr>
      <w:r>
        <w:rPr>
          <w:rFonts w:hint="eastAsia"/>
          <w:color w:val="000000"/>
          <w:u w:val="none"/>
        </w:rPr>
        <w:t>⑤采样泵应根据采样流量、采样取水系统的水头损失及水位差合理选择。</w:t>
      </w:r>
    </w:p>
    <w:p>
      <w:pPr>
        <w:ind w:firstLine="480"/>
        <w:rPr>
          <w:color w:val="000000"/>
          <w:u w:val="none"/>
        </w:rPr>
      </w:pPr>
      <w:r>
        <w:rPr>
          <w:rFonts w:hint="eastAsia"/>
          <w:color w:val="000000"/>
          <w:u w:val="none"/>
        </w:rPr>
        <w:t>⑥采样取水系统宜设有过滤设施，防止杂物和粗颗粒悬浮物损坏采样泵。</w:t>
      </w:r>
    </w:p>
    <w:p>
      <w:pPr>
        <w:ind w:firstLine="480"/>
        <w:rPr>
          <w:color w:val="000000"/>
          <w:u w:val="none"/>
        </w:rPr>
      </w:pPr>
      <w:r>
        <w:rPr>
          <w:rFonts w:hint="eastAsia"/>
          <w:color w:val="000000"/>
          <w:u w:val="none"/>
        </w:rPr>
        <w:t>⑦氨氮水质自动分析仪采样取水系统的管路设计应具有自动清洗功能，宜采用加臭氧、二氧化氯或加氯等冲洗方式。应尽量缩短采样取水系统与氨氮水质自动分析仪之间输送管路的长度。</w:t>
      </w:r>
    </w:p>
    <w:p>
      <w:pPr>
        <w:ind w:firstLine="480"/>
        <w:rPr>
          <w:color w:val="000000"/>
          <w:u w:val="none"/>
        </w:rPr>
      </w:pPr>
      <w:r>
        <w:rPr>
          <w:rFonts w:hint="eastAsia"/>
          <w:color w:val="000000"/>
          <w:u w:val="none"/>
        </w:rPr>
        <w:t>（</w:t>
      </w:r>
      <w:r>
        <w:rPr>
          <w:color w:val="000000"/>
          <w:u w:val="none"/>
        </w:rPr>
        <w:t>2</w:t>
      </w:r>
      <w:r>
        <w:rPr>
          <w:rFonts w:hint="eastAsia"/>
          <w:color w:val="000000"/>
          <w:u w:val="none"/>
        </w:rPr>
        <w:t>）现场水质自动分析仪安装要求</w:t>
      </w:r>
    </w:p>
    <w:p>
      <w:pPr>
        <w:ind w:firstLine="480"/>
        <w:rPr>
          <w:color w:val="000000"/>
          <w:u w:val="none"/>
        </w:rPr>
      </w:pPr>
      <w:r>
        <w:rPr>
          <w:rFonts w:hint="eastAsia"/>
          <w:color w:val="000000"/>
          <w:u w:val="none"/>
        </w:rPr>
        <w:t>①现场水质自动分析仪应落地或壁挂式安装，有必要的防震措施，保证设备安装牢固稳定。</w:t>
      </w:r>
    </w:p>
    <w:p>
      <w:pPr>
        <w:ind w:firstLine="480"/>
        <w:rPr>
          <w:color w:val="000000"/>
          <w:u w:val="none"/>
        </w:rPr>
      </w:pPr>
      <w:r>
        <w:rPr>
          <w:rFonts w:hint="eastAsia"/>
          <w:color w:val="000000"/>
          <w:u w:val="none"/>
        </w:rPr>
        <w:t>②安装高温加热装置的现场水质自动分析仪，应避开可燃物和无严禁烟火的场所。</w:t>
      </w:r>
    </w:p>
    <w:p>
      <w:pPr>
        <w:ind w:firstLine="480"/>
        <w:rPr>
          <w:color w:val="000000"/>
          <w:u w:val="none"/>
        </w:rPr>
      </w:pPr>
      <w:r>
        <w:rPr>
          <w:rFonts w:hint="eastAsia"/>
          <w:color w:val="000000"/>
          <w:u w:val="none"/>
        </w:rPr>
        <w:t>③现场水质自动分析仪与数据采集传输仪的电缆连接应可靠稳定，并尽量缩短信号传输距离。</w:t>
      </w:r>
    </w:p>
    <w:p>
      <w:pPr>
        <w:ind w:firstLine="480"/>
        <w:rPr>
          <w:color w:val="000000"/>
          <w:u w:val="none"/>
        </w:rPr>
      </w:pPr>
      <w:r>
        <w:rPr>
          <w:rFonts w:hint="eastAsia"/>
          <w:color w:val="000000"/>
          <w:u w:val="none"/>
        </w:rPr>
        <w:t>④各种电缆和管路应加保护管铺于地下或空中架设，空中架设的电缆应附着在牢固的桥架上，并在电缆和管路以及电缆和管路的两端作上明显标识。</w:t>
      </w:r>
    </w:p>
    <w:p>
      <w:pPr>
        <w:ind w:firstLine="480"/>
        <w:rPr>
          <w:rFonts w:hint="eastAsia"/>
          <w:color w:val="000000"/>
          <w:u w:val="none"/>
        </w:rPr>
      </w:pPr>
      <w:r>
        <w:rPr>
          <w:rFonts w:hint="eastAsia"/>
          <w:color w:val="000000"/>
          <w:u w:val="none"/>
        </w:rPr>
        <w:t>⑤必要时，仪器和电源也应设置防雷设施。</w:t>
      </w:r>
    </w:p>
    <w:p>
      <w:pPr>
        <w:pStyle w:val="86"/>
        <w:spacing w:before="120" w:after="120"/>
        <w:rPr>
          <w:rFonts w:hint="eastAsia"/>
          <w:color w:val="000000"/>
          <w:kern w:val="0"/>
          <w:u w:val="none"/>
        </w:rPr>
      </w:pPr>
      <w:bookmarkStart w:id="306" w:name="_Toc32026"/>
      <w:bookmarkStart w:id="307" w:name="_Toc29308685"/>
      <w:r>
        <w:rPr>
          <w:color w:val="000000"/>
          <w:kern w:val="0"/>
          <w:u w:val="none"/>
        </w:rPr>
        <w:t>7</w:t>
      </w:r>
      <w:r>
        <w:rPr>
          <w:rFonts w:hint="eastAsia"/>
          <w:color w:val="000000"/>
          <w:kern w:val="0"/>
          <w:u w:val="none"/>
        </w:rPr>
        <w:t>.</w:t>
      </w:r>
      <w:r>
        <w:rPr>
          <w:color w:val="000000"/>
          <w:kern w:val="0"/>
          <w:u w:val="none"/>
        </w:rPr>
        <w:t>7</w:t>
      </w:r>
      <w:r>
        <w:rPr>
          <w:rFonts w:hint="eastAsia"/>
          <w:color w:val="000000"/>
          <w:kern w:val="0"/>
          <w:u w:val="none"/>
        </w:rPr>
        <w:t xml:space="preserve"> 环境保护竣工验收要求</w:t>
      </w:r>
      <w:bookmarkEnd w:id="306"/>
      <w:bookmarkEnd w:id="307"/>
    </w:p>
    <w:p>
      <w:pPr>
        <w:ind w:firstLine="480"/>
        <w:rPr>
          <w:color w:val="000000"/>
          <w:kern w:val="0"/>
          <w:u w:val="none"/>
        </w:rPr>
      </w:pPr>
      <w:r>
        <w:rPr>
          <w:rFonts w:hint="eastAsia"/>
          <w:color w:val="000000"/>
          <w:kern w:val="0"/>
          <w:u w:val="none"/>
        </w:rPr>
        <w:t>本工程环境保护措施验收内容见表</w:t>
      </w:r>
      <w:r>
        <w:rPr>
          <w:color w:val="000000"/>
          <w:kern w:val="0"/>
          <w:u w:val="none"/>
        </w:rPr>
        <w:t>7.7</w:t>
      </w:r>
      <w:r>
        <w:rPr>
          <w:rFonts w:hint="eastAsia"/>
          <w:color w:val="000000"/>
          <w:kern w:val="0"/>
          <w:u w:val="none"/>
        </w:rPr>
        <w:t>-1，各项环保措施必须和主体工程一道通过验收竣工，污水处理</w:t>
      </w:r>
      <w:r>
        <w:rPr>
          <w:rFonts w:hint="eastAsia"/>
          <w:color w:val="000000"/>
          <w:kern w:val="0"/>
          <w:u w:val="none"/>
          <w:lang w:eastAsia="zh-CN"/>
        </w:rPr>
        <w:t>站</w:t>
      </w:r>
      <w:r>
        <w:rPr>
          <w:rFonts w:hint="eastAsia"/>
          <w:color w:val="000000"/>
          <w:kern w:val="0"/>
          <w:u w:val="none"/>
        </w:rPr>
        <w:t>方可运行。</w:t>
      </w:r>
    </w:p>
    <w:p>
      <w:pPr>
        <w:ind w:firstLine="422"/>
        <w:jc w:val="center"/>
        <w:rPr>
          <w:rFonts w:hint="eastAsia"/>
          <w:b/>
          <w:color w:val="000000"/>
          <w:kern w:val="0"/>
          <w:sz w:val="21"/>
          <w:szCs w:val="21"/>
          <w:u w:val="single"/>
        </w:rPr>
      </w:pPr>
      <w:r>
        <w:rPr>
          <w:rFonts w:hint="eastAsia"/>
          <w:b/>
          <w:color w:val="000000"/>
          <w:kern w:val="0"/>
          <w:sz w:val="21"/>
          <w:szCs w:val="21"/>
          <w:u w:val="single"/>
        </w:rPr>
        <w:t>表</w:t>
      </w:r>
      <w:r>
        <w:rPr>
          <w:b/>
          <w:color w:val="000000"/>
          <w:kern w:val="0"/>
          <w:sz w:val="21"/>
          <w:szCs w:val="21"/>
          <w:u w:val="single"/>
        </w:rPr>
        <w:t>7</w:t>
      </w:r>
      <w:r>
        <w:rPr>
          <w:rFonts w:hint="eastAsia"/>
          <w:b/>
          <w:color w:val="000000"/>
          <w:kern w:val="0"/>
          <w:sz w:val="21"/>
          <w:szCs w:val="21"/>
          <w:u w:val="single"/>
        </w:rPr>
        <w:t>.</w:t>
      </w:r>
      <w:r>
        <w:rPr>
          <w:b/>
          <w:color w:val="000000"/>
          <w:kern w:val="0"/>
          <w:sz w:val="21"/>
          <w:szCs w:val="21"/>
          <w:u w:val="single"/>
        </w:rPr>
        <w:t>7</w:t>
      </w:r>
      <w:r>
        <w:rPr>
          <w:rFonts w:hint="eastAsia"/>
          <w:b/>
          <w:color w:val="000000"/>
          <w:kern w:val="0"/>
          <w:sz w:val="21"/>
          <w:szCs w:val="21"/>
          <w:u w:val="single"/>
        </w:rPr>
        <w:t>-1  项目工程竣工环保验收一览表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846"/>
        <w:gridCol w:w="1726"/>
        <w:gridCol w:w="2821"/>
        <w:gridCol w:w="24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tcBorders>
              <w:tl2br w:val="nil"/>
              <w:tr2bl w:val="nil"/>
            </w:tcBorders>
            <w:noWrap w:val="0"/>
            <w:vAlign w:val="center"/>
          </w:tcPr>
          <w:p>
            <w:pPr>
              <w:pStyle w:val="79"/>
              <w:rPr>
                <w:rFonts w:hint="default" w:ascii="Times New Roman" w:hAnsi="Times New Roman" w:cs="Times New Roman"/>
                <w:b/>
                <w:bCs/>
                <w:u w:val="single"/>
              </w:rPr>
            </w:pPr>
            <w:r>
              <w:rPr>
                <w:rFonts w:hint="default" w:ascii="Times New Roman" w:hAnsi="Times New Roman" w:cs="Times New Roman"/>
                <w:b/>
                <w:bCs/>
                <w:u w:val="single"/>
              </w:rPr>
              <w:t>序号</w:t>
            </w:r>
          </w:p>
        </w:tc>
        <w:tc>
          <w:tcPr>
            <w:tcW w:w="496" w:type="pct"/>
            <w:tcBorders>
              <w:tl2br w:val="nil"/>
              <w:tr2bl w:val="nil"/>
            </w:tcBorders>
            <w:noWrap w:val="0"/>
            <w:vAlign w:val="center"/>
          </w:tcPr>
          <w:p>
            <w:pPr>
              <w:pStyle w:val="79"/>
              <w:rPr>
                <w:rFonts w:hint="default" w:ascii="Times New Roman" w:hAnsi="Times New Roman" w:cs="Times New Roman"/>
                <w:b/>
                <w:bCs/>
                <w:u w:val="single"/>
              </w:rPr>
            </w:pPr>
            <w:r>
              <w:rPr>
                <w:rFonts w:hint="default" w:ascii="Times New Roman" w:hAnsi="Times New Roman" w:cs="Times New Roman"/>
                <w:b/>
                <w:bCs/>
                <w:u w:val="single"/>
              </w:rPr>
              <w:t>治理对象</w:t>
            </w:r>
          </w:p>
        </w:tc>
        <w:tc>
          <w:tcPr>
            <w:tcW w:w="1012" w:type="pct"/>
            <w:tcBorders>
              <w:tl2br w:val="nil"/>
              <w:tr2bl w:val="nil"/>
            </w:tcBorders>
            <w:noWrap w:val="0"/>
            <w:vAlign w:val="center"/>
          </w:tcPr>
          <w:p>
            <w:pPr>
              <w:pStyle w:val="79"/>
              <w:rPr>
                <w:rFonts w:hint="default" w:ascii="Times New Roman" w:hAnsi="Times New Roman" w:cs="Times New Roman"/>
                <w:b/>
                <w:bCs/>
                <w:u w:val="single"/>
              </w:rPr>
            </w:pPr>
            <w:r>
              <w:rPr>
                <w:rFonts w:hint="default" w:ascii="Times New Roman" w:hAnsi="Times New Roman" w:cs="Times New Roman"/>
                <w:b/>
                <w:bCs/>
                <w:u w:val="single"/>
              </w:rPr>
              <w:t>验收内容</w:t>
            </w:r>
          </w:p>
        </w:tc>
        <w:tc>
          <w:tcPr>
            <w:tcW w:w="1654" w:type="pct"/>
            <w:tcBorders>
              <w:tl2br w:val="nil"/>
              <w:tr2bl w:val="nil"/>
            </w:tcBorders>
            <w:noWrap w:val="0"/>
            <w:vAlign w:val="center"/>
          </w:tcPr>
          <w:p>
            <w:pPr>
              <w:pStyle w:val="79"/>
              <w:rPr>
                <w:rFonts w:hint="default" w:ascii="Times New Roman" w:hAnsi="Times New Roman" w:cs="Times New Roman"/>
                <w:b/>
                <w:bCs/>
                <w:u w:val="single"/>
              </w:rPr>
            </w:pPr>
            <w:r>
              <w:rPr>
                <w:rFonts w:hint="default" w:ascii="Times New Roman" w:hAnsi="Times New Roman" w:cs="Times New Roman"/>
                <w:b/>
                <w:bCs/>
                <w:u w:val="single"/>
              </w:rPr>
              <w:t>监测项目</w:t>
            </w:r>
          </w:p>
        </w:tc>
        <w:tc>
          <w:tcPr>
            <w:tcW w:w="1444" w:type="pct"/>
            <w:tcBorders>
              <w:tl2br w:val="nil"/>
              <w:tr2bl w:val="nil"/>
            </w:tcBorders>
            <w:noWrap w:val="0"/>
            <w:vAlign w:val="center"/>
          </w:tcPr>
          <w:p>
            <w:pPr>
              <w:pStyle w:val="79"/>
              <w:rPr>
                <w:rFonts w:hint="default" w:ascii="Times New Roman" w:hAnsi="Times New Roman" w:cs="Times New Roman"/>
                <w:b/>
                <w:bCs/>
                <w:u w:val="single"/>
              </w:rPr>
            </w:pPr>
            <w:r>
              <w:rPr>
                <w:rFonts w:hint="default" w:ascii="Times New Roman" w:hAnsi="Times New Roman" w:cs="Times New Roman"/>
                <w:b/>
                <w:bCs/>
                <w:u w:val="single"/>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1" w:hRule="atLeast"/>
          <w:jc w:val="center"/>
        </w:trPr>
        <w:tc>
          <w:tcPr>
            <w:tcW w:w="392"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1</w:t>
            </w:r>
          </w:p>
        </w:tc>
        <w:tc>
          <w:tcPr>
            <w:tcW w:w="496"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污水</w:t>
            </w:r>
          </w:p>
        </w:tc>
        <w:tc>
          <w:tcPr>
            <w:tcW w:w="1012"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规范排污口：进水口和排放口在线监控系统</w:t>
            </w:r>
          </w:p>
        </w:tc>
        <w:tc>
          <w:tcPr>
            <w:tcW w:w="1654" w:type="pct"/>
            <w:tcBorders>
              <w:tl2br w:val="nil"/>
              <w:tr2bl w:val="nil"/>
            </w:tcBorders>
            <w:noWrap w:val="0"/>
            <w:vAlign w:val="center"/>
          </w:tcPr>
          <w:p>
            <w:pPr>
              <w:pStyle w:val="79"/>
              <w:rPr>
                <w:rFonts w:hint="default" w:ascii="Times New Roman" w:hAnsi="Times New Roman" w:cs="Times New Roman"/>
                <w:u w:val="single"/>
              </w:rPr>
            </w:pPr>
            <w:r>
              <w:rPr>
                <w:rFonts w:hint="eastAsia" w:ascii="Times New Roman" w:hAnsi="Times New Roman" w:cs="Times New Roman"/>
                <w:u w:val="single"/>
                <w:lang w:eastAsia="zh-CN"/>
              </w:rPr>
              <w:t>水量、</w:t>
            </w:r>
            <w:r>
              <w:rPr>
                <w:rFonts w:hint="default" w:ascii="Times New Roman" w:hAnsi="Times New Roman" w:cs="Times New Roman"/>
                <w:u w:val="single"/>
                <w:lang w:eastAsia="zh-CN"/>
              </w:rPr>
              <w:t>锰、钒、铬、铅、锌</w:t>
            </w:r>
          </w:p>
        </w:tc>
        <w:tc>
          <w:tcPr>
            <w:tcW w:w="1444"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总钒指标执行《钒工业污染物排放标准》（GB26452-2001）</w:t>
            </w:r>
            <w:r>
              <w:rPr>
                <w:rFonts w:hint="eastAsia" w:ascii="Times New Roman" w:hAnsi="Times New Roman" w:cs="Times New Roman"/>
                <w:u w:val="single"/>
                <w:lang w:eastAsia="zh-CN"/>
              </w:rPr>
              <w:t>表</w:t>
            </w:r>
            <w:r>
              <w:rPr>
                <w:rFonts w:hint="eastAsia" w:ascii="Times New Roman" w:hAnsi="Times New Roman" w:cs="Times New Roman"/>
                <w:u w:val="single"/>
                <w:lang w:val="en-US" w:eastAsia="zh-CN"/>
              </w:rPr>
              <w:t>2 标准限值</w:t>
            </w:r>
            <w:r>
              <w:rPr>
                <w:rFonts w:hint="default" w:ascii="Times New Roman" w:hAnsi="Times New Roman" w:cs="Times New Roman"/>
                <w:u w:val="single"/>
              </w:rPr>
              <w:t>，其他污染物指标达到《城镇污水处理厂污染物排放标准》（GB18918-2002）表2、表3中标准限值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Merge w:val="restart"/>
            <w:tcBorders>
              <w:tl2br w:val="nil"/>
              <w:tr2bl w:val="nil"/>
            </w:tcBorders>
            <w:noWrap w:val="0"/>
            <w:vAlign w:val="center"/>
          </w:tcPr>
          <w:p>
            <w:pPr>
              <w:pStyle w:val="79"/>
              <w:rPr>
                <w:rFonts w:hint="default" w:ascii="Times New Roman" w:hAnsi="Times New Roman" w:eastAsia="宋体" w:cs="Times New Roman"/>
                <w:u w:val="single"/>
                <w:lang w:eastAsia="zh-CN"/>
              </w:rPr>
            </w:pPr>
            <w:r>
              <w:rPr>
                <w:rFonts w:hint="default" w:ascii="Times New Roman" w:hAnsi="Times New Roman" w:cs="Times New Roman"/>
                <w:u w:val="single"/>
                <w:lang w:val="en-US" w:eastAsia="zh-CN"/>
              </w:rPr>
              <w:t>2</w:t>
            </w:r>
          </w:p>
        </w:tc>
        <w:tc>
          <w:tcPr>
            <w:tcW w:w="496" w:type="pct"/>
            <w:vMerge w:val="restar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固废</w:t>
            </w:r>
          </w:p>
        </w:tc>
        <w:tc>
          <w:tcPr>
            <w:tcW w:w="1012"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生活垃圾房</w:t>
            </w:r>
          </w:p>
        </w:tc>
        <w:tc>
          <w:tcPr>
            <w:tcW w:w="1654"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集中收集生活垃圾，定期送吉首市垃圾焚烧发电厂处置</w:t>
            </w:r>
          </w:p>
        </w:tc>
        <w:tc>
          <w:tcPr>
            <w:tcW w:w="1444"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《生活垃圾填埋污染物控制指标》（GB16889-2008）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Merge w:val="continue"/>
            <w:tcBorders>
              <w:tl2br w:val="nil"/>
              <w:tr2bl w:val="nil"/>
            </w:tcBorders>
            <w:noWrap w:val="0"/>
            <w:vAlign w:val="center"/>
          </w:tcPr>
          <w:p>
            <w:pPr>
              <w:pStyle w:val="79"/>
              <w:rPr>
                <w:rFonts w:hint="default" w:ascii="Times New Roman" w:hAnsi="Times New Roman" w:cs="Times New Roman"/>
                <w:u w:val="single"/>
              </w:rPr>
            </w:pPr>
          </w:p>
        </w:tc>
        <w:tc>
          <w:tcPr>
            <w:tcW w:w="496" w:type="pct"/>
            <w:vMerge w:val="continue"/>
            <w:tcBorders>
              <w:tl2br w:val="nil"/>
              <w:tr2bl w:val="nil"/>
            </w:tcBorders>
            <w:noWrap w:val="0"/>
            <w:vAlign w:val="center"/>
          </w:tcPr>
          <w:p>
            <w:pPr>
              <w:pStyle w:val="79"/>
              <w:rPr>
                <w:rFonts w:hint="default" w:ascii="Times New Roman" w:hAnsi="Times New Roman" w:cs="Times New Roman"/>
                <w:u w:val="single"/>
              </w:rPr>
            </w:pPr>
          </w:p>
        </w:tc>
        <w:tc>
          <w:tcPr>
            <w:tcW w:w="1012"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格栅渣、沉砂池沉砂</w:t>
            </w:r>
          </w:p>
        </w:tc>
        <w:tc>
          <w:tcPr>
            <w:tcW w:w="1654" w:type="pct"/>
            <w:tcBorders>
              <w:tl2br w:val="nil"/>
              <w:tr2bl w:val="nil"/>
            </w:tcBorders>
            <w:noWrap w:val="0"/>
            <w:vAlign w:val="center"/>
          </w:tcPr>
          <w:p>
            <w:pPr>
              <w:pStyle w:val="79"/>
              <w:ind w:firstLine="0" w:firstLineChars="0"/>
              <w:rPr>
                <w:rFonts w:hint="default" w:ascii="Times New Roman" w:hAnsi="Times New Roman" w:cs="Times New Roman"/>
                <w:u w:val="single"/>
              </w:rPr>
            </w:pPr>
            <w:r>
              <w:rPr>
                <w:rFonts w:hint="default" w:ascii="Times New Roman" w:hAnsi="Times New Roman" w:cs="Times New Roman"/>
                <w:u w:val="single"/>
              </w:rPr>
              <w:t>按照《危险废物鉴别标准 浸出毒性鉴别》（GB5085.3-2007）进行浸出实验，如为危险废物，运营单位应按照危险废物要求进行管理，并委托具有相应资质单位进行安全处置；如鉴别属于一般固废，外运至吉首市垃圾焚烧发电厂。</w:t>
            </w:r>
          </w:p>
        </w:tc>
        <w:tc>
          <w:tcPr>
            <w:tcW w:w="1444" w:type="pct"/>
            <w:tcBorders>
              <w:tl2br w:val="nil"/>
              <w:tr2bl w:val="nil"/>
            </w:tcBorders>
            <w:noWrap w:val="0"/>
            <w:vAlign w:val="center"/>
          </w:tcPr>
          <w:p>
            <w:pPr>
              <w:pStyle w:val="79"/>
              <w:ind w:firstLine="0" w:firstLineChars="0"/>
              <w:rPr>
                <w:rFonts w:hint="default" w:ascii="Times New Roman" w:hAnsi="Times New Roman" w:cs="Times New Roman"/>
                <w:u w:val="single"/>
              </w:rPr>
            </w:pPr>
            <w:r>
              <w:rPr>
                <w:rFonts w:hint="default" w:ascii="Times New Roman" w:hAnsi="Times New Roman" w:cs="Times New Roman"/>
                <w:u w:val="single"/>
              </w:rPr>
              <w:t>《生活垃圾填埋污染物控制指标》（GB16889-2008）、《危险废物贮存污染控制标准》（GB18579-2001）及2013年修改单中相关要求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Merge w:val="continue"/>
            <w:tcBorders>
              <w:tl2br w:val="nil"/>
              <w:tr2bl w:val="nil"/>
            </w:tcBorders>
            <w:noWrap w:val="0"/>
            <w:vAlign w:val="center"/>
          </w:tcPr>
          <w:p>
            <w:pPr>
              <w:pStyle w:val="79"/>
              <w:rPr>
                <w:rFonts w:hint="default" w:ascii="Times New Roman" w:hAnsi="Times New Roman" w:cs="Times New Roman"/>
                <w:u w:val="single"/>
              </w:rPr>
            </w:pPr>
          </w:p>
        </w:tc>
        <w:tc>
          <w:tcPr>
            <w:tcW w:w="496" w:type="pct"/>
            <w:vMerge w:val="continue"/>
            <w:tcBorders>
              <w:tl2br w:val="nil"/>
              <w:tr2bl w:val="nil"/>
            </w:tcBorders>
            <w:noWrap w:val="0"/>
            <w:vAlign w:val="center"/>
          </w:tcPr>
          <w:p>
            <w:pPr>
              <w:pStyle w:val="79"/>
              <w:rPr>
                <w:rFonts w:hint="default" w:ascii="Times New Roman" w:hAnsi="Times New Roman" w:cs="Times New Roman"/>
                <w:u w:val="single"/>
              </w:rPr>
            </w:pPr>
          </w:p>
        </w:tc>
        <w:tc>
          <w:tcPr>
            <w:tcW w:w="1012"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污泥脱水机房、污泥运输车</w:t>
            </w:r>
          </w:p>
        </w:tc>
        <w:tc>
          <w:tcPr>
            <w:tcW w:w="1654"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危险废物，运营单位应按照危险废物要求进行管理，并委托具有相应资质单位进行安全处置</w:t>
            </w:r>
          </w:p>
        </w:tc>
        <w:tc>
          <w:tcPr>
            <w:tcW w:w="1444"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《危险废物贮存污染控制标准》（GB18579-2001）及2013年修改单中相关要求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Merge w:val="continue"/>
            <w:tcBorders>
              <w:tl2br w:val="nil"/>
              <w:tr2bl w:val="nil"/>
            </w:tcBorders>
            <w:noWrap w:val="0"/>
            <w:vAlign w:val="center"/>
          </w:tcPr>
          <w:p>
            <w:pPr>
              <w:pStyle w:val="79"/>
              <w:rPr>
                <w:rFonts w:hint="default" w:ascii="Times New Roman" w:hAnsi="Times New Roman" w:cs="Times New Roman"/>
                <w:u w:val="single"/>
              </w:rPr>
            </w:pPr>
          </w:p>
        </w:tc>
        <w:tc>
          <w:tcPr>
            <w:tcW w:w="496" w:type="pct"/>
            <w:vMerge w:val="continue"/>
            <w:tcBorders>
              <w:tl2br w:val="nil"/>
              <w:tr2bl w:val="nil"/>
            </w:tcBorders>
            <w:noWrap w:val="0"/>
            <w:vAlign w:val="center"/>
          </w:tcPr>
          <w:p>
            <w:pPr>
              <w:pStyle w:val="79"/>
              <w:rPr>
                <w:rFonts w:hint="default" w:ascii="Times New Roman" w:hAnsi="Times New Roman" w:cs="Times New Roman"/>
                <w:u w:val="single"/>
              </w:rPr>
            </w:pPr>
          </w:p>
        </w:tc>
        <w:tc>
          <w:tcPr>
            <w:tcW w:w="1012"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餐厨垃圾</w:t>
            </w:r>
          </w:p>
        </w:tc>
        <w:tc>
          <w:tcPr>
            <w:tcW w:w="1654"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委托有资质单位处理</w:t>
            </w:r>
          </w:p>
        </w:tc>
        <w:tc>
          <w:tcPr>
            <w:tcW w:w="1444"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4</w:t>
            </w:r>
          </w:p>
        </w:tc>
        <w:tc>
          <w:tcPr>
            <w:tcW w:w="496"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噪声</w:t>
            </w:r>
          </w:p>
        </w:tc>
        <w:tc>
          <w:tcPr>
            <w:tcW w:w="1012"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减震基座、厂房隔声、消音</w:t>
            </w:r>
          </w:p>
        </w:tc>
        <w:tc>
          <w:tcPr>
            <w:tcW w:w="1654"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厂界噪声</w:t>
            </w:r>
          </w:p>
        </w:tc>
        <w:tc>
          <w:tcPr>
            <w:tcW w:w="1444" w:type="pct"/>
            <w:tcBorders>
              <w:tl2br w:val="nil"/>
              <w:tr2bl w:val="nil"/>
            </w:tcBorders>
            <w:noWrap w:val="0"/>
            <w:vAlign w:val="center"/>
          </w:tcPr>
          <w:p>
            <w:pPr>
              <w:pStyle w:val="79"/>
              <w:rPr>
                <w:rFonts w:hint="default" w:ascii="Times New Roman" w:hAnsi="Times New Roman" w:cs="Times New Roman"/>
                <w:u w:val="single"/>
              </w:rPr>
            </w:pPr>
            <w:r>
              <w:rPr>
                <w:rFonts w:hint="default" w:ascii="Times New Roman" w:hAnsi="Times New Roman" w:cs="Times New Roman"/>
                <w:u w:val="single"/>
              </w:rPr>
              <w:t>《工业企业厂界噪声环境噪声排放标准》（GB12348-2002）表1中</w:t>
            </w:r>
            <w:r>
              <w:rPr>
                <w:rFonts w:hint="default" w:ascii="Times New Roman" w:hAnsi="Times New Roman" w:cs="Times New Roman"/>
                <w:u w:val="single"/>
                <w:lang w:val="en-US" w:eastAsia="zh-CN"/>
              </w:rPr>
              <w:t>3</w:t>
            </w:r>
            <w:r>
              <w:rPr>
                <w:rFonts w:hint="default" w:ascii="Times New Roman" w:hAnsi="Times New Roman" w:cs="Times New Roman"/>
                <w:u w:val="single"/>
              </w:rPr>
              <w:t>类标准</w:t>
            </w:r>
          </w:p>
        </w:tc>
      </w:tr>
    </w:tbl>
    <w:p>
      <w:pPr>
        <w:ind w:firstLine="480"/>
        <w:rPr>
          <w:rFonts w:hint="eastAsia" w:cs="宋体"/>
          <w:color w:val="000000"/>
          <w:kern w:val="0"/>
          <w:lang w:val="zh-CN" w:bidi="zh-CN"/>
        </w:rPr>
        <w:sectPr>
          <w:pgSz w:w="11910" w:h="16840"/>
          <w:pgMar w:top="1440" w:right="1800" w:bottom="1440" w:left="1800" w:header="905" w:footer="680" w:gutter="0"/>
          <w:pgBorders>
            <w:top w:val="none" w:sz="0" w:space="0"/>
            <w:left w:val="none" w:sz="0" w:space="0"/>
            <w:bottom w:val="none" w:sz="0" w:space="0"/>
            <w:right w:val="none" w:sz="0" w:space="0"/>
          </w:pgBorders>
          <w:pgNumType w:fmt="decimal"/>
          <w:cols w:space="720" w:num="1"/>
          <w:docGrid w:linePitch="326" w:charSpace="0"/>
        </w:sectPr>
      </w:pPr>
    </w:p>
    <w:p>
      <w:pPr>
        <w:pStyle w:val="7"/>
        <w:ind w:firstLine="643"/>
        <w:rPr>
          <w:rFonts w:hint="eastAsia"/>
          <w:color w:val="000000"/>
        </w:rPr>
      </w:pPr>
      <w:bookmarkStart w:id="308" w:name="_Toc2239"/>
      <w:bookmarkStart w:id="309" w:name="_Toc29308686"/>
      <w:r>
        <w:rPr>
          <w:rFonts w:hint="eastAsia"/>
          <w:color w:val="000000"/>
        </w:rPr>
        <w:t>第</w:t>
      </w:r>
      <w:r>
        <w:rPr>
          <w:color w:val="000000"/>
        </w:rPr>
        <w:t>8</w:t>
      </w:r>
      <w:r>
        <w:rPr>
          <w:rFonts w:hint="eastAsia"/>
          <w:color w:val="000000"/>
        </w:rPr>
        <w:t>章  环境影响评价结论</w:t>
      </w:r>
      <w:bookmarkEnd w:id="308"/>
      <w:bookmarkEnd w:id="309"/>
    </w:p>
    <w:p>
      <w:pPr>
        <w:pStyle w:val="86"/>
        <w:spacing w:before="163" w:after="163"/>
        <w:rPr>
          <w:color w:val="000000"/>
        </w:rPr>
      </w:pPr>
      <w:bookmarkStart w:id="310" w:name="_Toc5352"/>
      <w:bookmarkStart w:id="311" w:name="_Toc29308687"/>
      <w:r>
        <w:rPr>
          <w:color w:val="000000"/>
        </w:rPr>
        <w:t>8</w:t>
      </w:r>
      <w:r>
        <w:rPr>
          <w:rFonts w:hint="eastAsia"/>
          <w:color w:val="000000"/>
        </w:rPr>
        <w:t>.1 项目概况</w:t>
      </w:r>
      <w:bookmarkEnd w:id="310"/>
      <w:bookmarkEnd w:id="311"/>
    </w:p>
    <w:p>
      <w:pPr>
        <w:pStyle w:val="8"/>
        <w:spacing w:before="163"/>
        <w:rPr>
          <w:color w:val="000000"/>
        </w:rPr>
      </w:pPr>
      <w:r>
        <w:rPr>
          <w:color w:val="000000"/>
        </w:rPr>
        <w:t>8</w:t>
      </w:r>
      <w:r>
        <w:rPr>
          <w:rFonts w:hint="eastAsia"/>
          <w:color w:val="000000"/>
        </w:rPr>
        <w:t>.1.1  建设项目概况</w:t>
      </w:r>
    </w:p>
    <w:p>
      <w:pPr>
        <w:pStyle w:val="6"/>
        <w:rPr>
          <w:color w:val="000000"/>
          <w:kern w:val="0"/>
        </w:rPr>
      </w:pPr>
      <w:r>
        <w:rPr>
          <w:rFonts w:hint="eastAsia"/>
          <w:color w:val="000000"/>
          <w:kern w:val="0"/>
        </w:rPr>
        <w:t>花垣县工业集中区重金属废水处理工程</w:t>
      </w:r>
      <w:r>
        <w:rPr>
          <w:rFonts w:hint="eastAsia"/>
          <w:color w:val="000000"/>
          <w:kern w:val="0"/>
          <w:lang w:eastAsia="zh-CN"/>
        </w:rPr>
        <w:t>位于</w:t>
      </w:r>
      <w:r>
        <w:rPr>
          <w:rFonts w:hint="eastAsia"/>
          <w:color w:val="000000"/>
          <w:kern w:val="0"/>
        </w:rPr>
        <w:t>湘西州花垣县花垣产业开发区</w:t>
      </w:r>
      <w:r>
        <w:rPr>
          <w:rFonts w:hint="eastAsia"/>
          <w:color w:val="000000"/>
          <w:kern w:val="0"/>
          <w:lang w:eastAsia="zh-CN"/>
        </w:rPr>
        <w:t>内，项目占地</w:t>
      </w:r>
      <w:r>
        <w:rPr>
          <w:rFonts w:hint="eastAsia"/>
          <w:color w:val="auto"/>
          <w:kern w:val="0"/>
          <w:lang w:val="en-US" w:eastAsia="zh-CN"/>
        </w:rPr>
        <w:t>7473m</w:t>
      </w:r>
      <w:r>
        <w:rPr>
          <w:rFonts w:hint="eastAsia"/>
          <w:color w:val="auto"/>
          <w:kern w:val="0"/>
          <w:vertAlign w:val="superscript"/>
          <w:lang w:val="en-US" w:eastAsia="zh-CN"/>
        </w:rPr>
        <w:t>2</w:t>
      </w:r>
      <w:r>
        <w:rPr>
          <w:rFonts w:hint="eastAsia"/>
          <w:color w:val="000000"/>
          <w:kern w:val="0"/>
          <w:lang w:eastAsia="zh-CN"/>
        </w:rPr>
        <w:t>，主要建设内容包括污水处理厂工程、共用工程、环保工程等，</w:t>
      </w:r>
      <w:r>
        <w:rPr>
          <w:rFonts w:hint="eastAsia"/>
          <w:color w:val="000000"/>
          <w:kern w:val="0"/>
        </w:rPr>
        <w:t>主要构筑物</w:t>
      </w:r>
      <w:r>
        <w:rPr>
          <w:rFonts w:hint="eastAsia"/>
          <w:color w:val="000000"/>
          <w:kern w:val="0"/>
          <w:lang w:eastAsia="zh-CN"/>
        </w:rPr>
        <w:t>包含</w:t>
      </w:r>
      <w:r>
        <w:rPr>
          <w:rFonts w:hint="eastAsia"/>
          <w:color w:val="000000"/>
          <w:kern w:val="0"/>
        </w:rPr>
        <w:t>：格栅、调节池、反应池1、反应池2、混凝反应池1、絮凝反应池1、絮凝沉淀池、中间水池、反应池3、反应池4、混凝反应池2、絮凝反应池2、二沉池、缓冲池、石英砂过滤器、清水池、污泥池、电控间、加药间、鼓风机房、污泥脱水房。项目采用“化学混凝沉淀分离+石英砂过滤”的处理工艺，项目设计处理规模为3000t/d，建设配套污水管网为2100m。</w:t>
      </w:r>
      <w:r>
        <w:rPr>
          <w:rFonts w:hint="eastAsia"/>
          <w:color w:val="000000"/>
          <w:kern w:val="0"/>
          <w:lang w:eastAsia="zh-CN"/>
        </w:rPr>
        <w:t>项目服务范围为花垣产业开发区卡地片区的重金属废水。</w:t>
      </w:r>
    </w:p>
    <w:p>
      <w:pPr>
        <w:pStyle w:val="86"/>
        <w:keepNext/>
        <w:keepLines/>
        <w:widowControl w:val="0"/>
        <w:spacing w:before="163" w:after="163"/>
        <w:rPr>
          <w:rFonts w:hint="eastAsia" w:eastAsia="宋体"/>
          <w:lang w:eastAsia="zh-CN"/>
        </w:rPr>
      </w:pPr>
      <w:bookmarkStart w:id="312" w:name="_Toc3154"/>
      <w:bookmarkStart w:id="313" w:name="_Toc29308688"/>
      <w:r>
        <w:t>8</w:t>
      </w:r>
      <w:r>
        <w:rPr>
          <w:rFonts w:hint="eastAsia"/>
        </w:rPr>
        <w:t xml:space="preserve">.2 </w:t>
      </w:r>
      <w:r>
        <w:rPr>
          <w:rFonts w:hint="eastAsia"/>
          <w:lang w:eastAsia="zh-CN"/>
        </w:rPr>
        <w:t>工程分析</w:t>
      </w:r>
      <w:bookmarkEnd w:id="312"/>
    </w:p>
    <w:p>
      <w:pPr>
        <w:pStyle w:val="8"/>
        <w:spacing w:before="163"/>
        <w:rPr>
          <w:rFonts w:hint="eastAsia"/>
          <w:color w:val="000000"/>
        </w:rPr>
      </w:pPr>
      <w:r>
        <w:rPr>
          <w:color w:val="000000"/>
        </w:rPr>
        <w:t>8</w:t>
      </w:r>
      <w:r>
        <w:rPr>
          <w:rFonts w:hint="eastAsia"/>
          <w:color w:val="000000"/>
        </w:rPr>
        <w:t>.</w:t>
      </w:r>
      <w:r>
        <w:rPr>
          <w:rFonts w:hint="eastAsia"/>
          <w:color w:val="000000"/>
          <w:lang w:val="en-US" w:eastAsia="zh-CN"/>
        </w:rPr>
        <w:t>2</w:t>
      </w:r>
      <w:r>
        <w:rPr>
          <w:rFonts w:hint="eastAsia"/>
          <w:color w:val="000000"/>
        </w:rPr>
        <w:t>.</w:t>
      </w:r>
      <w:r>
        <w:rPr>
          <w:rFonts w:hint="eastAsia"/>
          <w:color w:val="000000"/>
          <w:lang w:val="en-US" w:eastAsia="zh-CN"/>
        </w:rPr>
        <w:t>1</w:t>
      </w:r>
      <w:r>
        <w:rPr>
          <w:rFonts w:hint="eastAsia"/>
          <w:color w:val="000000"/>
        </w:rPr>
        <w:t xml:space="preserve">  与产业政策符合性分析</w:t>
      </w:r>
    </w:p>
    <w:p>
      <w:pPr>
        <w:ind w:firstLine="480"/>
        <w:rPr>
          <w:color w:val="000000"/>
          <w:kern w:val="0"/>
        </w:rPr>
      </w:pPr>
      <w:r>
        <w:rPr>
          <w:rFonts w:hint="eastAsia"/>
          <w:color w:val="000000"/>
          <w:kern w:val="0"/>
        </w:rPr>
        <w:t>根据国家发改委公布的《产业结构调整指导目录（2011年本）》（2013修订），“三废”综合利用与治理工程属鼓励类建设项目（四十三、环境保护与资源节约综合利用），本工程属于污水治理工程，本工程属鼓励类建设工程，符合国家产业政策</w:t>
      </w:r>
      <w:r>
        <w:rPr>
          <w:color w:val="000000"/>
          <w:kern w:val="0"/>
        </w:rPr>
        <w:t>。</w:t>
      </w:r>
    </w:p>
    <w:p>
      <w:pPr>
        <w:pStyle w:val="8"/>
        <w:spacing w:before="163"/>
        <w:rPr>
          <w:rFonts w:hint="default"/>
          <w:color w:val="000000"/>
          <w:lang w:val="en-US" w:eastAsia="zh-CN"/>
        </w:rPr>
      </w:pPr>
      <w:r>
        <w:rPr>
          <w:rFonts w:hint="eastAsia"/>
          <w:color w:val="000000"/>
          <w:lang w:val="en-US" w:eastAsia="zh-CN"/>
        </w:rPr>
        <w:t>8.2.2 三线一单符合性分析</w:t>
      </w:r>
    </w:p>
    <w:p>
      <w:pPr>
        <w:ind w:firstLine="480"/>
        <w:rPr>
          <w:rFonts w:hint="eastAsia" w:ascii="Times New Roman" w:hAnsi="Times New Roman" w:eastAsia="宋体" w:cs="Times New Roman"/>
          <w:b w:val="0"/>
          <w:color w:val="000000"/>
          <w:kern w:val="0"/>
          <w:sz w:val="24"/>
          <w:szCs w:val="24"/>
          <w:lang w:val="en-US" w:eastAsia="zh-CN" w:bidi="ar-SA"/>
        </w:rPr>
      </w:pPr>
      <w:r>
        <w:rPr>
          <w:rFonts w:hint="eastAsia" w:ascii="Times New Roman" w:hAnsi="Times New Roman" w:eastAsia="宋体" w:cs="Times New Roman"/>
          <w:b w:val="0"/>
          <w:color w:val="000000"/>
          <w:kern w:val="0"/>
          <w:sz w:val="24"/>
          <w:szCs w:val="24"/>
          <w:lang w:val="en-US" w:eastAsia="zh-CN" w:bidi="ar-SA"/>
        </w:rPr>
        <w:t>项目位于花垣县花垣产业开发区</w:t>
      </w:r>
      <w:r>
        <w:rPr>
          <w:rFonts w:hint="eastAsia" w:cs="Times New Roman"/>
          <w:b w:val="0"/>
          <w:color w:val="000000"/>
          <w:kern w:val="0"/>
          <w:sz w:val="24"/>
          <w:szCs w:val="24"/>
          <w:lang w:val="en-US" w:eastAsia="zh-CN" w:bidi="ar-SA"/>
        </w:rPr>
        <w:t>，不在花垣县生态红线范围内；项目产生的固体废物全部妥善处理，不直接排入外环境；项目三废排放较小，不会明显降低区域环境质量现状；本项目建设不会对当地环境质量底线造成冲击；项目的水、电等资源不会突破区域的资源利用上线；项目</w:t>
      </w:r>
      <w:r>
        <w:rPr>
          <w:rFonts w:hint="eastAsia"/>
          <w:color w:val="000000"/>
          <w:sz w:val="24"/>
          <w:szCs w:val="24"/>
          <w:lang w:eastAsia="zh-CN"/>
        </w:rPr>
        <w:t>不属于《市场准入负面清单》（2022年版）中禁止类、限制类以及</w:t>
      </w:r>
      <w:r>
        <w:rPr>
          <w:rFonts w:hint="eastAsia"/>
          <w:color w:val="000000"/>
          <w:sz w:val="24"/>
          <w:szCs w:val="24"/>
        </w:rPr>
        <w:t>《湖南省国家重点生态功能区产业准入负面清单》（湘发改规划〔2018〕373号）</w:t>
      </w:r>
      <w:r>
        <w:rPr>
          <w:rFonts w:hint="eastAsia"/>
          <w:color w:val="000000"/>
          <w:sz w:val="24"/>
          <w:szCs w:val="24"/>
          <w:lang w:eastAsia="zh-CN"/>
        </w:rPr>
        <w:t>中的</w:t>
      </w:r>
      <w:r>
        <w:rPr>
          <w:rFonts w:hint="eastAsia"/>
          <w:color w:val="000000"/>
          <w:sz w:val="24"/>
          <w:szCs w:val="24"/>
        </w:rPr>
        <w:t>产业准入负面清单项目</w:t>
      </w:r>
      <w:r>
        <w:rPr>
          <w:rFonts w:hint="eastAsia"/>
          <w:color w:val="000000"/>
          <w:sz w:val="24"/>
          <w:szCs w:val="24"/>
          <w:lang w:eastAsia="zh-CN"/>
        </w:rPr>
        <w:t>，项目符合与“《湖南省人民政府关于实施“三线一单”生态环境分区管控的意见》（湘政发〔2020〕12 号）、《湖南省“三线一单”生态环境总体管控要求暨省级以上产业园区生态环境准入清单》有关要求</w:t>
      </w:r>
      <w:r>
        <w:rPr>
          <w:rFonts w:hint="eastAsia" w:ascii="Times New Roman" w:hAnsi="Times New Roman" w:eastAsia="宋体" w:cs="Times New Roman"/>
          <w:b w:val="0"/>
          <w:color w:val="000000"/>
          <w:kern w:val="0"/>
          <w:sz w:val="24"/>
          <w:szCs w:val="24"/>
          <w:lang w:val="en-US" w:eastAsia="zh-CN" w:bidi="ar-SA"/>
        </w:rPr>
        <w:t>。</w:t>
      </w:r>
    </w:p>
    <w:p>
      <w:pPr>
        <w:pStyle w:val="8"/>
        <w:spacing w:before="163"/>
        <w:rPr>
          <w:rFonts w:hint="default"/>
          <w:color w:val="000000"/>
          <w:lang w:val="en-US" w:eastAsia="zh-CN"/>
        </w:rPr>
      </w:pPr>
      <w:r>
        <w:rPr>
          <w:rFonts w:hint="eastAsia"/>
          <w:color w:val="000000"/>
          <w:lang w:val="en-US" w:eastAsia="zh-CN"/>
        </w:rPr>
        <w:t>8.2.3  规划符合性分析</w:t>
      </w:r>
    </w:p>
    <w:p>
      <w:pPr>
        <w:rPr>
          <w:rFonts w:hint="eastAsia" w:cs="Times New Roman"/>
          <w:b w:val="0"/>
          <w:color w:val="000000"/>
          <w:kern w:val="0"/>
          <w:sz w:val="24"/>
          <w:szCs w:val="24"/>
          <w:lang w:val="en-US" w:eastAsia="zh-CN" w:bidi="ar-SA"/>
        </w:rPr>
      </w:pPr>
      <w:r>
        <w:rPr>
          <w:rFonts w:hint="eastAsia" w:cs="Times New Roman"/>
          <w:b w:val="0"/>
          <w:color w:val="000000"/>
          <w:kern w:val="0"/>
          <w:sz w:val="24"/>
          <w:szCs w:val="24"/>
          <w:lang w:val="en-US" w:eastAsia="zh-CN" w:bidi="ar-SA"/>
        </w:rPr>
        <w:t>本项目主要用于接收处理花垣产业开发区入驻企业在应急情况下重金属废水，本项目的建设降低了花垣产业开发区重金属减排及环境风险，推进了污泥无害化处理和资源化利用，实现花垣产业开发区涉重企业事故状态下重金属废水的稳定达标排放，符合《中华人民共和国国民经济和社会发展第十四个五年规划和2035年远景目标纲要》、《湘西州国民经济与社会发展第十四个五年规划和二〇三五年远景目标纲要》；本项目的实施是整个锰三角区域环境治理工程的组成部分，能够进一步减少进入花垣河的污染源。项目的建设与《湖南省重金属污染综合防治“十四五”规划》相符合。</w:t>
      </w:r>
    </w:p>
    <w:p>
      <w:pPr>
        <w:pStyle w:val="8"/>
        <w:spacing w:before="163"/>
        <w:rPr>
          <w:rFonts w:hint="default"/>
          <w:color w:val="000000"/>
          <w:lang w:val="en-US" w:eastAsia="zh-CN"/>
        </w:rPr>
      </w:pPr>
      <w:r>
        <w:rPr>
          <w:rFonts w:hint="eastAsia"/>
          <w:color w:val="000000"/>
          <w:lang w:val="en-US" w:eastAsia="zh-CN"/>
        </w:rPr>
        <w:t>8.2.4  与《花垣县工业园区发展规划》（2008-2025）符合性分析</w:t>
      </w:r>
    </w:p>
    <w:p>
      <w:pPr>
        <w:ind w:firstLine="480"/>
        <w:rPr>
          <w:rFonts w:hint="default" w:ascii="Times New Roman" w:hAnsi="Times New Roman" w:eastAsia="宋体" w:cs="Times New Roman"/>
          <w:b w:val="0"/>
          <w:color w:val="000000"/>
          <w:kern w:val="0"/>
          <w:sz w:val="24"/>
          <w:szCs w:val="24"/>
          <w:lang w:val="en-US" w:eastAsia="zh-CN" w:bidi="ar-SA"/>
        </w:rPr>
      </w:pPr>
      <w:r>
        <w:rPr>
          <w:rFonts w:hint="default" w:ascii="Times New Roman" w:hAnsi="Times New Roman" w:eastAsia="宋体" w:cs="Times New Roman"/>
          <w:b w:val="0"/>
          <w:color w:val="000000"/>
          <w:kern w:val="0"/>
          <w:sz w:val="24"/>
          <w:szCs w:val="24"/>
          <w:lang w:val="en-US" w:eastAsia="zh-CN" w:bidi="ar-SA"/>
        </w:rPr>
        <w:t>本项目位于新材料生产基地，根据园区产业定位，新材料基地涉及到重金属企业，有重金属废水产生，本项目主要针对园区涉重企业应急情况下重金属废水的处理，属于园区的配套基础设施项目，符合园区的产业定位</w:t>
      </w:r>
      <w:r>
        <w:rPr>
          <w:rFonts w:hint="eastAsia" w:ascii="Times New Roman" w:hAnsi="Times New Roman" w:eastAsia="宋体" w:cs="Times New Roman"/>
          <w:b w:val="0"/>
          <w:color w:val="000000"/>
          <w:kern w:val="0"/>
          <w:sz w:val="24"/>
          <w:szCs w:val="24"/>
          <w:lang w:val="en-US" w:eastAsia="zh-CN" w:bidi="ar-SA"/>
        </w:rPr>
        <w:t>；项目符合园区的准入制度，选址符合园区总体规划、用地规划、功能布局以及环保规划，项目不属于淘汰和禁止发展项目，本项目与花垣工业集中区环评批复要求相符合；本项目污水处理站占地于2017年取得了花垣县城乡规划局的建设用地规划许可证，根据项目用地规划许可证可知，项目用地位于花垣产业开发区，属于二类工业用地。因此本项目符合土地利用规划。</w:t>
      </w:r>
    </w:p>
    <w:p>
      <w:pPr>
        <w:pStyle w:val="8"/>
        <w:spacing w:before="163"/>
        <w:rPr>
          <w:rFonts w:hint="default"/>
          <w:color w:val="000000"/>
          <w:lang w:val="en-US" w:eastAsia="zh-CN"/>
        </w:rPr>
      </w:pPr>
      <w:r>
        <w:rPr>
          <w:rFonts w:hint="eastAsia"/>
          <w:color w:val="000000"/>
          <w:lang w:val="en-US" w:eastAsia="zh-CN"/>
        </w:rPr>
        <w:t>8.2.6  相关环境保护符合性分析</w:t>
      </w:r>
    </w:p>
    <w:p>
      <w:pPr>
        <w:ind w:firstLine="480"/>
        <w:rPr>
          <w:rFonts w:hint="default" w:ascii="Times New Roman" w:hAnsi="Times New Roman" w:eastAsia="宋体" w:cs="Times New Roman"/>
          <w:b w:val="0"/>
          <w:color w:val="000000"/>
          <w:kern w:val="0"/>
          <w:sz w:val="24"/>
          <w:szCs w:val="24"/>
          <w:lang w:val="en-US" w:eastAsia="zh-CN" w:bidi="ar-SA"/>
        </w:rPr>
      </w:pPr>
      <w:r>
        <w:rPr>
          <w:rFonts w:hint="default" w:ascii="Times New Roman" w:hAnsi="Times New Roman" w:eastAsia="宋体" w:cs="Times New Roman"/>
          <w:b w:val="0"/>
          <w:color w:val="000000"/>
          <w:kern w:val="0"/>
          <w:sz w:val="24"/>
          <w:szCs w:val="24"/>
          <w:lang w:val="en-US" w:eastAsia="zh-CN" w:bidi="ar-SA"/>
        </w:rPr>
        <w:t>项目严格实施排污许可制度，项目在进出口均设置了在线监控系统，保证废水的达标排放</w:t>
      </w:r>
      <w:r>
        <w:rPr>
          <w:rFonts w:hint="eastAsia" w:ascii="Times New Roman" w:hAnsi="Times New Roman" w:eastAsia="宋体" w:cs="Times New Roman"/>
          <w:b w:val="0"/>
          <w:color w:val="000000"/>
          <w:kern w:val="0"/>
          <w:sz w:val="24"/>
          <w:szCs w:val="24"/>
          <w:lang w:val="en-US" w:eastAsia="zh-CN" w:bidi="ar-SA"/>
        </w:rPr>
        <w:t>，项目各类处理设施均进行了防渗措施，项目的建设推进了工业园区污水处理设施分类管理，废水分类收集处置，项目建设与《湖南省“十四五”生态环境保护规划》要求相符合。</w:t>
      </w:r>
    </w:p>
    <w:p>
      <w:pPr>
        <w:ind w:firstLine="480"/>
        <w:rPr>
          <w:rFonts w:hint="default" w:ascii="Times New Roman" w:hAnsi="Times New Roman" w:eastAsia="宋体" w:cs="Times New Roman"/>
          <w:b w:val="0"/>
          <w:color w:val="000000"/>
          <w:kern w:val="0"/>
          <w:sz w:val="24"/>
          <w:szCs w:val="24"/>
          <w:lang w:val="en-US" w:eastAsia="zh-CN" w:bidi="ar-SA"/>
        </w:rPr>
      </w:pPr>
      <w:r>
        <w:rPr>
          <w:rFonts w:hint="default" w:ascii="Times New Roman" w:hAnsi="Times New Roman" w:eastAsia="宋体" w:cs="Times New Roman"/>
          <w:b w:val="0"/>
          <w:color w:val="000000"/>
          <w:kern w:val="0"/>
          <w:sz w:val="24"/>
          <w:szCs w:val="24"/>
          <w:lang w:val="en-US" w:eastAsia="zh-CN" w:bidi="ar-SA"/>
        </w:rPr>
        <w:t>本项目属于园区重金属废水集中式处理工程，项目安装进、出水自动在线监控系统，并与生态环境部门污染源在线监控管理平台联网，本项目废水经处理后达标接入花垣工业集中区污水处理厂进一步处理，本项目不新建排污口，依托花垣工业集中区污水处理厂排污口，满足原则上一个园区只设置一个排污口的要求。本项目含一类污染物（铬、铅）的废水经处理在车间排口达到《污水综合排放标准》( GB8978-1996)表1最高允许排放浓度要求后方可接管，本项目废水经处理后出水水质总钒指标执行《钒工业污染物排放标准》（GB26452-2001）表2标准限值，其他污染物指标可以达到《城镇污水处理厂污染物排放标准》（GB18918-2002）表2、表3中标准限值要求，因此，本项目建设与《关于进一步规范城镇（园区）污水处理环境管理的通知》(环水体【2020】71号)的要求</w:t>
      </w:r>
      <w:r>
        <w:rPr>
          <w:rFonts w:hint="eastAsia" w:ascii="Times New Roman" w:hAnsi="Times New Roman" w:eastAsia="宋体" w:cs="Times New Roman"/>
          <w:b w:val="0"/>
          <w:color w:val="000000"/>
          <w:kern w:val="0"/>
          <w:sz w:val="24"/>
          <w:szCs w:val="24"/>
          <w:lang w:val="en-US" w:eastAsia="zh-CN" w:bidi="ar-SA"/>
        </w:rPr>
        <w:t>、《关于进一步规范和加强产业园区生态环境管理的通知》(湘发改【2020】27号)</w:t>
      </w:r>
      <w:r>
        <w:rPr>
          <w:rFonts w:hint="default" w:ascii="Times New Roman" w:hAnsi="Times New Roman" w:eastAsia="宋体" w:cs="Times New Roman"/>
          <w:b w:val="0"/>
          <w:color w:val="000000"/>
          <w:kern w:val="0"/>
          <w:sz w:val="24"/>
          <w:szCs w:val="24"/>
          <w:lang w:val="en-US" w:eastAsia="zh-CN" w:bidi="ar-SA"/>
        </w:rPr>
        <w:t>相符合</w:t>
      </w:r>
    </w:p>
    <w:p>
      <w:pPr>
        <w:pStyle w:val="8"/>
        <w:spacing w:before="163"/>
        <w:rPr>
          <w:rFonts w:hint="default"/>
          <w:color w:val="000000"/>
          <w:lang w:val="en-US" w:eastAsia="zh-CN"/>
        </w:rPr>
      </w:pPr>
      <w:r>
        <w:rPr>
          <w:rFonts w:hint="eastAsia"/>
          <w:color w:val="000000"/>
          <w:lang w:val="en-US" w:eastAsia="zh-CN"/>
        </w:rPr>
        <w:t xml:space="preserve">8.2.7 </w:t>
      </w:r>
      <w:r>
        <w:rPr>
          <w:rFonts w:hint="default"/>
          <w:color w:val="000000"/>
          <w:lang w:val="en-US" w:eastAsia="zh-CN"/>
        </w:rPr>
        <w:t>排污口设置的合理性分析</w:t>
      </w:r>
    </w:p>
    <w:p>
      <w:pPr>
        <w:ind w:firstLine="480"/>
        <w:rPr>
          <w:rFonts w:hint="default" w:ascii="Times New Roman" w:hAnsi="Times New Roman" w:eastAsia="宋体" w:cs="Times New Roman"/>
          <w:b w:val="0"/>
          <w:color w:val="000000"/>
          <w:kern w:val="0"/>
          <w:sz w:val="24"/>
          <w:szCs w:val="24"/>
          <w:lang w:val="en-US" w:eastAsia="zh-CN" w:bidi="ar-SA"/>
        </w:rPr>
      </w:pPr>
      <w:r>
        <w:rPr>
          <w:rFonts w:hint="default" w:ascii="Times New Roman" w:hAnsi="Times New Roman" w:eastAsia="宋体" w:cs="Times New Roman"/>
          <w:b w:val="0"/>
          <w:color w:val="000000"/>
          <w:kern w:val="0"/>
          <w:sz w:val="24"/>
          <w:szCs w:val="24"/>
          <w:lang w:val="en-US" w:eastAsia="zh-CN" w:bidi="ar-SA"/>
        </w:rPr>
        <w:t>本项目建设不新增排污口，本项目废水处理达标排入花垣县产业开发区污水处理厂进行进一步处理。根据花垣县产业开发区污水处理厂的环评报告以及其入河排污口论证报告可知，该项目的处理规模以及处理工艺已考虑到本项目的废水，且花垣产业开发区污水处理厂尾水可以达到《城市污水处理厂污染物排放标准》（GB18918-2002）一级标准的A标准排放至花垣河。花垣县产业开发区污水处理厂已编制了入河排污口论证报告，本次环评不再重新论证废水排入花垣产业开发区污水处理厂处理后达标排放的可行性分析以及排污口设置的合理性分析。</w:t>
      </w:r>
    </w:p>
    <w:p>
      <w:pPr>
        <w:pStyle w:val="86"/>
        <w:keepNext/>
        <w:keepLines/>
        <w:widowControl w:val="0"/>
        <w:spacing w:before="163" w:after="163"/>
      </w:pPr>
      <w:bookmarkStart w:id="314" w:name="_Toc5843"/>
      <w:r>
        <w:rPr>
          <w:rFonts w:hint="eastAsia"/>
          <w:lang w:val="en-US" w:eastAsia="zh-CN"/>
        </w:rPr>
        <w:t xml:space="preserve">8.3 </w:t>
      </w:r>
      <w:r>
        <w:rPr>
          <w:rFonts w:hint="eastAsia"/>
        </w:rPr>
        <w:t>环境质量现状</w:t>
      </w:r>
      <w:bookmarkEnd w:id="313"/>
      <w:bookmarkEnd w:id="314"/>
    </w:p>
    <w:p>
      <w:pPr>
        <w:ind w:firstLine="480"/>
        <w:rPr>
          <w:rFonts w:hint="eastAsia"/>
          <w:color w:val="000000"/>
          <w:kern w:val="0"/>
        </w:rPr>
      </w:pPr>
      <w:r>
        <w:rPr>
          <w:color w:val="000000"/>
          <w:kern w:val="0"/>
        </w:rPr>
        <w:t>（</w:t>
      </w:r>
      <w:r>
        <w:rPr>
          <w:rFonts w:eastAsia="Times New Roman"/>
          <w:color w:val="000000"/>
          <w:kern w:val="0"/>
        </w:rPr>
        <w:t>1</w:t>
      </w:r>
      <w:r>
        <w:rPr>
          <w:color w:val="000000"/>
          <w:kern w:val="0"/>
        </w:rPr>
        <w:t>）环境空气质量现状</w:t>
      </w:r>
    </w:p>
    <w:p>
      <w:pPr>
        <w:ind w:firstLine="480"/>
        <w:rPr>
          <w:color w:val="000000"/>
          <w:kern w:val="0"/>
        </w:rPr>
      </w:pPr>
      <w:r>
        <w:rPr>
          <w:rFonts w:hint="eastAsia"/>
          <w:color w:val="000000"/>
          <w:kern w:val="0"/>
        </w:rPr>
        <w:t>根据花垣县环境监测站发布的《环境质量简报》中关于花垣县环境空气质监测因子PM</w:t>
      </w:r>
      <w:r>
        <w:rPr>
          <w:rFonts w:hint="eastAsia"/>
          <w:color w:val="000000"/>
          <w:kern w:val="0"/>
          <w:vertAlign w:val="subscript"/>
        </w:rPr>
        <w:t>2.5</w:t>
      </w:r>
      <w:r>
        <w:rPr>
          <w:rFonts w:hint="eastAsia"/>
          <w:color w:val="000000"/>
          <w:kern w:val="0"/>
        </w:rPr>
        <w:t>、PM</w:t>
      </w:r>
      <w:r>
        <w:rPr>
          <w:rFonts w:hint="eastAsia"/>
          <w:color w:val="000000"/>
          <w:kern w:val="0"/>
          <w:vertAlign w:val="subscript"/>
        </w:rPr>
        <w:t>10</w:t>
      </w:r>
      <w:r>
        <w:rPr>
          <w:rFonts w:hint="eastAsia"/>
          <w:color w:val="000000"/>
          <w:kern w:val="0"/>
        </w:rPr>
        <w:t>、SO</w:t>
      </w:r>
      <w:r>
        <w:rPr>
          <w:rFonts w:hint="eastAsia"/>
          <w:color w:val="000000"/>
          <w:kern w:val="0"/>
          <w:vertAlign w:val="subscript"/>
        </w:rPr>
        <w:t>2</w:t>
      </w:r>
      <w:r>
        <w:rPr>
          <w:rFonts w:hint="eastAsia"/>
          <w:color w:val="000000"/>
          <w:kern w:val="0"/>
        </w:rPr>
        <w:t>、NO</w:t>
      </w:r>
      <w:r>
        <w:rPr>
          <w:rFonts w:hint="eastAsia"/>
          <w:color w:val="000000"/>
          <w:kern w:val="0"/>
          <w:vertAlign w:val="subscript"/>
        </w:rPr>
        <w:t>2</w:t>
      </w:r>
      <w:r>
        <w:rPr>
          <w:rFonts w:hint="eastAsia"/>
          <w:color w:val="000000"/>
          <w:kern w:val="0"/>
        </w:rPr>
        <w:t>、CO、O</w:t>
      </w:r>
      <w:r>
        <w:rPr>
          <w:rFonts w:hint="eastAsia"/>
          <w:color w:val="000000"/>
          <w:kern w:val="0"/>
          <w:vertAlign w:val="subscript"/>
        </w:rPr>
        <w:t>3</w:t>
      </w:r>
      <w:r>
        <w:rPr>
          <w:rFonts w:hint="eastAsia"/>
          <w:color w:val="000000"/>
          <w:kern w:val="0"/>
        </w:rPr>
        <w:t>的202</w:t>
      </w:r>
      <w:r>
        <w:rPr>
          <w:rFonts w:hint="eastAsia"/>
          <w:color w:val="000000"/>
          <w:kern w:val="0"/>
          <w:lang w:val="en-US" w:eastAsia="zh-CN"/>
        </w:rPr>
        <w:t>1</w:t>
      </w:r>
      <w:r>
        <w:rPr>
          <w:rFonts w:hint="eastAsia"/>
          <w:color w:val="000000"/>
          <w:kern w:val="0"/>
        </w:rPr>
        <w:t>年环境空气污染物浓度的数据可知，2021年度花垣县环境空气中SO</w:t>
      </w:r>
      <w:r>
        <w:rPr>
          <w:rFonts w:hint="eastAsia"/>
          <w:color w:val="000000"/>
          <w:kern w:val="0"/>
          <w:vertAlign w:val="subscript"/>
        </w:rPr>
        <w:t>2</w:t>
      </w:r>
      <w:r>
        <w:rPr>
          <w:rFonts w:hint="eastAsia"/>
          <w:color w:val="000000"/>
          <w:kern w:val="0"/>
        </w:rPr>
        <w:t>、NO</w:t>
      </w:r>
      <w:r>
        <w:rPr>
          <w:rFonts w:hint="eastAsia"/>
          <w:color w:val="000000"/>
          <w:kern w:val="0"/>
          <w:vertAlign w:val="subscript"/>
        </w:rPr>
        <w:t>2</w:t>
      </w:r>
      <w:r>
        <w:rPr>
          <w:rFonts w:hint="eastAsia"/>
          <w:color w:val="000000"/>
          <w:kern w:val="0"/>
        </w:rPr>
        <w:t>、CO、PM</w:t>
      </w:r>
      <w:r>
        <w:rPr>
          <w:rFonts w:hint="eastAsia"/>
          <w:color w:val="000000"/>
          <w:kern w:val="0"/>
          <w:vertAlign w:val="subscript"/>
        </w:rPr>
        <w:t>10</w:t>
      </w:r>
      <w:r>
        <w:rPr>
          <w:rFonts w:hint="eastAsia"/>
          <w:color w:val="000000"/>
          <w:kern w:val="0"/>
        </w:rPr>
        <w:t>、PM</w:t>
      </w:r>
      <w:r>
        <w:rPr>
          <w:rFonts w:hint="eastAsia"/>
          <w:color w:val="000000"/>
          <w:kern w:val="0"/>
          <w:vertAlign w:val="subscript"/>
        </w:rPr>
        <w:t>2.5</w:t>
      </w:r>
      <w:r>
        <w:rPr>
          <w:rFonts w:hint="eastAsia"/>
          <w:color w:val="000000"/>
          <w:kern w:val="0"/>
        </w:rPr>
        <w:t>、O</w:t>
      </w:r>
      <w:r>
        <w:rPr>
          <w:rFonts w:hint="eastAsia"/>
          <w:color w:val="000000"/>
          <w:kern w:val="0"/>
          <w:vertAlign w:val="subscript"/>
        </w:rPr>
        <w:t>3</w:t>
      </w:r>
      <w:r>
        <w:rPr>
          <w:rFonts w:hint="eastAsia"/>
          <w:color w:val="000000"/>
          <w:kern w:val="0"/>
        </w:rPr>
        <w:t>-8h浓度的相关平均值均能满足《环境空气质量标准》（GB3095-2012）的二级标准及2018年修改单。根据《环境影响评价技术导则 大气环境》（HJ 2.2-2018）对项目所在区域环境空气质量进行达标判断，六项污染物全部达标，故本项目所在区域为环境空气质量达标区</w:t>
      </w:r>
      <w:r>
        <w:rPr>
          <w:color w:val="000000"/>
          <w:kern w:val="0"/>
        </w:rPr>
        <w:t>。</w:t>
      </w:r>
    </w:p>
    <w:p>
      <w:pPr>
        <w:ind w:firstLine="480"/>
        <w:rPr>
          <w:rFonts w:hint="eastAsia"/>
          <w:color w:val="000000"/>
          <w:kern w:val="0"/>
        </w:rPr>
      </w:pPr>
      <w:r>
        <w:rPr>
          <w:color w:val="000000"/>
          <w:kern w:val="0"/>
        </w:rPr>
        <w:t>（2）地表水环境现状</w:t>
      </w:r>
    </w:p>
    <w:p>
      <w:pPr>
        <w:ind w:firstLine="480"/>
        <w:rPr>
          <w:color w:val="000000"/>
          <w:kern w:val="0"/>
        </w:rPr>
      </w:pPr>
      <w:r>
        <w:rPr>
          <w:rFonts w:hint="eastAsia"/>
          <w:color w:val="000000"/>
          <w:kern w:val="0"/>
        </w:rPr>
        <w:t>根据2021年湘西州环境主管部门发布的《湘西州地表水控制断面水质情况》中关于湘西州地表水环境质监测因子pH、溶解氧、高锰酸盐指数、化学需氧量、五日生化需氧量、氨氮、总磷、铜、锌、氟化物、硒、砷、汞、镉、六价铬、铅、氰化物、挥发酚、石油类、阴离子表面活性剂、硫化物的数据可知，2021年1-12月</w:t>
      </w:r>
      <w:r>
        <w:rPr>
          <w:rFonts w:hint="eastAsia"/>
          <w:color w:val="000000"/>
          <w:kern w:val="0"/>
          <w:lang w:eastAsia="zh-CN"/>
        </w:rPr>
        <w:t>花垣河</w:t>
      </w:r>
      <w:r>
        <w:rPr>
          <w:rFonts w:hint="eastAsia"/>
          <w:color w:val="000000"/>
          <w:kern w:val="0"/>
        </w:rPr>
        <w:t>川心城、边城镇、狮子桥坝下常规监测断面各项监测指标均能达到《地表水环境质量标准》（GB3838-2002）Ⅲ类标准要求。</w:t>
      </w:r>
    </w:p>
    <w:p>
      <w:pPr>
        <w:ind w:firstLine="480"/>
        <w:rPr>
          <w:rFonts w:hint="eastAsia"/>
          <w:color w:val="000000"/>
          <w:kern w:val="0"/>
        </w:rPr>
      </w:pPr>
      <w:r>
        <w:rPr>
          <w:color w:val="000000"/>
          <w:kern w:val="0"/>
        </w:rPr>
        <w:t>（3）地下水环境现状</w:t>
      </w:r>
    </w:p>
    <w:p>
      <w:pPr>
        <w:keepNext w:val="0"/>
        <w:keepLines w:val="0"/>
        <w:pageBreakBefore w:val="0"/>
        <w:widowControl/>
        <w:kinsoku/>
        <w:wordWrap w:val="0"/>
        <w:overflowPunct/>
        <w:topLinePunct w:val="0"/>
        <w:autoSpaceDE/>
        <w:autoSpaceDN/>
        <w:bidi w:val="0"/>
        <w:adjustRightInd/>
        <w:snapToGrid/>
        <w:ind w:firstLine="480"/>
        <w:textAlignment w:val="auto"/>
        <w:rPr>
          <w:color w:val="000000"/>
          <w:kern w:val="0"/>
        </w:rPr>
      </w:pPr>
      <w:r>
        <w:rPr>
          <w:color w:val="000000"/>
          <w:kern w:val="0"/>
        </w:rPr>
        <w:t>本项目周边地下水</w:t>
      </w:r>
      <w:r>
        <w:rPr>
          <w:rFonts w:hint="eastAsia"/>
          <w:color w:val="000000"/>
          <w:kern w:val="0"/>
          <w:lang w:eastAsia="zh-CN"/>
        </w:rPr>
        <w:t>、</w:t>
      </w:r>
      <w:r>
        <w:rPr>
          <w:rFonts w:hint="default"/>
          <w:color w:val="000000"/>
          <w:kern w:val="0"/>
          <w:lang w:val="en-US" w:eastAsia="zh-CN"/>
        </w:rPr>
        <w:t>龙洞村水井</w:t>
      </w:r>
      <w:r>
        <w:rPr>
          <w:rFonts w:hint="eastAsia"/>
          <w:color w:val="000000"/>
          <w:kern w:val="0"/>
          <w:lang w:val="en-US" w:eastAsia="zh-CN"/>
        </w:rPr>
        <w:t>、</w:t>
      </w:r>
      <w:r>
        <w:rPr>
          <w:rFonts w:hint="default"/>
          <w:color w:val="000000"/>
          <w:kern w:val="0"/>
          <w:lang w:val="en-US" w:eastAsia="zh-CN"/>
        </w:rPr>
        <w:t>卡地村水井</w:t>
      </w:r>
      <w:r>
        <w:rPr>
          <w:rFonts w:hint="eastAsia"/>
          <w:color w:val="000000"/>
          <w:kern w:val="0"/>
          <w:lang w:val="en-US" w:eastAsia="zh-CN"/>
        </w:rPr>
        <w:t>、</w:t>
      </w:r>
      <w:r>
        <w:rPr>
          <w:rFonts w:hint="default"/>
          <w:color w:val="000000"/>
          <w:kern w:val="0"/>
          <w:lang w:val="en-US" w:eastAsia="zh-CN"/>
        </w:rPr>
        <w:t>兴龙社区水井</w:t>
      </w:r>
      <w:r>
        <w:rPr>
          <w:rFonts w:hint="eastAsia"/>
          <w:color w:val="000000"/>
          <w:kern w:val="0"/>
          <w:lang w:val="en-US" w:eastAsia="zh-CN"/>
        </w:rPr>
        <w:t>、</w:t>
      </w:r>
      <w:r>
        <w:rPr>
          <w:rFonts w:hint="default"/>
          <w:color w:val="000000"/>
          <w:kern w:val="0"/>
          <w:lang w:val="en-US" w:eastAsia="zh-CN"/>
        </w:rPr>
        <w:t>兴龙社区水井</w:t>
      </w:r>
      <w:r>
        <w:rPr>
          <w:rFonts w:hint="eastAsia"/>
          <w:color w:val="000000"/>
          <w:kern w:val="0"/>
          <w:lang w:val="en-US" w:eastAsia="zh-CN"/>
        </w:rPr>
        <w:t>等10个地下水</w:t>
      </w:r>
      <w:r>
        <w:rPr>
          <w:color w:val="000000"/>
          <w:kern w:val="0"/>
        </w:rPr>
        <w:t>各监测点位各监测因子均符合《地下水质量标准》（GB/T14848-2017）</w:t>
      </w:r>
      <w:r>
        <w:rPr>
          <w:rFonts w:hint="eastAsia"/>
          <w:color w:val="000000"/>
          <w:kern w:val="0"/>
        </w:rPr>
        <w:t>Ⅲ</w:t>
      </w:r>
      <w:r>
        <w:rPr>
          <w:color w:val="000000"/>
          <w:kern w:val="0"/>
        </w:rPr>
        <w:t>类标准要求，地下水环境质量较好。</w:t>
      </w:r>
    </w:p>
    <w:p>
      <w:pPr>
        <w:ind w:firstLine="480"/>
        <w:rPr>
          <w:rFonts w:hint="eastAsia"/>
          <w:color w:val="000000"/>
          <w:kern w:val="0"/>
        </w:rPr>
      </w:pPr>
      <w:r>
        <w:rPr>
          <w:rFonts w:hint="eastAsia"/>
          <w:color w:val="000000"/>
          <w:kern w:val="0"/>
        </w:rPr>
        <w:t>（4）声环境现状</w:t>
      </w:r>
    </w:p>
    <w:p>
      <w:pPr>
        <w:ind w:firstLine="480"/>
        <w:rPr>
          <w:rFonts w:hint="eastAsia"/>
          <w:color w:val="000000"/>
          <w:kern w:val="0"/>
        </w:rPr>
      </w:pPr>
      <w:r>
        <w:rPr>
          <w:rFonts w:hint="eastAsia"/>
          <w:color w:val="000000"/>
          <w:kern w:val="0"/>
          <w:lang w:eastAsia="zh-CN"/>
        </w:rPr>
        <w:t>项目污水处理厂建设地</w:t>
      </w:r>
      <w:r>
        <w:rPr>
          <w:rFonts w:hint="eastAsia"/>
          <w:color w:val="000000"/>
          <w:kern w:val="0"/>
        </w:rPr>
        <w:t>东、西、南、北、提升泵建设处5个监测点昼夜噪声均满足《工业企业厂界噪声环境噪声排放标准》（GB12348-2002）表1中3类标准。</w:t>
      </w:r>
    </w:p>
    <w:p>
      <w:pPr>
        <w:ind w:firstLine="480"/>
        <w:rPr>
          <w:color w:val="000000"/>
          <w:kern w:val="0"/>
        </w:rPr>
      </w:pPr>
      <w:r>
        <w:rPr>
          <w:rFonts w:hint="eastAsia"/>
          <w:color w:val="000000"/>
          <w:kern w:val="0"/>
        </w:rPr>
        <w:t>（5）土壤环境现状</w:t>
      </w:r>
    </w:p>
    <w:p>
      <w:pPr>
        <w:ind w:firstLine="480"/>
        <w:rPr>
          <w:rFonts w:hint="eastAsia"/>
          <w:color w:val="000000"/>
          <w:kern w:val="0"/>
        </w:rPr>
      </w:pPr>
      <w:r>
        <w:rPr>
          <w:rFonts w:hint="eastAsia"/>
          <w:color w:val="000000"/>
          <w:kern w:val="0"/>
        </w:rPr>
        <w:t>项目</w:t>
      </w:r>
      <w:r>
        <w:rPr>
          <w:rFonts w:hint="eastAsia"/>
          <w:color w:val="000000"/>
          <w:kern w:val="0"/>
          <w:lang w:eastAsia="zh-CN"/>
        </w:rPr>
        <w:t>在场地范围内设置</w:t>
      </w:r>
      <w:r>
        <w:rPr>
          <w:rFonts w:hint="eastAsia"/>
          <w:color w:val="000000"/>
          <w:kern w:val="0"/>
          <w:lang w:val="en-US" w:eastAsia="zh-CN"/>
        </w:rPr>
        <w:t>3个土壤监测点，</w:t>
      </w:r>
      <w:r>
        <w:rPr>
          <w:rFonts w:hint="eastAsia"/>
          <w:color w:val="000000"/>
          <w:kern w:val="0"/>
        </w:rPr>
        <w:t>厂界土壤低于《土壤环境质量</w:t>
      </w:r>
      <w:r>
        <w:rPr>
          <w:color w:val="000000"/>
          <w:kern w:val="0"/>
        </w:rPr>
        <w:t xml:space="preserve"> </w:t>
      </w:r>
      <w:r>
        <w:rPr>
          <w:rFonts w:hint="eastAsia"/>
          <w:color w:val="000000"/>
          <w:kern w:val="0"/>
        </w:rPr>
        <w:t>建设用地土壤污染风险管控标准（试行）》（</w:t>
      </w:r>
      <w:r>
        <w:rPr>
          <w:color w:val="000000"/>
          <w:kern w:val="0"/>
        </w:rPr>
        <w:t>GB36600-2018</w:t>
      </w:r>
      <w:r>
        <w:rPr>
          <w:rFonts w:hint="eastAsia"/>
          <w:color w:val="000000"/>
          <w:kern w:val="0"/>
        </w:rPr>
        <w:t>）标准，区域土壤环境质量良好。</w:t>
      </w:r>
    </w:p>
    <w:p>
      <w:pPr>
        <w:pStyle w:val="86"/>
        <w:spacing w:before="163" w:after="163"/>
        <w:rPr>
          <w:color w:val="000000"/>
          <w:kern w:val="0"/>
        </w:rPr>
      </w:pPr>
      <w:bookmarkStart w:id="315" w:name="_Toc29308690"/>
      <w:bookmarkStart w:id="316" w:name="_Toc6089"/>
      <w:r>
        <w:rPr>
          <w:color w:val="000000"/>
          <w:kern w:val="0"/>
        </w:rPr>
        <w:t>8</w:t>
      </w:r>
      <w:r>
        <w:rPr>
          <w:rFonts w:hint="eastAsia"/>
          <w:color w:val="000000"/>
          <w:kern w:val="0"/>
        </w:rPr>
        <w:t>.4 主要环境影响</w:t>
      </w:r>
      <w:bookmarkEnd w:id="315"/>
      <w:bookmarkEnd w:id="316"/>
    </w:p>
    <w:p>
      <w:pPr>
        <w:pStyle w:val="8"/>
        <w:spacing w:before="163"/>
        <w:rPr>
          <w:rFonts w:hint="default"/>
          <w:color w:val="auto"/>
          <w:lang w:val="en-US" w:eastAsia="zh-CN"/>
        </w:rPr>
      </w:pPr>
      <w:r>
        <w:rPr>
          <w:rFonts w:hint="eastAsia"/>
          <w:color w:val="auto"/>
          <w:lang w:val="en-US" w:eastAsia="zh-CN"/>
        </w:rPr>
        <w:t>8.4.1 施工期</w:t>
      </w:r>
    </w:p>
    <w:p>
      <w:pPr>
        <w:pStyle w:val="8"/>
        <w:spacing w:before="163"/>
        <w:rPr>
          <w:rFonts w:hint="eastAsia" w:ascii="Times New Roman" w:hAnsi="Times New Roman" w:eastAsia="宋体" w:cs="Times New Roman"/>
          <w:b w:val="0"/>
          <w:bCs w:val="0"/>
          <w:color w:val="auto"/>
          <w:kern w:val="0"/>
          <w:sz w:val="24"/>
          <w:szCs w:val="24"/>
          <w:u w:val="none"/>
          <w:lang w:val="en-US" w:eastAsia="zh-CN" w:bidi="ar-SA"/>
        </w:rPr>
      </w:pPr>
      <w:r>
        <w:rPr>
          <w:rFonts w:hint="eastAsia" w:cs="Times New Roman"/>
          <w:b w:val="0"/>
          <w:bCs w:val="0"/>
          <w:color w:val="auto"/>
          <w:kern w:val="0"/>
          <w:sz w:val="24"/>
          <w:szCs w:val="24"/>
          <w:u w:val="none"/>
          <w:lang w:val="en-US" w:eastAsia="zh-CN" w:bidi="ar-SA"/>
        </w:rPr>
        <w:t>（1）</w:t>
      </w:r>
      <w:r>
        <w:rPr>
          <w:rFonts w:hint="eastAsia" w:ascii="Times New Roman" w:hAnsi="Times New Roman" w:eastAsia="宋体" w:cs="Times New Roman"/>
          <w:b w:val="0"/>
          <w:bCs w:val="0"/>
          <w:color w:val="auto"/>
          <w:kern w:val="0"/>
          <w:sz w:val="24"/>
          <w:szCs w:val="24"/>
          <w:u w:val="none"/>
          <w:lang w:val="en-US" w:eastAsia="zh-CN" w:bidi="ar-SA"/>
        </w:rPr>
        <w:t xml:space="preserve"> 工程施工期大气环境影响分析</w:t>
      </w:r>
    </w:p>
    <w:p>
      <w:pPr>
        <w:ind w:firstLine="480"/>
        <w:rPr>
          <w:rFonts w:hint="eastAsia" w:ascii="Times New Roman" w:hAnsi="Times New Roman" w:eastAsia="宋体" w:cs="Times New Roman"/>
          <w:b w:val="0"/>
          <w:bCs w:val="0"/>
          <w:color w:val="auto"/>
          <w:kern w:val="0"/>
          <w:sz w:val="24"/>
          <w:szCs w:val="24"/>
          <w:u w:val="none"/>
          <w:lang w:val="en-US" w:eastAsia="zh-CN" w:bidi="ar-SA"/>
        </w:rPr>
      </w:pPr>
      <w:r>
        <w:rPr>
          <w:rFonts w:hint="eastAsia" w:ascii="Times New Roman" w:hAnsi="Times New Roman" w:eastAsia="宋体" w:cs="Times New Roman"/>
          <w:b w:val="0"/>
          <w:bCs w:val="0"/>
          <w:color w:val="auto"/>
          <w:kern w:val="0"/>
          <w:sz w:val="24"/>
          <w:szCs w:val="24"/>
          <w:u w:val="none"/>
          <w:lang w:val="en-US" w:eastAsia="zh-CN" w:bidi="ar-SA"/>
        </w:rPr>
        <w:t>项目在建设施工过程中主要通过加强洒水降尘、设置相应的车辆冲洗设施等措施。项目施工期已落实了各项大气污染防治措施，较大程度地减少施工期粉尘和废气的排放量，未对环境造成污染影响，根据调查施工期未受到关于施工废气对环境影响的投诉，也</w:t>
      </w:r>
      <w:r>
        <w:rPr>
          <w:rFonts w:hint="eastAsia" w:cs="Times New Roman"/>
          <w:b w:val="0"/>
          <w:bCs w:val="0"/>
          <w:color w:val="auto"/>
          <w:kern w:val="0"/>
          <w:sz w:val="24"/>
          <w:szCs w:val="24"/>
          <w:u w:val="none"/>
          <w:lang w:val="en-US" w:eastAsia="zh-CN" w:bidi="ar-SA"/>
        </w:rPr>
        <w:t>未</w:t>
      </w:r>
      <w:r>
        <w:rPr>
          <w:rFonts w:hint="eastAsia" w:ascii="Times New Roman" w:hAnsi="Times New Roman" w:eastAsia="宋体" w:cs="Times New Roman"/>
          <w:b w:val="0"/>
          <w:bCs w:val="0"/>
          <w:color w:val="auto"/>
          <w:kern w:val="0"/>
          <w:sz w:val="24"/>
          <w:szCs w:val="24"/>
          <w:u w:val="none"/>
          <w:lang w:val="en-US" w:eastAsia="zh-CN" w:bidi="ar-SA"/>
        </w:rPr>
        <w:t>遗留有环境问题。</w:t>
      </w:r>
    </w:p>
    <w:p>
      <w:pPr>
        <w:pStyle w:val="8"/>
        <w:spacing w:before="163"/>
        <w:rPr>
          <w:rFonts w:hint="eastAsia" w:ascii="Times New Roman" w:hAnsi="Times New Roman" w:eastAsia="宋体" w:cs="Times New Roman"/>
          <w:b w:val="0"/>
          <w:bCs w:val="0"/>
          <w:color w:val="auto"/>
          <w:kern w:val="0"/>
          <w:sz w:val="24"/>
          <w:szCs w:val="24"/>
          <w:u w:val="none"/>
          <w:lang w:val="en-US" w:eastAsia="zh-CN" w:bidi="ar-SA"/>
        </w:rPr>
      </w:pPr>
      <w:r>
        <w:rPr>
          <w:rFonts w:hint="eastAsia" w:cs="Times New Roman"/>
          <w:b w:val="0"/>
          <w:bCs w:val="0"/>
          <w:color w:val="auto"/>
          <w:kern w:val="0"/>
          <w:sz w:val="24"/>
          <w:szCs w:val="24"/>
          <w:u w:val="none"/>
          <w:lang w:val="en-US" w:eastAsia="zh-CN" w:bidi="ar-SA"/>
        </w:rPr>
        <w:t>（2）</w:t>
      </w:r>
      <w:r>
        <w:rPr>
          <w:rFonts w:hint="eastAsia" w:ascii="Times New Roman" w:hAnsi="Times New Roman" w:eastAsia="宋体" w:cs="Times New Roman"/>
          <w:b w:val="0"/>
          <w:bCs w:val="0"/>
          <w:color w:val="auto"/>
          <w:kern w:val="0"/>
          <w:sz w:val="24"/>
          <w:szCs w:val="24"/>
          <w:u w:val="none"/>
          <w:lang w:val="en-US" w:eastAsia="zh-CN" w:bidi="ar-SA"/>
        </w:rPr>
        <w:t xml:space="preserve"> 工程施工期水环境影响分析</w:t>
      </w:r>
    </w:p>
    <w:p>
      <w:pPr>
        <w:ind w:firstLine="480"/>
        <w:rPr>
          <w:rFonts w:hint="eastAsia" w:ascii="Times New Roman" w:hAnsi="Times New Roman" w:eastAsia="宋体" w:cs="Times New Roman"/>
          <w:b w:val="0"/>
          <w:bCs w:val="0"/>
          <w:color w:val="auto"/>
          <w:kern w:val="0"/>
          <w:sz w:val="24"/>
          <w:szCs w:val="24"/>
          <w:u w:val="single"/>
          <w:lang w:val="en-US" w:eastAsia="zh-CN" w:bidi="ar-SA"/>
        </w:rPr>
      </w:pPr>
      <w:r>
        <w:rPr>
          <w:rFonts w:hint="eastAsia" w:ascii="Times New Roman" w:hAnsi="Times New Roman" w:eastAsia="宋体" w:cs="Times New Roman"/>
          <w:b w:val="0"/>
          <w:bCs w:val="0"/>
          <w:color w:val="auto"/>
          <w:kern w:val="0"/>
          <w:sz w:val="24"/>
          <w:szCs w:val="24"/>
          <w:u w:val="none"/>
          <w:lang w:val="en-US" w:eastAsia="zh-CN" w:bidi="ar-SA"/>
        </w:rPr>
        <w:t>施工期生产废水应经临时沉淀池沉淀后上清液用于场地洒水降尘，底层沉淀的泥浆干燥后作为建筑垃圾清运，通过上述措施施工期本工程对附近环境影响较小，未对环境造成污染影响，</w:t>
      </w:r>
      <w:r>
        <w:rPr>
          <w:rFonts w:hint="eastAsia" w:cs="Times New Roman"/>
          <w:b w:val="0"/>
          <w:bCs w:val="0"/>
          <w:color w:val="auto"/>
          <w:kern w:val="0"/>
          <w:sz w:val="24"/>
          <w:szCs w:val="24"/>
          <w:u w:val="none"/>
          <w:lang w:val="en-US" w:eastAsia="zh-CN" w:bidi="ar-SA"/>
        </w:rPr>
        <w:t>未</w:t>
      </w:r>
      <w:r>
        <w:rPr>
          <w:rFonts w:hint="eastAsia" w:ascii="Times New Roman" w:hAnsi="Times New Roman" w:eastAsia="宋体" w:cs="Times New Roman"/>
          <w:b w:val="0"/>
          <w:bCs w:val="0"/>
          <w:color w:val="auto"/>
          <w:kern w:val="0"/>
          <w:sz w:val="24"/>
          <w:szCs w:val="24"/>
          <w:u w:val="none"/>
          <w:lang w:val="en-US" w:eastAsia="zh-CN" w:bidi="ar-SA"/>
        </w:rPr>
        <w:t>遗留有环境问题。</w:t>
      </w:r>
    </w:p>
    <w:p>
      <w:pPr>
        <w:pStyle w:val="8"/>
        <w:spacing w:before="163"/>
        <w:rPr>
          <w:rFonts w:hint="eastAsia" w:ascii="Times New Roman" w:hAnsi="Times New Roman" w:eastAsia="宋体" w:cs="Times New Roman"/>
          <w:b w:val="0"/>
          <w:bCs w:val="0"/>
          <w:color w:val="auto"/>
          <w:kern w:val="0"/>
          <w:sz w:val="24"/>
          <w:szCs w:val="24"/>
          <w:u w:val="none"/>
          <w:lang w:val="en-US" w:eastAsia="zh-CN" w:bidi="ar-SA"/>
        </w:rPr>
      </w:pPr>
      <w:r>
        <w:rPr>
          <w:rFonts w:hint="eastAsia" w:cs="Times New Roman"/>
          <w:b w:val="0"/>
          <w:bCs w:val="0"/>
          <w:color w:val="auto"/>
          <w:kern w:val="0"/>
          <w:sz w:val="24"/>
          <w:szCs w:val="24"/>
          <w:u w:val="none"/>
          <w:lang w:val="en-US" w:eastAsia="zh-CN" w:bidi="ar-SA"/>
        </w:rPr>
        <w:t>（3）</w:t>
      </w:r>
      <w:r>
        <w:rPr>
          <w:rFonts w:hint="eastAsia" w:ascii="Times New Roman" w:hAnsi="Times New Roman" w:eastAsia="宋体" w:cs="Times New Roman"/>
          <w:b w:val="0"/>
          <w:bCs w:val="0"/>
          <w:color w:val="auto"/>
          <w:kern w:val="0"/>
          <w:sz w:val="24"/>
          <w:szCs w:val="24"/>
          <w:u w:val="none"/>
          <w:lang w:val="en-US" w:eastAsia="zh-CN" w:bidi="ar-SA"/>
        </w:rPr>
        <w:t xml:space="preserve"> 工程施工期噪声环境影响分析</w:t>
      </w:r>
    </w:p>
    <w:p>
      <w:pPr>
        <w:ind w:firstLine="480"/>
        <w:rPr>
          <w:rFonts w:hint="eastAsia" w:ascii="Times New Roman" w:hAnsi="Times New Roman" w:eastAsia="宋体" w:cs="Times New Roman"/>
          <w:b w:val="0"/>
          <w:bCs w:val="0"/>
          <w:color w:val="auto"/>
          <w:kern w:val="0"/>
          <w:sz w:val="24"/>
          <w:szCs w:val="24"/>
          <w:u w:val="none"/>
          <w:lang w:val="en-US" w:eastAsia="zh-CN" w:bidi="ar-SA"/>
        </w:rPr>
      </w:pPr>
      <w:r>
        <w:rPr>
          <w:rFonts w:hint="eastAsia" w:ascii="Times New Roman" w:hAnsi="Times New Roman" w:eastAsia="宋体" w:cs="Times New Roman"/>
          <w:b w:val="0"/>
          <w:bCs w:val="0"/>
          <w:color w:val="auto"/>
          <w:kern w:val="0"/>
          <w:sz w:val="24"/>
          <w:szCs w:val="24"/>
          <w:u w:val="none"/>
          <w:lang w:val="en-US" w:eastAsia="zh-CN" w:bidi="ar-SA"/>
        </w:rPr>
        <w:t>本项目距离200米范围内无居民点，污水</w:t>
      </w:r>
      <w:r>
        <w:rPr>
          <w:rFonts w:hint="eastAsia" w:cs="Times New Roman"/>
          <w:b w:val="0"/>
          <w:bCs w:val="0"/>
          <w:color w:val="auto"/>
          <w:kern w:val="0"/>
          <w:sz w:val="24"/>
          <w:szCs w:val="24"/>
          <w:u w:val="none"/>
          <w:lang w:val="en-US" w:eastAsia="zh-CN" w:bidi="ar-SA"/>
        </w:rPr>
        <w:t>处理厂</w:t>
      </w:r>
      <w:r>
        <w:rPr>
          <w:rFonts w:hint="eastAsia" w:ascii="Times New Roman" w:hAnsi="Times New Roman" w:eastAsia="宋体" w:cs="Times New Roman"/>
          <w:b w:val="0"/>
          <w:bCs w:val="0"/>
          <w:color w:val="auto"/>
          <w:kern w:val="0"/>
          <w:sz w:val="24"/>
          <w:szCs w:val="24"/>
          <w:u w:val="none"/>
          <w:lang w:val="en-US" w:eastAsia="zh-CN" w:bidi="ar-SA"/>
        </w:rPr>
        <w:t>施工过程对区域声环境影响较小，项目未在施工期收到噪声对环境影响的投诉。</w:t>
      </w:r>
    </w:p>
    <w:p>
      <w:pPr>
        <w:pStyle w:val="8"/>
        <w:spacing w:before="163"/>
        <w:rPr>
          <w:rFonts w:hint="eastAsia" w:ascii="Times New Roman" w:hAnsi="Times New Roman" w:eastAsia="宋体" w:cs="Times New Roman"/>
          <w:b w:val="0"/>
          <w:bCs w:val="0"/>
          <w:color w:val="auto"/>
          <w:kern w:val="0"/>
          <w:sz w:val="24"/>
          <w:szCs w:val="24"/>
          <w:u w:val="none"/>
          <w:lang w:val="en-US" w:eastAsia="zh-CN" w:bidi="ar-SA"/>
        </w:rPr>
      </w:pPr>
      <w:r>
        <w:rPr>
          <w:rFonts w:hint="eastAsia" w:cs="Times New Roman"/>
          <w:b w:val="0"/>
          <w:bCs w:val="0"/>
          <w:color w:val="auto"/>
          <w:kern w:val="0"/>
          <w:sz w:val="24"/>
          <w:szCs w:val="24"/>
          <w:u w:val="none"/>
          <w:lang w:val="en-US" w:eastAsia="zh-CN" w:bidi="ar-SA"/>
        </w:rPr>
        <w:t>（4）</w:t>
      </w:r>
      <w:r>
        <w:rPr>
          <w:rFonts w:hint="eastAsia" w:ascii="Times New Roman" w:hAnsi="Times New Roman" w:eastAsia="宋体" w:cs="Times New Roman"/>
          <w:b w:val="0"/>
          <w:bCs w:val="0"/>
          <w:color w:val="auto"/>
          <w:kern w:val="0"/>
          <w:sz w:val="24"/>
          <w:szCs w:val="24"/>
          <w:u w:val="none"/>
          <w:lang w:val="en-US" w:eastAsia="zh-CN" w:bidi="ar-SA"/>
        </w:rPr>
        <w:t xml:space="preserve"> 工程施工期固体废物回顾性影响分析</w:t>
      </w:r>
    </w:p>
    <w:p>
      <w:pPr>
        <w:ind w:firstLine="480"/>
        <w:rPr>
          <w:rFonts w:hint="eastAsia" w:ascii="Times New Roman" w:hAnsi="Times New Roman" w:eastAsia="宋体" w:cs="Times New Roman"/>
          <w:b w:val="0"/>
          <w:bCs w:val="0"/>
          <w:color w:val="auto"/>
          <w:kern w:val="0"/>
          <w:sz w:val="24"/>
          <w:szCs w:val="24"/>
          <w:u w:val="none"/>
          <w:lang w:val="en-US" w:eastAsia="zh-CN" w:bidi="ar-SA"/>
        </w:rPr>
      </w:pPr>
      <w:r>
        <w:rPr>
          <w:rFonts w:hint="eastAsia" w:ascii="Times New Roman" w:hAnsi="Times New Roman" w:eastAsia="宋体" w:cs="Times New Roman"/>
          <w:b w:val="0"/>
          <w:bCs w:val="0"/>
          <w:color w:val="auto"/>
          <w:kern w:val="0"/>
          <w:sz w:val="24"/>
          <w:szCs w:val="24"/>
          <w:u w:val="none"/>
          <w:lang w:val="en-US" w:eastAsia="zh-CN" w:bidi="ar-SA"/>
        </w:rPr>
        <w:t>施工期建设单位对其做简易遮挡避免扬尘，并且及时委托渣土运输部门外运至渣土回填，运输过程工程车要求为全密闭车辆；建筑垃圾施工后尽可能回收利用，其余无法综合利用建筑垃圾运至当地渣土管理部门指定地点处置；生活垃圾在施工营地设立垃圾贮存产所，暂存后由环卫部分统一清运。项目</w:t>
      </w:r>
      <w:r>
        <w:rPr>
          <w:rFonts w:hint="eastAsia" w:cs="Times New Roman"/>
          <w:b w:val="0"/>
          <w:bCs w:val="0"/>
          <w:color w:val="auto"/>
          <w:kern w:val="0"/>
          <w:sz w:val="24"/>
          <w:szCs w:val="24"/>
          <w:u w:val="none"/>
          <w:lang w:val="en-US" w:eastAsia="zh-CN" w:bidi="ar-SA"/>
        </w:rPr>
        <w:t>未</w:t>
      </w:r>
      <w:r>
        <w:rPr>
          <w:rFonts w:hint="eastAsia" w:ascii="Times New Roman" w:hAnsi="Times New Roman" w:eastAsia="宋体" w:cs="Times New Roman"/>
          <w:b w:val="0"/>
          <w:bCs w:val="0"/>
          <w:color w:val="auto"/>
          <w:kern w:val="0"/>
          <w:sz w:val="24"/>
          <w:szCs w:val="24"/>
          <w:u w:val="none"/>
          <w:lang w:val="en-US" w:eastAsia="zh-CN" w:bidi="ar-SA"/>
        </w:rPr>
        <w:t>发现遗留的弃土弃渣，施工期未遗留有环境问题。</w:t>
      </w:r>
    </w:p>
    <w:p>
      <w:pPr>
        <w:pStyle w:val="8"/>
        <w:spacing w:before="163"/>
        <w:rPr>
          <w:rFonts w:hint="default"/>
          <w:color w:val="auto"/>
          <w:lang w:val="en-US" w:eastAsia="zh-CN"/>
        </w:rPr>
      </w:pPr>
      <w:r>
        <w:rPr>
          <w:rFonts w:hint="eastAsia"/>
          <w:color w:val="auto"/>
          <w:lang w:val="en-US" w:eastAsia="zh-CN"/>
        </w:rPr>
        <w:t>8.4.2 运营期</w:t>
      </w:r>
    </w:p>
    <w:p>
      <w:pPr>
        <w:ind w:firstLine="480"/>
        <w:rPr>
          <w:rFonts w:hint="eastAsia"/>
          <w:color w:val="000000"/>
          <w:kern w:val="0"/>
        </w:rPr>
      </w:pPr>
      <w:r>
        <w:rPr>
          <w:rFonts w:hint="eastAsia"/>
          <w:color w:val="000000"/>
          <w:kern w:val="0"/>
        </w:rPr>
        <w:t>（1）地表水环境</w:t>
      </w:r>
    </w:p>
    <w:p>
      <w:pPr>
        <w:ind w:firstLine="480"/>
        <w:rPr>
          <w:rFonts w:hint="eastAsia"/>
          <w:color w:val="000000"/>
          <w:kern w:val="0"/>
          <w:lang w:val="en-US" w:eastAsia="zh-CN"/>
        </w:rPr>
      </w:pPr>
      <w:r>
        <w:rPr>
          <w:rFonts w:hint="eastAsia"/>
          <w:color w:val="000000"/>
          <w:kern w:val="0"/>
          <w:lang w:val="en-US" w:eastAsia="zh-CN"/>
        </w:rPr>
        <w:t>本项目接收花垣产业开发区（原花垣工业集中区）西部新区涉重企业重金属废水的处理，废水经过企业自建的污水处理站处理后达到本项目污水处理站的接管标准，其中含一类污染物的废水经处理在企业车间排口达到污水综合排放标准( GB8978-1996)表1最高允许排放浓度要求后方可接管；经本项目处理后废水总钒指标达到钒工业污染物排放标准》GB26452-2011中表2的规定，其他废水污染物指标总锰、总铬、六价铬、总锌、总铅达到《城镇污水处理厂污染物排放标准》（GB18918-2002）表2表3的规定后在花垣工业集中区污水处理厂未运营前排入花垣工业集中区设置的临时污水处理站处理，在花垣工业集中区污水处理厂运营后排入花垣工业集中区污水处理厂进行进一步处理达到《城市污水处理厂污染物排放标准》（GB18918-2002）一级标准的A标准排放至花垣河。</w:t>
      </w:r>
    </w:p>
    <w:p>
      <w:pPr>
        <w:ind w:firstLine="480"/>
        <w:rPr>
          <w:rFonts w:hint="eastAsia"/>
          <w:color w:val="000000"/>
          <w:kern w:val="0"/>
          <w:lang w:val="en-US" w:eastAsia="zh-CN"/>
        </w:rPr>
      </w:pPr>
      <w:r>
        <w:rPr>
          <w:rFonts w:hint="eastAsia"/>
          <w:color w:val="000000"/>
          <w:kern w:val="0"/>
          <w:lang w:val="en-US" w:eastAsia="zh-CN"/>
        </w:rPr>
        <w:t>事故状态下，未处理的废水可暂存在调节池内，项目污水处理站调节池总容积为1000m</w:t>
      </w:r>
      <w:r>
        <w:rPr>
          <w:rFonts w:hint="eastAsia"/>
          <w:color w:val="000000"/>
          <w:kern w:val="0"/>
          <w:vertAlign w:val="superscript"/>
          <w:lang w:val="en-US" w:eastAsia="zh-CN"/>
        </w:rPr>
        <w:t>3</w:t>
      </w:r>
      <w:r>
        <w:rPr>
          <w:rFonts w:hint="eastAsia"/>
          <w:color w:val="000000"/>
          <w:kern w:val="0"/>
          <w:lang w:val="en-US" w:eastAsia="zh-CN"/>
        </w:rPr>
        <w:t>。污水处理站处理设备故障无法有效对重金属废水进行处理的情况下应先于上游企业进行沟通，暂停向本项目进行排水，同时关闭项目尾水排放口，将还未处理的废水暂存调节池内，待设施维修好再进行处理。</w:t>
      </w:r>
    </w:p>
    <w:p>
      <w:pPr>
        <w:ind w:firstLine="480"/>
        <w:rPr>
          <w:rFonts w:hint="eastAsia"/>
          <w:color w:val="000000"/>
          <w:kern w:val="0"/>
          <w:lang w:val="en-US" w:eastAsia="zh-CN"/>
        </w:rPr>
      </w:pPr>
      <w:r>
        <w:rPr>
          <w:rFonts w:hint="eastAsia"/>
          <w:color w:val="000000"/>
          <w:kern w:val="0"/>
          <w:lang w:val="en-US" w:eastAsia="zh-CN"/>
        </w:rPr>
        <w:t>综上所述，建设单位在实施环评提出的意见，项目建设对地表水影响可以接受。</w:t>
      </w:r>
    </w:p>
    <w:p>
      <w:pPr>
        <w:ind w:firstLine="480"/>
        <w:rPr>
          <w:rFonts w:hint="eastAsia"/>
          <w:color w:val="000000"/>
          <w:kern w:val="0"/>
        </w:rPr>
      </w:pPr>
      <w:r>
        <w:rPr>
          <w:rFonts w:hint="eastAsia"/>
          <w:color w:val="000000"/>
          <w:kern w:val="0"/>
        </w:rPr>
        <w:t>（2）地下水</w:t>
      </w:r>
    </w:p>
    <w:p>
      <w:pPr>
        <w:ind w:firstLine="480"/>
        <w:rPr>
          <w:color w:val="000000"/>
          <w:kern w:val="0"/>
        </w:rPr>
      </w:pPr>
      <w:r>
        <w:rPr>
          <w:rFonts w:hint="eastAsia"/>
          <w:color w:val="000000"/>
          <w:kern w:val="0"/>
        </w:rPr>
        <w:t>污水在处理的过程中，如处理池体发生渗漏，会通过土壤向下渗透，从而造成地下水的污染。为了防止对地下水环境的污染，所以污水处理池要分区防渗，并加强池体日常的巡检，发生裂隙及时汇报并采取应急措施。通过</w:t>
      </w:r>
      <w:r>
        <w:rPr>
          <w:rFonts w:hint="eastAsia"/>
          <w:color w:val="000000"/>
          <w:kern w:val="0"/>
          <w:lang w:val="en-US" w:eastAsia="zh-CN"/>
        </w:rPr>
        <w:t>采取以上措施后</w:t>
      </w:r>
      <w:r>
        <w:rPr>
          <w:rFonts w:hint="eastAsia"/>
          <w:color w:val="000000"/>
          <w:kern w:val="0"/>
        </w:rPr>
        <w:t>，本项目对地下水影响较小。</w:t>
      </w:r>
    </w:p>
    <w:p>
      <w:pPr>
        <w:ind w:firstLine="480"/>
        <w:rPr>
          <w:rFonts w:hint="eastAsia"/>
          <w:color w:val="000000"/>
          <w:kern w:val="0"/>
        </w:rPr>
      </w:pPr>
      <w:r>
        <w:rPr>
          <w:rFonts w:hint="eastAsia"/>
          <w:color w:val="000000"/>
          <w:kern w:val="0"/>
        </w:rPr>
        <w:t>（</w:t>
      </w:r>
      <w:r>
        <w:rPr>
          <w:rFonts w:hint="eastAsia"/>
          <w:color w:val="000000"/>
          <w:kern w:val="0"/>
          <w:lang w:val="en-US" w:eastAsia="zh-CN"/>
        </w:rPr>
        <w:t>3</w:t>
      </w:r>
      <w:r>
        <w:rPr>
          <w:rFonts w:hint="eastAsia"/>
          <w:color w:val="000000"/>
          <w:kern w:val="0"/>
        </w:rPr>
        <w:t>）声环境</w:t>
      </w:r>
    </w:p>
    <w:p>
      <w:pPr>
        <w:ind w:firstLine="480"/>
        <w:rPr>
          <w:color w:val="000000"/>
          <w:kern w:val="0"/>
        </w:rPr>
      </w:pPr>
      <w:r>
        <w:rPr>
          <w:rFonts w:hint="eastAsia"/>
          <w:color w:val="000000"/>
          <w:kern w:val="0"/>
        </w:rPr>
        <w:t>本项目主要的噪声源为鼓风机及各类泵站，经预测，在采取噪声防治措施下，项目厂界昼夜噪声贡献值均能达到《工业企业厂界环境噪声排放标准》</w:t>
      </w:r>
      <w:r>
        <w:rPr>
          <w:rFonts w:hint="eastAsia"/>
          <w:color w:val="000000"/>
          <w:kern w:val="0"/>
          <w:lang w:val="en-US" w:eastAsia="zh-CN"/>
        </w:rPr>
        <w:t>3</w:t>
      </w:r>
      <w:r>
        <w:rPr>
          <w:rFonts w:hint="eastAsia"/>
          <w:color w:val="000000"/>
          <w:kern w:val="0"/>
        </w:rPr>
        <w:t>类标准，环评建议做好相关噪声防治措施，以进一步减少噪声对周边厂区环境的影响。</w:t>
      </w:r>
    </w:p>
    <w:p>
      <w:pPr>
        <w:ind w:firstLine="480"/>
        <w:rPr>
          <w:rFonts w:hint="eastAsia"/>
          <w:color w:val="000000"/>
          <w:kern w:val="0"/>
        </w:rPr>
      </w:pPr>
      <w:r>
        <w:rPr>
          <w:rFonts w:hint="eastAsia"/>
          <w:color w:val="000000"/>
          <w:kern w:val="0"/>
        </w:rPr>
        <w:t>（</w:t>
      </w:r>
      <w:r>
        <w:rPr>
          <w:rFonts w:hint="eastAsia"/>
          <w:color w:val="000000"/>
          <w:kern w:val="0"/>
          <w:lang w:val="en-US" w:eastAsia="zh-CN"/>
        </w:rPr>
        <w:t>4</w:t>
      </w:r>
      <w:r>
        <w:rPr>
          <w:rFonts w:hint="eastAsia"/>
          <w:color w:val="000000"/>
          <w:kern w:val="0"/>
        </w:rPr>
        <w:t>）固体废物</w:t>
      </w:r>
    </w:p>
    <w:p>
      <w:pPr>
        <w:wordWrap w:val="0"/>
        <w:ind w:firstLine="480"/>
        <w:rPr>
          <w:rFonts w:hint="eastAsia"/>
          <w:color w:val="000000"/>
          <w:kern w:val="0"/>
        </w:rPr>
      </w:pPr>
      <w:r>
        <w:rPr>
          <w:rFonts w:hint="eastAsia"/>
          <w:color w:val="000000"/>
          <w:kern w:val="0"/>
        </w:rPr>
        <w:t>项目产生的格栅渣、沉沙可能具有危险特性，应按《国家危险废物名录》、国家环境保护标准《危险废物鉴别技术规范》（HJ/T298-2007）和危险废物鉴别标准的规定，对该类进行危险特性鉴别。如为危险废物，运营单位应按照危险废物要求进行管理，并委托具有相应资质单位进行安全处置；如鉴别属于一般固废，运至吉首市垃圾焚烧厂进行焚烧。</w:t>
      </w:r>
    </w:p>
    <w:p>
      <w:pPr>
        <w:wordWrap w:val="0"/>
        <w:ind w:firstLine="480"/>
        <w:rPr>
          <w:rFonts w:hint="eastAsia"/>
          <w:color w:val="000000"/>
          <w:kern w:val="0"/>
        </w:rPr>
      </w:pPr>
      <w:r>
        <w:rPr>
          <w:rFonts w:hint="eastAsia"/>
          <w:color w:val="000000"/>
          <w:kern w:val="0"/>
        </w:rPr>
        <w:t>项目污泥脱水采用离心脱水机对其进行脱水处理，脱水后的污泥</w:t>
      </w:r>
      <w:r>
        <w:rPr>
          <w:rFonts w:hint="eastAsia"/>
          <w:color w:val="000000"/>
          <w:kern w:val="0"/>
          <w:lang w:eastAsia="zh-CN"/>
        </w:rPr>
        <w:t>，</w:t>
      </w:r>
      <w:r>
        <w:rPr>
          <w:rFonts w:hint="eastAsia"/>
          <w:color w:val="000000"/>
          <w:kern w:val="0"/>
        </w:rPr>
        <w:t>属于危险废物，运营单位应按照危险废物要求进行管理，并委托具有相应资质单位进行安全处置</w:t>
      </w:r>
      <w:r>
        <w:rPr>
          <w:rFonts w:hint="eastAsia"/>
          <w:color w:val="000000"/>
          <w:kern w:val="0"/>
          <w:lang w:eastAsia="zh-CN"/>
        </w:rPr>
        <w:t>。本项目污泥暂存在脱水机的斗曹内，不单独设置危废暂存间</w:t>
      </w:r>
      <w:r>
        <w:rPr>
          <w:rFonts w:hint="eastAsia"/>
          <w:color w:val="000000"/>
          <w:kern w:val="0"/>
        </w:rPr>
        <w:t>，运营期后运营方在具体</w:t>
      </w:r>
      <w:r>
        <w:rPr>
          <w:rFonts w:hint="eastAsia"/>
          <w:color w:val="000000"/>
          <w:kern w:val="0"/>
          <w:lang w:eastAsia="zh-CN"/>
        </w:rPr>
        <w:t>关联</w:t>
      </w:r>
      <w:r>
        <w:rPr>
          <w:rFonts w:hint="eastAsia"/>
          <w:color w:val="000000"/>
          <w:kern w:val="0"/>
        </w:rPr>
        <w:t>需严格按照《危险废物贮存污染控制标准》（GB18579-2001）及2013年修改单中危险废物贮存设施选址与设计原则对其进行设计，危险废物的堆放、贮存设施的运行和管理以及安全防护与监测需达到《危险废物贮存污染控制标准》（GB18579-2001）及2013年修改单中的相关要求，确保危险废物在进行无害化处理前不会对区域外环境以及周边敏感目标造成不良环境影响。</w:t>
      </w:r>
    </w:p>
    <w:p>
      <w:pPr>
        <w:pStyle w:val="2"/>
        <w:rPr>
          <w:rFonts w:hint="eastAsia"/>
        </w:rPr>
      </w:pPr>
      <w:r>
        <w:rPr>
          <w:rFonts w:hint="eastAsia"/>
        </w:rPr>
        <w:t>员工生活固废属于一般固废，统一由环卫部门统一处理。</w:t>
      </w:r>
    </w:p>
    <w:p>
      <w:pPr>
        <w:ind w:firstLine="480"/>
        <w:rPr>
          <w:rFonts w:hint="eastAsia"/>
          <w:color w:val="000000"/>
          <w:kern w:val="0"/>
          <w:lang w:eastAsia="zh-CN"/>
        </w:rPr>
      </w:pPr>
      <w:r>
        <w:rPr>
          <w:rFonts w:hint="eastAsia"/>
          <w:color w:val="000000"/>
          <w:kern w:val="0"/>
          <w:lang w:eastAsia="zh-CN"/>
        </w:rPr>
        <w:t>（</w:t>
      </w:r>
      <w:r>
        <w:rPr>
          <w:rFonts w:hint="eastAsia"/>
          <w:color w:val="000000"/>
          <w:kern w:val="0"/>
          <w:lang w:val="en-US" w:eastAsia="zh-CN"/>
        </w:rPr>
        <w:t>5</w:t>
      </w:r>
      <w:r>
        <w:rPr>
          <w:rFonts w:hint="eastAsia"/>
          <w:color w:val="000000"/>
          <w:kern w:val="0"/>
          <w:lang w:eastAsia="zh-CN"/>
        </w:rPr>
        <w:t>）大气环境影响</w:t>
      </w:r>
    </w:p>
    <w:p>
      <w:pPr>
        <w:ind w:firstLine="480"/>
        <w:rPr>
          <w:rFonts w:hint="eastAsia"/>
          <w:color w:val="000000"/>
          <w:kern w:val="0"/>
        </w:rPr>
      </w:pPr>
      <w:r>
        <w:rPr>
          <w:rFonts w:hint="eastAsia"/>
          <w:color w:val="000000"/>
          <w:kern w:val="0"/>
        </w:rPr>
        <w:t>本项目运营期污水主要污染物为重金属，项目采用工艺为“化学混凝沉淀分离+石英砂过滤”，不考虑对有机物COD、BOD进行处理，不会产生氨、硫化氢恶臭气体，项目在处理过程中会加入盐酸，会产生少量酸性气体挥发，为无组织排放，排放量较少，对环境影响可以接受，不会改变区域环境质量现状。</w:t>
      </w:r>
    </w:p>
    <w:p>
      <w:pPr>
        <w:pStyle w:val="86"/>
        <w:spacing w:before="163" w:after="163"/>
        <w:rPr>
          <w:rFonts w:hint="eastAsia"/>
          <w:color w:val="000000"/>
        </w:rPr>
      </w:pPr>
      <w:bookmarkStart w:id="317" w:name="_Toc29308691"/>
      <w:bookmarkStart w:id="318" w:name="_Toc7018"/>
      <w:r>
        <w:rPr>
          <w:color w:val="000000"/>
        </w:rPr>
        <w:t>8</w:t>
      </w:r>
      <w:r>
        <w:rPr>
          <w:rFonts w:hint="eastAsia"/>
          <w:color w:val="000000"/>
        </w:rPr>
        <w:t>.</w:t>
      </w:r>
      <w:r>
        <w:rPr>
          <w:color w:val="000000"/>
        </w:rPr>
        <w:t xml:space="preserve">5 </w:t>
      </w:r>
      <w:r>
        <w:rPr>
          <w:rFonts w:hint="eastAsia"/>
          <w:color w:val="000000"/>
        </w:rPr>
        <w:t>污染控制措施评述及污染物达标排放</w:t>
      </w:r>
      <w:bookmarkEnd w:id="317"/>
      <w:bookmarkEnd w:id="318"/>
    </w:p>
    <w:p>
      <w:pPr>
        <w:ind w:firstLine="480"/>
        <w:rPr>
          <w:color w:val="000000"/>
          <w:kern w:val="0"/>
        </w:rPr>
      </w:pPr>
      <w:bookmarkStart w:id="319" w:name="_Toc22015"/>
      <w:bookmarkStart w:id="320" w:name="_Toc11924"/>
      <w:bookmarkStart w:id="321" w:name="_Toc10115"/>
      <w:bookmarkStart w:id="322" w:name="_Toc1223"/>
      <w:r>
        <w:rPr>
          <w:rFonts w:hint="eastAsia"/>
          <w:color w:val="000000"/>
          <w:kern w:val="0"/>
        </w:rPr>
        <w:t>（1）地表水污染防治措施</w:t>
      </w:r>
      <w:bookmarkEnd w:id="319"/>
      <w:bookmarkEnd w:id="320"/>
      <w:bookmarkEnd w:id="321"/>
      <w:bookmarkEnd w:id="322"/>
    </w:p>
    <w:p>
      <w:pPr>
        <w:keepNext w:val="0"/>
        <w:keepLines w:val="0"/>
        <w:pageBreakBefore w:val="0"/>
        <w:widowControl/>
        <w:kinsoku/>
        <w:wordWrap w:val="0"/>
        <w:overflowPunct/>
        <w:topLinePunct w:val="0"/>
        <w:autoSpaceDE/>
        <w:autoSpaceDN/>
        <w:bidi w:val="0"/>
        <w:adjustRightInd/>
        <w:snapToGrid/>
        <w:ind w:firstLine="480"/>
        <w:textAlignment w:val="auto"/>
        <w:rPr>
          <w:color w:val="000000"/>
          <w:kern w:val="0"/>
          <w:szCs w:val="21"/>
        </w:rPr>
      </w:pPr>
      <w:bookmarkStart w:id="323" w:name="_Toc17802"/>
      <w:bookmarkStart w:id="324" w:name="_Toc30532"/>
      <w:bookmarkStart w:id="325" w:name="_Toc18145"/>
      <w:r>
        <w:rPr>
          <w:rFonts w:hint="eastAsia"/>
          <w:color w:val="000000"/>
          <w:kern w:val="0"/>
        </w:rPr>
        <w:t>本项目</w:t>
      </w:r>
      <w:r>
        <w:rPr>
          <w:rFonts w:hint="eastAsia"/>
          <w:color w:val="000000"/>
          <w:kern w:val="0"/>
          <w:lang w:eastAsia="zh-CN"/>
        </w:rPr>
        <w:t>污水处理站</w:t>
      </w:r>
      <w:r>
        <w:rPr>
          <w:rFonts w:hint="eastAsia"/>
          <w:color w:val="000000"/>
          <w:kern w:val="0"/>
        </w:rPr>
        <w:t>废水工艺采用“化学沉淀分离+石英砂过滤”</w:t>
      </w:r>
      <w:r>
        <w:rPr>
          <w:rFonts w:hint="eastAsia"/>
          <w:color w:val="000000"/>
          <w:kern w:val="0"/>
          <w:lang w:eastAsia="zh-CN"/>
        </w:rPr>
        <w:t>的</w:t>
      </w:r>
      <w:r>
        <w:rPr>
          <w:rFonts w:hint="eastAsia"/>
          <w:color w:val="000000"/>
          <w:kern w:val="0"/>
        </w:rPr>
        <w:t>处理</w:t>
      </w:r>
      <w:r>
        <w:rPr>
          <w:rFonts w:hint="eastAsia"/>
          <w:color w:val="000000"/>
          <w:kern w:val="0"/>
          <w:lang w:eastAsia="zh-CN"/>
        </w:rPr>
        <w:t>工艺，</w:t>
      </w:r>
      <w:r>
        <w:rPr>
          <w:rFonts w:hint="eastAsia"/>
          <w:color w:val="000000"/>
          <w:kern w:val="0"/>
        </w:rPr>
        <w:t>废水经处理后出水水质总钒指标执行《钒工业污染物排放标准》（GB26452-2001）表2标准限值，其他污染物指标达到《城镇污水处理厂污染物排放标准》（GB18918-2002）表2、表3中标准限值，后进入花垣工业集中区污水处理厂进水口，经花垣工业集中区污水处理厂处理后排入花垣河。加强营运期间监督和管理，设计双电源或备用电源，确保污水处理设施长期稳定运行并达标排放。规范项目排污口建设，在项目进、出水口处安装在线自动监控装置，并与生态环境部门在线监控系统联网，实时上传监测结果</w:t>
      </w:r>
      <w:r>
        <w:rPr>
          <w:color w:val="000000"/>
          <w:kern w:val="0"/>
        </w:rPr>
        <w:t>。</w:t>
      </w:r>
    </w:p>
    <w:bookmarkEnd w:id="323"/>
    <w:bookmarkEnd w:id="324"/>
    <w:bookmarkEnd w:id="325"/>
    <w:p>
      <w:pPr>
        <w:ind w:firstLine="480"/>
        <w:rPr>
          <w:color w:val="000000"/>
          <w:kern w:val="0"/>
        </w:rPr>
      </w:pPr>
      <w:bookmarkStart w:id="326" w:name="_Toc22442"/>
      <w:bookmarkStart w:id="327" w:name="_Toc16601"/>
      <w:bookmarkStart w:id="328" w:name="_Toc23426"/>
      <w:bookmarkStart w:id="329" w:name="_Toc32453"/>
      <w:r>
        <w:rPr>
          <w:rFonts w:hint="eastAsia"/>
          <w:color w:val="000000"/>
          <w:kern w:val="0"/>
        </w:rPr>
        <w:t>（</w:t>
      </w:r>
      <w:r>
        <w:rPr>
          <w:rFonts w:hint="eastAsia"/>
          <w:color w:val="000000"/>
          <w:kern w:val="0"/>
          <w:lang w:val="en-US" w:eastAsia="zh-CN"/>
        </w:rPr>
        <w:t>2</w:t>
      </w:r>
      <w:r>
        <w:rPr>
          <w:rFonts w:hint="eastAsia"/>
          <w:color w:val="000000"/>
          <w:kern w:val="0"/>
        </w:rPr>
        <w:t>）噪声污染防治措施</w:t>
      </w:r>
    </w:p>
    <w:p>
      <w:pPr>
        <w:ind w:firstLine="480"/>
        <w:rPr>
          <w:color w:val="000000"/>
          <w:kern w:val="0"/>
        </w:rPr>
      </w:pPr>
      <w:r>
        <w:rPr>
          <w:rFonts w:hint="eastAsia"/>
          <w:color w:val="000000"/>
          <w:kern w:val="0"/>
        </w:rPr>
        <w:t>优先选用低噪声设备，对高噪声设备采取隔声降噪措施，</w:t>
      </w:r>
      <w:r>
        <w:rPr>
          <w:rFonts w:hint="eastAsia"/>
          <w:color w:val="000000"/>
          <w:kern w:val="0"/>
          <w:lang w:eastAsia="zh-CN"/>
        </w:rPr>
        <w:t>采取减震、镉声等措施，</w:t>
      </w:r>
      <w:r>
        <w:rPr>
          <w:rFonts w:hint="eastAsia"/>
          <w:color w:val="000000"/>
          <w:kern w:val="0"/>
        </w:rPr>
        <w:t>确保厂界噪声达标。</w:t>
      </w:r>
    </w:p>
    <w:p>
      <w:pPr>
        <w:ind w:firstLine="480"/>
        <w:rPr>
          <w:rFonts w:hint="eastAsia"/>
          <w:color w:val="000000"/>
          <w:kern w:val="0"/>
        </w:rPr>
      </w:pPr>
      <w:r>
        <w:rPr>
          <w:rFonts w:hint="eastAsia"/>
          <w:color w:val="000000"/>
          <w:kern w:val="0"/>
        </w:rPr>
        <w:t>（4）固废污染防治措施</w:t>
      </w:r>
      <w:bookmarkEnd w:id="326"/>
      <w:bookmarkEnd w:id="327"/>
      <w:bookmarkEnd w:id="328"/>
      <w:bookmarkEnd w:id="329"/>
    </w:p>
    <w:p>
      <w:pPr>
        <w:keepNext w:val="0"/>
        <w:keepLines w:val="0"/>
        <w:pageBreakBefore w:val="0"/>
        <w:widowControl/>
        <w:kinsoku/>
        <w:wordWrap w:val="0"/>
        <w:overflowPunct/>
        <w:topLinePunct w:val="0"/>
        <w:autoSpaceDE/>
        <w:autoSpaceDN/>
        <w:bidi w:val="0"/>
        <w:adjustRightInd/>
        <w:snapToGrid/>
        <w:ind w:firstLine="480"/>
        <w:textAlignment w:val="auto"/>
        <w:rPr>
          <w:color w:val="000000"/>
          <w:kern w:val="0"/>
        </w:rPr>
      </w:pPr>
      <w:r>
        <w:rPr>
          <w:rFonts w:hint="eastAsia"/>
          <w:color w:val="000000"/>
          <w:kern w:val="0"/>
          <w:lang w:val="en-US" w:eastAsia="zh-CN"/>
        </w:rPr>
        <w:t>所有固废应做到及时清运，减少场内贮存时间，格栅渣、沉沙应进行危险特性鉴别。如为危险废物，运营单位应按照危险废物要求进行管理，并委托具有相应资质单位进行安全处置；如鉴别属于一般固废，运至吉首市垃圾焚烧厂进行焚烧。一般工业固体废物和危险废物暂存库的设计、建设和运行必须严格执行《一般工业固体废物贮存、处置场污染控制标准》（GB18599-2001）、《危险废物贮存污染控制标准》</w:t>
      </w:r>
      <w:r>
        <w:rPr>
          <w:rFonts w:hint="eastAsia"/>
          <w:color w:val="000000"/>
          <w:kern w:val="0"/>
        </w:rPr>
        <w:t>（GB18579-2001）及2013年修改单中相关要求。</w:t>
      </w:r>
    </w:p>
    <w:p>
      <w:pPr>
        <w:keepNext w:val="0"/>
        <w:keepLines w:val="0"/>
        <w:pageBreakBefore w:val="0"/>
        <w:widowControl/>
        <w:kinsoku/>
        <w:wordWrap w:val="0"/>
        <w:overflowPunct/>
        <w:topLinePunct w:val="0"/>
        <w:autoSpaceDE/>
        <w:autoSpaceDN/>
        <w:bidi w:val="0"/>
        <w:adjustRightInd/>
        <w:snapToGrid/>
        <w:ind w:firstLine="480"/>
        <w:textAlignment w:val="auto"/>
        <w:rPr>
          <w:rFonts w:hint="eastAsia"/>
          <w:color w:val="000000"/>
          <w:kern w:val="0"/>
          <w:lang w:val="en-US" w:eastAsia="zh-CN"/>
        </w:rPr>
      </w:pPr>
      <w:r>
        <w:rPr>
          <w:rFonts w:hint="eastAsia"/>
          <w:color w:val="000000"/>
          <w:kern w:val="0"/>
          <w:lang w:val="en-US" w:eastAsia="zh-CN"/>
        </w:rPr>
        <w:t>项目污泥属于危险废物，运营单位应按照危险废物要求进行管理，并委托具有相应资质单位进行安全处置。本项目污泥暂存在脱水机的斗曹内，不单独设置危废暂存间，运营期后运营方在具体关联需严格按照《危险废物贮存污染控制标准》（GB18579-2001）及2013年修改单中危险废物贮存设施选址与设计原则对其进行设计，危险废物的堆放、贮存设施的运行和管理以及安全防护与监测需达到《危险废物贮存污染控制标准》（GB18579-2001）及2013年修改单中的相关要求。建立固废及危废产生、收集、贮存、转运等运行管理台账，记录固体废物及危险废物产生量、收集量和转运量，明确转移处置去向和有资质的受委托处置利用单位。</w:t>
      </w:r>
    </w:p>
    <w:p>
      <w:pPr>
        <w:keepNext w:val="0"/>
        <w:keepLines w:val="0"/>
        <w:pageBreakBefore w:val="0"/>
        <w:widowControl/>
        <w:kinsoku/>
        <w:wordWrap w:val="0"/>
        <w:overflowPunct/>
        <w:topLinePunct w:val="0"/>
        <w:autoSpaceDE/>
        <w:autoSpaceDN/>
        <w:bidi w:val="0"/>
        <w:adjustRightInd/>
        <w:snapToGrid/>
        <w:ind w:firstLine="480"/>
        <w:textAlignment w:val="auto"/>
        <w:rPr>
          <w:rFonts w:hint="eastAsia"/>
          <w:color w:val="000000"/>
          <w:kern w:val="0"/>
          <w:lang w:val="en-US" w:eastAsia="zh-CN"/>
        </w:rPr>
      </w:pPr>
      <w:r>
        <w:rPr>
          <w:rFonts w:hint="eastAsia"/>
          <w:color w:val="000000"/>
          <w:kern w:val="0"/>
          <w:lang w:val="en-US" w:eastAsia="zh-CN"/>
        </w:rPr>
        <w:t>员工生活固废属于一般固废，统一由环卫部门统一处理。</w:t>
      </w:r>
    </w:p>
    <w:p>
      <w:pPr>
        <w:pStyle w:val="2"/>
        <w:numPr>
          <w:ilvl w:val="0"/>
          <w:numId w:val="4"/>
        </w:numPr>
        <w:rPr>
          <w:rFonts w:hint="default" w:ascii="Times New Roman" w:hAnsi="Times New Roman" w:cs="Times New Roman"/>
          <w:color w:val="000000"/>
          <w:kern w:val="0"/>
          <w:lang w:val="en-US" w:eastAsia="zh-CN"/>
        </w:rPr>
      </w:pPr>
      <w:r>
        <w:rPr>
          <w:rFonts w:hint="default" w:ascii="Times New Roman" w:hAnsi="Times New Roman" w:cs="Times New Roman"/>
          <w:color w:val="000000"/>
          <w:kern w:val="0"/>
          <w:lang w:val="en-US" w:eastAsia="zh-CN"/>
        </w:rPr>
        <w:t>其他</w:t>
      </w:r>
      <w:r>
        <w:rPr>
          <w:rFonts w:hint="eastAsia" w:ascii="Times New Roman" w:hAnsi="Times New Roman" w:cs="Times New Roman"/>
          <w:color w:val="000000"/>
          <w:kern w:val="0"/>
          <w:lang w:val="en-US" w:eastAsia="zh-CN"/>
        </w:rPr>
        <w:t>环境</w:t>
      </w:r>
      <w:r>
        <w:rPr>
          <w:rFonts w:hint="default" w:ascii="Times New Roman" w:hAnsi="Times New Roman" w:cs="Times New Roman"/>
          <w:color w:val="000000"/>
          <w:kern w:val="0"/>
          <w:lang w:val="en-US" w:eastAsia="zh-CN"/>
        </w:rPr>
        <w:t>管理措施</w:t>
      </w:r>
    </w:p>
    <w:p>
      <w:pPr>
        <w:wordWrap w:val="0"/>
        <w:topLinePunct/>
        <w:adjustRightInd w:val="0"/>
        <w:snapToGrid w:val="0"/>
        <w:ind w:firstLine="480"/>
        <w:jc w:val="both"/>
        <w:rPr>
          <w:rFonts w:hint="eastAsia"/>
          <w:color w:val="000000"/>
          <w:u w:val="none"/>
        </w:rPr>
      </w:pPr>
      <w:r>
        <w:rPr>
          <w:rFonts w:hint="eastAsia" w:ascii="宋体" w:hAnsi="宋体" w:eastAsia="宋体" w:cs="宋体"/>
          <w:color w:val="000000"/>
          <w:u w:val="none"/>
        </w:rPr>
        <w:t>①</w:t>
      </w:r>
      <w:r>
        <w:rPr>
          <w:rFonts w:hint="eastAsia"/>
          <w:color w:val="000000"/>
          <w:u w:val="none"/>
          <w:lang w:val="en-US" w:eastAsia="zh-CN"/>
        </w:rPr>
        <w:t>根据《固定污染源排污许可分类管理名录》（2019年版），本项目属于污水处理及其再生利用中的工业废水集中处理场所，属于重点管理，应按规定</w:t>
      </w:r>
      <w:r>
        <w:rPr>
          <w:rFonts w:hint="eastAsia"/>
          <w:color w:val="000000"/>
          <w:u w:val="none"/>
          <w:lang w:eastAsia="zh-CN"/>
        </w:rPr>
        <w:t>申请办理排污许可证相关手续</w:t>
      </w:r>
      <w:r>
        <w:rPr>
          <w:rFonts w:hint="eastAsia"/>
          <w:color w:val="000000"/>
          <w:u w:val="none"/>
        </w:rPr>
        <w:t>。</w:t>
      </w:r>
    </w:p>
    <w:p>
      <w:pPr>
        <w:wordWrap w:val="0"/>
        <w:topLinePunct/>
        <w:adjustRightInd w:val="0"/>
        <w:snapToGrid w:val="0"/>
        <w:ind w:firstLine="480"/>
        <w:jc w:val="both"/>
        <w:rPr>
          <w:rFonts w:hint="eastAsia"/>
          <w:color w:val="000000"/>
          <w:u w:val="none"/>
        </w:rPr>
      </w:pPr>
      <w:r>
        <w:rPr>
          <w:rFonts w:hint="eastAsia" w:ascii="宋体" w:hAnsi="宋体" w:eastAsia="宋体" w:cs="宋体"/>
          <w:color w:val="000000"/>
          <w:u w:val="none"/>
        </w:rPr>
        <w:t>②</w:t>
      </w:r>
      <w:r>
        <w:rPr>
          <w:rFonts w:hint="eastAsia"/>
          <w:color w:val="000000"/>
          <w:u w:val="none"/>
        </w:rPr>
        <w:t>按照排污许可证规定的项目、频次和有关标准规范开展自行监测(包括在线监测、手工监测)，按要求公开自行监测信息。保存原始监测记录，保存期限不得少于5年。</w:t>
      </w:r>
    </w:p>
    <w:p>
      <w:pPr>
        <w:wordWrap w:val="0"/>
        <w:topLinePunct/>
        <w:adjustRightInd w:val="0"/>
        <w:snapToGrid w:val="0"/>
        <w:ind w:firstLine="480"/>
        <w:jc w:val="both"/>
        <w:rPr>
          <w:rFonts w:hint="eastAsia"/>
          <w:color w:val="000000"/>
          <w:u w:val="none"/>
        </w:rPr>
      </w:pPr>
      <w:r>
        <w:rPr>
          <w:rFonts w:hint="eastAsia" w:ascii="宋体" w:hAnsi="宋体" w:eastAsia="宋体" w:cs="宋体"/>
          <w:color w:val="000000"/>
          <w:u w:val="none"/>
        </w:rPr>
        <w:t>②</w:t>
      </w:r>
      <w:r>
        <w:rPr>
          <w:rFonts w:hint="eastAsia"/>
          <w:color w:val="000000"/>
          <w:u w:val="none"/>
        </w:rPr>
        <w:t>建立环境管理台账制度，落实环境管理台账记录的责任部门和责任人。按排污许可证要求的记录频次和内容，真实记录生产设施运行管理信息、污染防治设施运行管理信息、非正常工况及污染防治设施异常情况记录信息、监测记录信息、其他环境管理信息。</w:t>
      </w:r>
    </w:p>
    <w:p>
      <w:pPr>
        <w:wordWrap w:val="0"/>
        <w:topLinePunct/>
        <w:adjustRightInd w:val="0"/>
        <w:snapToGrid w:val="0"/>
        <w:ind w:firstLine="480"/>
        <w:jc w:val="both"/>
        <w:rPr>
          <w:rFonts w:hint="eastAsia" w:eastAsia="宋体"/>
          <w:color w:val="000000"/>
          <w:u w:val="none"/>
          <w:lang w:eastAsia="zh-CN"/>
        </w:rPr>
      </w:pPr>
      <w:r>
        <w:rPr>
          <w:rFonts w:hint="eastAsia" w:ascii="宋体" w:hAnsi="宋体" w:eastAsia="宋体" w:cs="宋体"/>
          <w:color w:val="000000"/>
          <w:u w:val="none"/>
        </w:rPr>
        <w:t>④</w:t>
      </w:r>
      <w:r>
        <w:rPr>
          <w:rFonts w:hint="eastAsia"/>
          <w:color w:val="000000"/>
          <w:u w:val="none"/>
        </w:rPr>
        <w:t>按规定内容编制排污许可证执行报告(年度、季度)，按规定时间在统一的平台提交执行报告，自觉接受生态环境</w:t>
      </w:r>
      <w:r>
        <w:rPr>
          <w:rFonts w:hint="eastAsia"/>
          <w:color w:val="000000"/>
          <w:u w:val="none"/>
          <w:lang w:eastAsia="zh-CN"/>
        </w:rPr>
        <w:t>部门监管和社会公众监督。</w:t>
      </w:r>
    </w:p>
    <w:p>
      <w:pPr>
        <w:pStyle w:val="86"/>
        <w:spacing w:before="163" w:after="163"/>
      </w:pPr>
      <w:bookmarkStart w:id="330" w:name="_Toc1322"/>
      <w:r>
        <w:rPr>
          <w:rFonts w:hint="eastAsia"/>
        </w:rPr>
        <w:t>8</w:t>
      </w:r>
      <w:r>
        <w:t>.6</w:t>
      </w:r>
      <w:r>
        <w:rPr>
          <w:rFonts w:hint="eastAsia"/>
        </w:rPr>
        <w:t>项目环境制约因素及解决办法</w:t>
      </w:r>
      <w:bookmarkEnd w:id="330"/>
    </w:p>
    <w:p>
      <w:pPr>
        <w:keepNext w:val="0"/>
        <w:keepLines w:val="0"/>
        <w:pageBreakBefore w:val="0"/>
        <w:widowControl/>
        <w:kinsoku/>
        <w:wordWrap w:val="0"/>
        <w:overflowPunct/>
        <w:topLinePunct w:val="0"/>
        <w:autoSpaceDE/>
        <w:autoSpaceDN/>
        <w:bidi w:val="0"/>
        <w:adjustRightInd/>
        <w:snapToGrid/>
        <w:ind w:firstLine="480"/>
        <w:textAlignment w:val="auto"/>
        <w:rPr>
          <w:rFonts w:hint="eastAsia"/>
          <w:color w:val="000000"/>
          <w:kern w:val="0"/>
          <w:lang w:val="en-US" w:eastAsia="zh-CN"/>
        </w:rPr>
      </w:pPr>
      <w:r>
        <w:rPr>
          <w:rFonts w:hint="eastAsia"/>
          <w:color w:val="000000"/>
          <w:kern w:val="0"/>
          <w:lang w:val="en-US" w:eastAsia="zh-CN"/>
        </w:rPr>
        <w:t>本项目无环境制约因素。</w:t>
      </w:r>
    </w:p>
    <w:p>
      <w:pPr>
        <w:pStyle w:val="86"/>
        <w:widowControl w:val="0"/>
        <w:spacing w:before="163" w:after="163"/>
        <w:rPr>
          <w:rFonts w:hint="eastAsia"/>
          <w:color w:val="000000"/>
          <w:kern w:val="0"/>
        </w:rPr>
      </w:pPr>
      <w:bookmarkStart w:id="331" w:name="_Toc29308692"/>
      <w:bookmarkStart w:id="332" w:name="_Toc4466"/>
      <w:r>
        <w:rPr>
          <w:color w:val="000000"/>
          <w:kern w:val="0"/>
        </w:rPr>
        <w:t>8</w:t>
      </w:r>
      <w:r>
        <w:rPr>
          <w:rFonts w:hint="eastAsia"/>
          <w:color w:val="000000"/>
          <w:kern w:val="0"/>
        </w:rPr>
        <w:t>.</w:t>
      </w:r>
      <w:r>
        <w:rPr>
          <w:color w:val="000000"/>
          <w:kern w:val="0"/>
        </w:rPr>
        <w:t>7</w:t>
      </w:r>
      <w:r>
        <w:rPr>
          <w:rFonts w:hint="eastAsia"/>
          <w:color w:val="000000"/>
          <w:kern w:val="0"/>
        </w:rPr>
        <w:t xml:space="preserve"> 环境监测计划</w:t>
      </w:r>
      <w:bookmarkEnd w:id="331"/>
      <w:bookmarkEnd w:id="332"/>
    </w:p>
    <w:p>
      <w:pPr>
        <w:widowControl w:val="0"/>
        <w:ind w:firstLine="480"/>
        <w:rPr>
          <w:rFonts w:hint="eastAsia"/>
          <w:color w:val="000000"/>
          <w:kern w:val="0"/>
        </w:rPr>
      </w:pPr>
      <w:r>
        <w:rPr>
          <w:rFonts w:hint="eastAsia"/>
          <w:color w:val="000000"/>
          <w:kern w:val="0"/>
        </w:rPr>
        <w:t>根据项目环境影响预测、分析，</w:t>
      </w:r>
      <w:r>
        <w:rPr>
          <w:color w:val="000000"/>
          <w:kern w:val="0"/>
        </w:rPr>
        <w:t>营运期主要对企业入管污水水质，处理后污水排放口水质进行日常常规检测。</w:t>
      </w:r>
    </w:p>
    <w:p>
      <w:pPr>
        <w:widowControl w:val="0"/>
        <w:ind w:firstLine="480"/>
        <w:rPr>
          <w:color w:val="000000"/>
          <w:kern w:val="0"/>
        </w:rPr>
      </w:pPr>
      <w:r>
        <w:rPr>
          <w:color w:val="000000"/>
          <w:kern w:val="0"/>
        </w:rPr>
        <w:t>为了使地方环保管理部门对污水处理</w:t>
      </w:r>
      <w:r>
        <w:rPr>
          <w:rFonts w:hint="eastAsia"/>
          <w:color w:val="000000"/>
          <w:kern w:val="0"/>
          <w:lang w:eastAsia="zh-CN"/>
        </w:rPr>
        <w:t>站</w:t>
      </w:r>
      <w:r>
        <w:rPr>
          <w:color w:val="000000"/>
          <w:kern w:val="0"/>
        </w:rPr>
        <w:t>运行的管理，要求在排污口设置在线监测装置，监测因子包括流量、</w:t>
      </w:r>
      <w:r>
        <w:rPr>
          <w:rFonts w:hint="eastAsia"/>
          <w:color w:val="000000"/>
          <w:kern w:val="0"/>
          <w:lang w:eastAsia="zh-CN"/>
        </w:rPr>
        <w:t>锰、锌、总钒、六价铬</w:t>
      </w:r>
      <w:r>
        <w:rPr>
          <w:color w:val="000000"/>
          <w:kern w:val="0"/>
        </w:rPr>
        <w:t>等。在线监测装置的终端和</w:t>
      </w:r>
      <w:r>
        <w:rPr>
          <w:rFonts w:hint="eastAsia"/>
          <w:color w:val="000000"/>
          <w:kern w:val="0"/>
        </w:rPr>
        <w:t>环保部门</w:t>
      </w:r>
      <w:r>
        <w:rPr>
          <w:color w:val="000000"/>
          <w:kern w:val="0"/>
        </w:rPr>
        <w:t>电脑监控装置相连接。确保当地环保管理部门对污水处理</w:t>
      </w:r>
      <w:r>
        <w:rPr>
          <w:rFonts w:hint="eastAsia"/>
          <w:color w:val="000000"/>
          <w:kern w:val="0"/>
          <w:lang w:eastAsia="zh-CN"/>
        </w:rPr>
        <w:t>站</w:t>
      </w:r>
      <w:r>
        <w:rPr>
          <w:color w:val="000000"/>
          <w:kern w:val="0"/>
        </w:rPr>
        <w:t>正常运转的管理。</w:t>
      </w:r>
    </w:p>
    <w:p>
      <w:pPr>
        <w:pStyle w:val="86"/>
        <w:widowControl w:val="0"/>
        <w:spacing w:before="163" w:after="163"/>
        <w:rPr>
          <w:color w:val="000000"/>
        </w:rPr>
      </w:pPr>
      <w:bookmarkStart w:id="333" w:name="_Toc16920"/>
      <w:bookmarkStart w:id="334" w:name="_Toc29308693"/>
      <w:bookmarkStart w:id="335" w:name="_Toc30063"/>
      <w:bookmarkStart w:id="336" w:name="_Toc22965"/>
      <w:r>
        <w:rPr>
          <w:color w:val="000000"/>
        </w:rPr>
        <w:t>8.8公众参与调查结论</w:t>
      </w:r>
      <w:bookmarkEnd w:id="333"/>
      <w:bookmarkEnd w:id="334"/>
      <w:bookmarkEnd w:id="335"/>
      <w:bookmarkEnd w:id="336"/>
    </w:p>
    <w:p>
      <w:pPr>
        <w:widowControl w:val="0"/>
        <w:adjustRightInd w:val="0"/>
        <w:snapToGrid w:val="0"/>
        <w:ind w:firstLine="480" w:firstLineChars="0"/>
        <w:jc w:val="both"/>
        <w:rPr>
          <w:color w:val="000000"/>
        </w:rPr>
      </w:pPr>
      <w:r>
        <w:t>项目</w:t>
      </w:r>
      <w:r>
        <w:rPr>
          <w:bCs/>
          <w:color w:val="000000"/>
        </w:rPr>
        <w:t>第一次公示</w:t>
      </w:r>
      <w:r>
        <w:rPr>
          <w:color w:val="000000"/>
        </w:rPr>
        <w:t>于202</w:t>
      </w:r>
      <w:r>
        <w:rPr>
          <w:rFonts w:hint="eastAsia"/>
          <w:color w:val="000000"/>
          <w:lang w:val="en-US" w:eastAsia="zh-CN"/>
        </w:rPr>
        <w:t>2</w:t>
      </w:r>
      <w:r>
        <w:rPr>
          <w:color w:val="000000"/>
        </w:rPr>
        <w:t>年</w:t>
      </w:r>
      <w:r>
        <w:rPr>
          <w:rFonts w:hint="eastAsia"/>
          <w:color w:val="000000"/>
          <w:lang w:val="en-US" w:eastAsia="zh-CN"/>
        </w:rPr>
        <w:t>3</w:t>
      </w:r>
      <w:r>
        <w:rPr>
          <w:color w:val="000000"/>
        </w:rPr>
        <w:t>月</w:t>
      </w:r>
      <w:r>
        <w:rPr>
          <w:rFonts w:hint="eastAsia"/>
          <w:color w:val="000000"/>
          <w:lang w:val="en-US" w:eastAsia="zh-CN"/>
        </w:rPr>
        <w:t>28</w:t>
      </w:r>
      <w:r>
        <w:rPr>
          <w:color w:val="000000"/>
        </w:rPr>
        <w:t>日在</w:t>
      </w:r>
      <w:r>
        <w:rPr>
          <w:rFonts w:hint="eastAsia"/>
          <w:color w:val="000000"/>
        </w:rPr>
        <w:t>长沙博大环保科技有限公司</w:t>
      </w:r>
      <w:r>
        <w:rPr>
          <w:color w:val="000000"/>
        </w:rPr>
        <w:t>网站进行网络公示；本项目征求意见稿公示于202</w:t>
      </w:r>
      <w:r>
        <w:rPr>
          <w:rFonts w:hint="eastAsia"/>
          <w:color w:val="000000"/>
          <w:lang w:val="en-US" w:eastAsia="zh-CN"/>
        </w:rPr>
        <w:t>2</w:t>
      </w:r>
      <w:r>
        <w:rPr>
          <w:color w:val="000000"/>
        </w:rPr>
        <w:t>年</w:t>
      </w:r>
      <w:r>
        <w:rPr>
          <w:rFonts w:hint="eastAsia"/>
          <w:color w:val="000000"/>
          <w:lang w:val="en-US" w:eastAsia="zh-CN"/>
        </w:rPr>
        <w:t>5</w:t>
      </w:r>
      <w:r>
        <w:rPr>
          <w:color w:val="000000"/>
        </w:rPr>
        <w:t>月</w:t>
      </w:r>
      <w:r>
        <w:rPr>
          <w:rFonts w:hint="eastAsia"/>
          <w:color w:val="000000"/>
          <w:lang w:val="en-US" w:eastAsia="zh-CN"/>
        </w:rPr>
        <w:t>20</w:t>
      </w:r>
      <w:r>
        <w:rPr>
          <w:color w:val="000000"/>
        </w:rPr>
        <w:t>日在</w:t>
      </w:r>
      <w:r>
        <w:rPr>
          <w:rFonts w:hint="eastAsia"/>
          <w:color w:val="000000"/>
        </w:rPr>
        <w:t>长沙博大环保科技有限公司</w:t>
      </w:r>
      <w:r>
        <w:rPr>
          <w:color w:val="000000"/>
        </w:rPr>
        <w:t>网站进行网络公示，同时在征求意见稿公示的十个工作日内在吉首市《团结报》对本项目环境影响评价信息进行了登报公示，项目公众参与一次公示、征求意见稿公示期间均未收到公众以电话、信件或电子邮件等任何形式发回的反馈意见。</w:t>
      </w:r>
    </w:p>
    <w:p>
      <w:pPr>
        <w:widowControl w:val="0"/>
        <w:adjustRightInd w:val="0"/>
        <w:snapToGrid w:val="0"/>
        <w:ind w:firstLine="480" w:firstLineChars="0"/>
        <w:jc w:val="both"/>
        <w:rPr>
          <w:color w:val="000000"/>
        </w:rPr>
      </w:pPr>
      <w:r>
        <w:rPr>
          <w:color w:val="000000"/>
        </w:rPr>
        <w:t>在建设过程中，建设单位要妥善处理施工期产生的环境问题，在运营期加强防范管理，确保项目运营期噪声、废气排放能够达到相关标准后做到达标排放，废水不外排，同时对产生的固废妥善处置，将项目对环境的污染尽可能的降至最低程度。</w:t>
      </w:r>
    </w:p>
    <w:p>
      <w:pPr>
        <w:pStyle w:val="86"/>
        <w:widowControl w:val="0"/>
        <w:spacing w:before="163" w:after="163"/>
        <w:rPr>
          <w:rFonts w:hint="eastAsia"/>
          <w:color w:val="000000"/>
          <w:kern w:val="0"/>
        </w:rPr>
      </w:pPr>
      <w:bookmarkStart w:id="337" w:name="_Toc7303"/>
      <w:bookmarkStart w:id="338" w:name="_Toc29308694"/>
      <w:r>
        <w:rPr>
          <w:color w:val="000000"/>
          <w:kern w:val="0"/>
        </w:rPr>
        <w:t>8.9</w:t>
      </w:r>
      <w:r>
        <w:rPr>
          <w:rFonts w:hint="eastAsia"/>
          <w:color w:val="000000"/>
          <w:kern w:val="0"/>
        </w:rPr>
        <w:t>环评总结论</w:t>
      </w:r>
      <w:bookmarkEnd w:id="337"/>
      <w:bookmarkEnd w:id="338"/>
    </w:p>
    <w:p>
      <w:pPr>
        <w:widowControl w:val="0"/>
        <w:ind w:firstLine="480"/>
        <w:rPr>
          <w:b/>
          <w:color w:val="000000"/>
          <w:kern w:val="0"/>
        </w:rPr>
      </w:pPr>
      <w:r>
        <w:rPr>
          <w:color w:val="000000"/>
          <w:kern w:val="0"/>
        </w:rPr>
        <w:t>本工程的建设符合区域规划的要求，选址合理，选用的工艺成熟可靠、安全有效，能够达到预期的处理效果，出水水质符合</w:t>
      </w:r>
      <w:r>
        <w:rPr>
          <w:rFonts w:hint="eastAsia"/>
          <w:color w:val="000000"/>
          <w:kern w:val="0"/>
        </w:rPr>
        <w:t>《钒工业污染物排放标准》（GB26452-2001）</w:t>
      </w:r>
      <w:r>
        <w:rPr>
          <w:rFonts w:hint="eastAsia"/>
          <w:color w:val="000000"/>
          <w:kern w:val="0"/>
          <w:lang w:eastAsia="zh-CN"/>
        </w:rPr>
        <w:t>表</w:t>
      </w:r>
      <w:r>
        <w:rPr>
          <w:rFonts w:hint="eastAsia"/>
          <w:color w:val="000000"/>
          <w:kern w:val="0"/>
          <w:lang w:val="en-US" w:eastAsia="zh-CN"/>
        </w:rPr>
        <w:t>2标准限值</w:t>
      </w:r>
      <w:r>
        <w:rPr>
          <w:rFonts w:hint="eastAsia"/>
          <w:color w:val="000000"/>
          <w:kern w:val="0"/>
        </w:rPr>
        <w:t>，其他污染物指标达到《城镇污水处理厂污染物排放标准》（GB18918-2002）表2、表3中标准限值</w:t>
      </w:r>
      <w:r>
        <w:rPr>
          <w:color w:val="000000"/>
          <w:kern w:val="0"/>
        </w:rPr>
        <w:t>。处理过程中产生的二次污染经采取措施后能得到有效控制，对周边环境造成不利影响可以承受。工程建设具有显著的环境效益和社会效益，得到了公众的支持，在严格落实本报告提出的环保措施要求的前提下，从环境的角度看该工程建设是可行的。</w:t>
      </w:r>
    </w:p>
    <w:p>
      <w:pPr>
        <w:pStyle w:val="86"/>
        <w:widowControl w:val="0"/>
        <w:spacing w:before="163" w:after="163"/>
        <w:rPr>
          <w:rFonts w:hint="eastAsia"/>
          <w:color w:val="000000"/>
          <w:kern w:val="0"/>
        </w:rPr>
      </w:pPr>
      <w:bookmarkStart w:id="339" w:name="_Toc6252"/>
      <w:bookmarkStart w:id="340" w:name="_Toc29308695"/>
      <w:r>
        <w:rPr>
          <w:color w:val="000000"/>
          <w:kern w:val="0"/>
        </w:rPr>
        <w:t>8</w:t>
      </w:r>
      <w:r>
        <w:rPr>
          <w:rFonts w:hint="eastAsia"/>
          <w:color w:val="000000"/>
          <w:kern w:val="0"/>
        </w:rPr>
        <w:t>.</w:t>
      </w:r>
      <w:r>
        <w:rPr>
          <w:color w:val="000000"/>
          <w:kern w:val="0"/>
        </w:rPr>
        <w:t>10</w:t>
      </w:r>
      <w:r>
        <w:rPr>
          <w:rFonts w:hint="eastAsia"/>
          <w:color w:val="000000"/>
          <w:kern w:val="0"/>
        </w:rPr>
        <w:t xml:space="preserve"> 建议</w:t>
      </w:r>
      <w:bookmarkEnd w:id="339"/>
      <w:bookmarkEnd w:id="340"/>
    </w:p>
    <w:p>
      <w:pPr>
        <w:widowControl w:val="0"/>
        <w:ind w:firstLine="480"/>
        <w:rPr>
          <w:rFonts w:hint="eastAsia"/>
          <w:color w:val="000000"/>
          <w:kern w:val="0"/>
        </w:rPr>
      </w:pPr>
      <w:r>
        <w:rPr>
          <w:rFonts w:hint="eastAsia"/>
          <w:color w:val="000000"/>
          <w:kern w:val="0"/>
        </w:rPr>
        <w:t>（1）为保证污水处理</w:t>
      </w:r>
      <w:r>
        <w:rPr>
          <w:rFonts w:hint="eastAsia"/>
          <w:color w:val="000000"/>
          <w:kern w:val="0"/>
          <w:lang w:eastAsia="zh-CN"/>
        </w:rPr>
        <w:t>站</w:t>
      </w:r>
      <w:r>
        <w:rPr>
          <w:rFonts w:hint="eastAsia"/>
          <w:color w:val="000000"/>
          <w:kern w:val="0"/>
        </w:rPr>
        <w:t>的正常运行，应严格控制进入污水处理</w:t>
      </w:r>
      <w:r>
        <w:rPr>
          <w:rFonts w:hint="eastAsia"/>
          <w:color w:val="000000"/>
          <w:kern w:val="0"/>
          <w:lang w:eastAsia="zh-CN"/>
        </w:rPr>
        <w:t>站</w:t>
      </w:r>
      <w:r>
        <w:rPr>
          <w:rFonts w:hint="eastAsia"/>
          <w:color w:val="000000"/>
          <w:kern w:val="0"/>
        </w:rPr>
        <w:t>的工业废水水质，切实落实好工业废水的接管标准，加强管理确保入驻企业的污水预处理设施的正常运行，以保证进入污水处理</w:t>
      </w:r>
      <w:r>
        <w:rPr>
          <w:rFonts w:hint="eastAsia"/>
          <w:color w:val="000000"/>
          <w:kern w:val="0"/>
          <w:lang w:eastAsia="zh-CN"/>
        </w:rPr>
        <w:t>站</w:t>
      </w:r>
      <w:r>
        <w:rPr>
          <w:rFonts w:hint="eastAsia"/>
          <w:color w:val="000000"/>
          <w:kern w:val="0"/>
        </w:rPr>
        <w:t>的水质满足设计水质要求，杜绝不经妥善有效处理直接排放现象的出现，加强防范和采取应急措施，预防污水处理</w:t>
      </w:r>
      <w:r>
        <w:rPr>
          <w:rFonts w:hint="eastAsia"/>
          <w:color w:val="000000"/>
          <w:kern w:val="0"/>
          <w:lang w:eastAsia="zh-CN"/>
        </w:rPr>
        <w:t>站</w:t>
      </w:r>
      <w:r>
        <w:rPr>
          <w:rFonts w:hint="eastAsia"/>
          <w:color w:val="000000"/>
          <w:kern w:val="0"/>
        </w:rPr>
        <w:t>事故的发生。</w:t>
      </w:r>
    </w:p>
    <w:p>
      <w:pPr>
        <w:widowControl w:val="0"/>
        <w:ind w:firstLine="480"/>
        <w:rPr>
          <w:rFonts w:hint="eastAsia"/>
          <w:color w:val="000000"/>
          <w:kern w:val="0"/>
        </w:rPr>
      </w:pPr>
      <w:r>
        <w:rPr>
          <w:rFonts w:hint="eastAsia"/>
          <w:color w:val="000000"/>
          <w:kern w:val="0"/>
        </w:rPr>
        <w:t>（2）厂界进行立体绿化，合理布置厂区设施位置，污水管道设计流量足够大，沉砂池或格栅井截留的固体废物及时清理，以减小项目产生的恶臭污染。</w:t>
      </w:r>
    </w:p>
    <w:p>
      <w:pPr>
        <w:widowControl w:val="0"/>
        <w:ind w:firstLine="480"/>
        <w:rPr>
          <w:rFonts w:hint="eastAsia"/>
          <w:color w:val="000000"/>
          <w:kern w:val="0"/>
        </w:rPr>
      </w:pPr>
      <w:r>
        <w:rPr>
          <w:rFonts w:hint="eastAsia"/>
          <w:color w:val="000000"/>
          <w:kern w:val="0"/>
        </w:rPr>
        <w:t>（3）加强污水处理</w:t>
      </w:r>
      <w:r>
        <w:rPr>
          <w:rFonts w:hint="eastAsia"/>
          <w:color w:val="000000"/>
          <w:kern w:val="0"/>
          <w:lang w:eastAsia="zh-CN"/>
        </w:rPr>
        <w:t>站</w:t>
      </w:r>
      <w:r>
        <w:rPr>
          <w:rFonts w:hint="eastAsia"/>
          <w:color w:val="000000"/>
          <w:kern w:val="0"/>
        </w:rPr>
        <w:t>的运行管理问题，包括厂内以及厂外两部分：对于污水处理</w:t>
      </w:r>
      <w:r>
        <w:rPr>
          <w:rFonts w:hint="eastAsia"/>
          <w:color w:val="000000"/>
          <w:kern w:val="0"/>
          <w:lang w:eastAsia="zh-CN"/>
        </w:rPr>
        <w:t>站</w:t>
      </w:r>
      <w:r>
        <w:rPr>
          <w:rFonts w:hint="eastAsia"/>
          <w:color w:val="000000"/>
          <w:kern w:val="0"/>
        </w:rPr>
        <w:t>内部管理，应加强水质的监测，根据水质水量变化及时调整污水处理各工段处理程序，保证处理出水达到要求，同时要确保整个系统的稳定、正常、合理运行；对于厂外运行管理，重点监控产业园内入驻企业的排水水质，防止水质突然出现突变从而影响污水处理</w:t>
      </w:r>
      <w:r>
        <w:rPr>
          <w:rFonts w:hint="eastAsia"/>
          <w:color w:val="000000"/>
          <w:kern w:val="0"/>
          <w:lang w:eastAsia="zh-CN"/>
        </w:rPr>
        <w:t>站</w:t>
      </w:r>
      <w:r>
        <w:rPr>
          <w:rFonts w:hint="eastAsia"/>
          <w:color w:val="000000"/>
          <w:kern w:val="0"/>
        </w:rPr>
        <w:t>的稳定，最大限度的发挥污水处理</w:t>
      </w:r>
      <w:r>
        <w:rPr>
          <w:rFonts w:hint="eastAsia"/>
          <w:color w:val="000000"/>
          <w:kern w:val="0"/>
          <w:lang w:eastAsia="zh-CN"/>
        </w:rPr>
        <w:t>站</w:t>
      </w:r>
      <w:r>
        <w:rPr>
          <w:rFonts w:hint="eastAsia"/>
          <w:color w:val="000000"/>
          <w:kern w:val="0"/>
        </w:rPr>
        <w:t>集中处理的规模效益。</w:t>
      </w:r>
    </w:p>
    <w:sectPr>
      <w:pgSz w:w="11906" w:h="16838"/>
      <w:pgMar w:top="1440" w:right="1800" w:bottom="1440" w:left="1800" w:header="851" w:footer="850" w:gutter="0"/>
      <w:pgBorders>
        <w:top w:val="none" w:sz="0" w:space="0"/>
        <w:left w:val="none" w:sz="0" w:space="0"/>
        <w:bottom w:val="none" w:sz="0" w:space="0"/>
        <w:right w:val="none" w:sz="0" w:space="0"/>
      </w:pgBorders>
      <w:pgNumType w:fmt="decimal"/>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1"/>
    <w:family w:val="auto"/>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Light">
    <w:altName w:val="华文仿宋"/>
    <w:panose1 w:val="02010600030101010101"/>
    <w:charset w:val="86"/>
    <w:family w:val="auto"/>
    <w:pitch w:val="default"/>
    <w:sig w:usb0="00000000" w:usb1="00000000" w:usb2="00000016" w:usb3="00000000" w:csb0="0004000F" w:csb1="00000000"/>
  </w:font>
  <w:font w:name="新宋体-18030">
    <w:altName w:val="方正书宋_GBK"/>
    <w:panose1 w:val="00000000000000000000"/>
    <w:charset w:val="00"/>
    <w:family w:val="auto"/>
    <w:pitch w:val="default"/>
    <w:sig w:usb0="00000000" w:usb1="00000000" w:usb2="00000000" w:usb3="00000000" w:csb0="00040001" w:csb1="00000000"/>
  </w:font>
  <w:font w:name="Verdana">
    <w:altName w:val="Ubuntu"/>
    <w:panose1 w:val="020B0604030504040204"/>
    <w:charset w:val="00"/>
    <w:family w:val="swiss"/>
    <w:pitch w:val="default"/>
    <w:sig w:usb0="00000000" w:usb1="00000000" w:usb2="00000010" w:usb3="00000000" w:csb0="2000019F" w:csb1="00000000"/>
  </w:font>
  <w:font w:name="新宋体">
    <w:altName w:val="方正书宋_GBK"/>
    <w:panose1 w:val="02010609030101010101"/>
    <w:charset w:val="86"/>
    <w:family w:val="auto"/>
    <w:pitch w:val="default"/>
    <w:sig w:usb0="00000000" w:usb1="00000000" w:usb2="00000006" w:usb3="00000000" w:csb0="00040001" w:csb1="00000000"/>
  </w:font>
  <w:font w:name="方正小标宋_GBK">
    <w:panose1 w:val="02000000000000000000"/>
    <w:charset w:val="86"/>
    <w:family w:val="script"/>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Batang">
    <w:altName w:val="Malgun Gothic"/>
    <w:panose1 w:val="02030600000101010101"/>
    <w:charset w:val="81"/>
    <w:family w:val="roman"/>
    <w:pitch w:val="default"/>
    <w:sig w:usb0="00000000" w:usb1="00000000" w:usb2="00000030" w:usb3="00000000" w:csb0="4008009F" w:csb1="DFD70000"/>
  </w:font>
  <w:font w:name="等线">
    <w:altName w:val="华文仿宋"/>
    <w:panose1 w:val="02010600030101010101"/>
    <w:charset w:val="86"/>
    <w:family w:val="auto"/>
    <w:pitch w:val="default"/>
    <w:sig w:usb0="00000000" w:usb1="00000000" w:usb2="00000016" w:usb3="00000000" w:csb0="0004000F" w:csb1="00000000"/>
  </w:font>
  <w:font w:name="Wingdings 2">
    <w:panose1 w:val="05020102010507070707"/>
    <w:charset w:val="02"/>
    <w:family w:val="roman"/>
    <w:pitch w:val="default"/>
    <w:sig w:usb0="00000000" w:usb1="00000000" w:usb2="00000000" w:usb3="00000000" w:csb0="80000000" w:csb1="00000000"/>
  </w:font>
  <w:font w:name="微软雅黑">
    <w:altName w:val="黑体"/>
    <w:panose1 w:val="020B0503020204020204"/>
    <w:charset w:val="86"/>
    <w:family w:val="auto"/>
    <w:pitch w:val="default"/>
    <w:sig w:usb0="00000000" w:usb1="00000000" w:usb2="00000016" w:usb3="00000000" w:csb0="0004001F" w:csb1="00000000"/>
  </w:font>
  <w:font w:name="TimesNewRomanPSMT">
    <w:altName w:val="Nimbus Roman No9 L"/>
    <w:panose1 w:val="00000000000000000000"/>
    <w:charset w:val="00"/>
    <w:family w:val="roman"/>
    <w:pitch w:val="default"/>
    <w:sig w:usb0="00000000" w:usb1="00000000" w:usb2="00000000" w:usb3="00000000" w:csb0="00040001"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华文仿宋">
    <w:panose1 w:val="02010600040101010101"/>
    <w:charset w:val="86"/>
    <w:family w:val="auto"/>
    <w:pitch w:val="default"/>
    <w:sig w:usb0="00000287" w:usb1="080F0000" w:usb2="00000000" w:usb3="00000000" w:csb0="0004009F" w:csb1="DFD70000"/>
  </w:font>
  <w:font w:name="方正宋体S-超大字符集">
    <w:panose1 w:val="02000000000000000000"/>
    <w:charset w:val="86"/>
    <w:family w:val="auto"/>
    <w:pitch w:val="default"/>
    <w:sig w:usb0="00000001" w:usb1="08000000" w:usb2="00000000" w:usb3="00000000" w:csb0="00040000" w:csb1="00000000"/>
  </w:font>
  <w:font w:name="Malgun Gothic">
    <w:panose1 w:val="020B0503020000020004"/>
    <w:charset w:val="81"/>
    <w:family w:val="auto"/>
    <w:pitch w:val="default"/>
    <w:sig w:usb0="900002AF" w:usb1="01D77CFB" w:usb2="00000012" w:usb3="00000000" w:csb0="00080001" w:csb1="00000000"/>
  </w:font>
  <w:font w:name="Ubuntu">
    <w:panose1 w:val="020B0604030602030204"/>
    <w:charset w:val="00"/>
    <w:family w:val="auto"/>
    <w:pitch w:val="default"/>
    <w:sig w:usb0="E00002FF" w:usb1="5000205B" w:usb2="00000000" w:usb3="00000000" w:csb0="2000009F" w:csb1="56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1"/>
      <w:rPr>
        <w:b/>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25"/>
                            <w:ind w:firstLine="360"/>
                            <w:jc w:val="center"/>
                          </w:pPr>
                          <w:r>
                            <w:fldChar w:fldCharType="begin"/>
                          </w:r>
                          <w:r>
                            <w:instrText xml:space="preserve"> PAGE   \* MERGEFORMAT </w:instrText>
                          </w:r>
                          <w:r>
                            <w:fldChar w:fldCharType="separate"/>
                          </w:r>
                          <w:r>
                            <w:rPr>
                              <w:lang w:val="zh-CN"/>
                            </w:rPr>
                            <w:t>203</w:t>
                          </w:r>
                          <w:r>
                            <w:fldChar w:fldCharType="end"/>
                          </w:r>
                        </w:p>
                      </w:txbxContent>
                    </wps:txbx>
                    <wps:bodyPr vert="horz" wrap="none" lIns="0" tIns="0" rIns="0" bIns="0" anchor="t" anchorCtr="false" upright="false">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WAAAAZHJzL1BLAQIUABQAAAAIAIdO4kDOqXm5zwAAAAUBAAAPAAAAAAAAAAEA&#10;IAAAADgAAABkcnMvZG93bnJldi54bWxQSwECFAAUAAAACACHTuJAAJ2v58kBAAB8AwAADgAAAAAA&#10;AAABACAAAAA0AQAAZHJzL2Uyb0RvYy54bWxQSwUGAAAAAAYABgBZAQAAbwUAAAAA&#10;">
              <v:fill on="f" focussize="0,0"/>
              <v:stroke on="f"/>
              <v:imagedata o:title=""/>
              <o:lock v:ext="edit" aspectratio="f"/>
              <v:textbox inset="0mm,0mm,0mm,0mm" style="mso-fit-shape-to-text:t;">
                <w:txbxContent>
                  <w:p>
                    <w:pPr>
                      <w:pStyle w:val="25"/>
                      <w:ind w:firstLine="360"/>
                      <w:jc w:val="center"/>
                    </w:pPr>
                    <w:r>
                      <w:fldChar w:fldCharType="begin"/>
                    </w:r>
                    <w:r>
                      <w:instrText xml:space="preserve"> PAGE   \* MERGEFORMAT </w:instrText>
                    </w:r>
                    <w:r>
                      <w:fldChar w:fldCharType="separate"/>
                    </w:r>
                    <w:r>
                      <w:rPr>
                        <w:lang w:val="zh-CN"/>
                      </w:rPr>
                      <w:t>203</w:t>
                    </w:r>
                    <w:r>
                      <w:fldChar w:fldCharType="end"/>
                    </w:r>
                  </w:p>
                </w:txbxContent>
              </v:textbox>
            </v:shape>
          </w:pict>
        </mc:Fallback>
      </mc:AlternateContent>
    </w:r>
  </w:p>
  <w:p>
    <w:pPr>
      <w:pStyle w:val="25"/>
      <w:tabs>
        <w:tab w:val="left" w:pos="4153"/>
        <w:tab w:val="clear" w:pos="8306"/>
      </w:tabs>
      <w:ind w:firstLine="361"/>
      <w:rPr>
        <w:b/>
      </w:rPr>
    </w:pPr>
    <w:r>
      <w:rPr>
        <w:rFonts w:hint="eastAsia"/>
        <w:b/>
      </w:rPr>
      <w:t>长沙博大环保科技有限公司</w:t>
    </w:r>
    <w:r>
      <w:rPr>
        <w: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w:fldChar w:fldCharType="begin"/>
    </w:r>
    <w:r>
      <w:instrText xml:space="preserve">PAGE   \* MERGEFORMAT</w:instrText>
    </w:r>
    <w:r>
      <w:fldChar w:fldCharType="separate"/>
    </w:r>
    <w:r>
      <w:rPr>
        <w:lang w:val="zh-CN"/>
      </w:rPr>
      <w:t>2</w:t>
    </w:r>
    <w:r>
      <w:fldChar w:fldCharType="end"/>
    </w:r>
  </w:p>
  <w:p>
    <w:pPr>
      <w:pStyle w:val="25"/>
      <w:ind w:firstLine="361"/>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25"/>
                            <w:ind w:firstLine="360"/>
                            <w:jc w:val="center"/>
                          </w:pPr>
                          <w:r>
                            <w:fldChar w:fldCharType="begin"/>
                          </w:r>
                          <w:r>
                            <w:instrText xml:space="preserve"> PAGE   \* MERGEFORMAT </w:instrText>
                          </w:r>
                          <w:r>
                            <w:fldChar w:fldCharType="separate"/>
                          </w:r>
                          <w:r>
                            <w:rPr>
                              <w:lang w:val="zh-CN"/>
                            </w:rPr>
                            <w:t>22</w:t>
                          </w:r>
                          <w:r>
                            <w:fldChar w:fldCharType="end"/>
                          </w:r>
                        </w:p>
                      </w:txbxContent>
                    </wps:txbx>
                    <wps:bodyPr vert="horz" wrap="none" lIns="0" tIns="0" rIns="0" bIns="0" anchor="t" anchorCtr="false" upright="false">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FgAAAGRycy9QSwECFAAUAAAACACHTuJAzql5uc8AAAAFAQAADwAAAAAAAAAB&#10;ACAAAAA4AAAAZHJzL2Rvd25yZXYueG1sUEsBAhQAFAAAAAgAh07iQFu1TQHKAQAAfAMAAA4AAAAA&#10;AAAAAQAgAAAANAEAAGRycy9lMm9Eb2MueG1sUEsFBgAAAAAGAAYAWQEAAHAFAAAAAA==&#10;">
              <v:fill on="f" focussize="0,0"/>
              <v:stroke on="f"/>
              <v:imagedata o:title=""/>
              <o:lock v:ext="edit" aspectratio="f"/>
              <v:textbox inset="0mm,0mm,0mm,0mm" style="mso-fit-shape-to-text:t;">
                <w:txbxContent>
                  <w:p>
                    <w:pPr>
                      <w:pStyle w:val="25"/>
                      <w:ind w:firstLine="360"/>
                      <w:jc w:val="center"/>
                    </w:pPr>
                    <w:r>
                      <w:fldChar w:fldCharType="begin"/>
                    </w:r>
                    <w:r>
                      <w:instrText xml:space="preserve"> PAGE   \* MERGEFORMAT </w:instrText>
                    </w:r>
                    <w:r>
                      <w:fldChar w:fldCharType="separate"/>
                    </w:r>
                    <w:r>
                      <w:rPr>
                        <w:lang w:val="zh-CN"/>
                      </w:rPr>
                      <w:t>22</w:t>
                    </w:r>
                    <w:r>
                      <w:fldChar w:fldCharType="end"/>
                    </w:r>
                  </w:p>
                </w:txbxContent>
              </v:textbox>
            </v:shape>
          </w:pict>
        </mc:Fallback>
      </mc:AlternateContent>
    </w:r>
  </w:p>
  <w:p>
    <w:pPr>
      <w:pStyle w:val="25"/>
      <w:ind w:firstLine="361"/>
      <w:rPr>
        <w:b/>
      </w:rPr>
    </w:pPr>
    <w:r>
      <w:rPr>
        <w:rFonts w:hint="eastAsia"/>
        <w:b/>
      </w:rPr>
      <w:t>长沙博大环保科技有限公司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25"/>
                            <w:ind w:firstLine="360"/>
                            <w:jc w:val="center"/>
                          </w:pPr>
                          <w:r>
                            <w:fldChar w:fldCharType="begin"/>
                          </w:r>
                          <w:r>
                            <w:instrText xml:space="preserve">PAGE   \* MERGEFORMAT</w:instrText>
                          </w:r>
                          <w:r>
                            <w:fldChar w:fldCharType="separate"/>
                          </w:r>
                          <w:r>
                            <w:rPr>
                              <w:lang w:val="zh-CN"/>
                            </w:rPr>
                            <w:t>2</w:t>
                          </w:r>
                          <w:r>
                            <w:fldChar w:fldCharType="end"/>
                          </w:r>
                        </w:p>
                      </w:txbxContent>
                    </wps:txbx>
                    <wps:bodyPr vert="horz" wrap="none" lIns="0" tIns="0" rIns="0" bIns="0" anchor="t" anchorCtr="false" upright="false">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FgAAAGRycy9QSwECFAAUAAAACACHTuJAzql5uc8AAAAFAQAADwAAAAAAAAAB&#10;ACAAAAA4AAAAZHJzL2Rvd25yZXYueG1sUEsBAhQAFAAAAAgAh07iQJ1B327KAQAAfAMAAA4AAAAA&#10;AAAAAQAgAAAANAEAAGRycy9lMm9Eb2MueG1sUEsFBgAAAAAGAAYAWQEAAHAFAAAAAA==&#10;">
              <v:fill on="f" focussize="0,0"/>
              <v:stroke on="f"/>
              <v:imagedata o:title=""/>
              <o:lock v:ext="edit" aspectratio="f"/>
              <v:textbox inset="0mm,0mm,0mm,0mm" style="mso-fit-shape-to-text:t;">
                <w:txbxContent>
                  <w:p>
                    <w:pPr>
                      <w:pStyle w:val="25"/>
                      <w:ind w:firstLine="360"/>
                      <w:jc w:val="center"/>
                    </w:pPr>
                    <w:r>
                      <w:fldChar w:fldCharType="begin"/>
                    </w:r>
                    <w:r>
                      <w:instrText xml:space="preserve">PAGE   \* MERGEFORMAT</w:instrText>
                    </w:r>
                    <w:r>
                      <w:fldChar w:fldCharType="separate"/>
                    </w:r>
                    <w:r>
                      <w:rPr>
                        <w:lang w:val="zh-CN"/>
                      </w:rPr>
                      <w:t>2</w:t>
                    </w:r>
                    <w:r>
                      <w:fldChar w:fldCharType="end"/>
                    </w:r>
                  </w:p>
                </w:txbxContent>
              </v:textbox>
            </v:shape>
          </w:pict>
        </mc:Fallback>
      </mc:AlternateContent>
    </w:r>
  </w:p>
  <w:p>
    <w:pPr>
      <w:pStyle w:val="25"/>
      <w:ind w:firstLine="361"/>
      <w:rPr>
        <w: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25"/>
                            <w:ind w:firstLine="360"/>
                            <w:jc w:val="center"/>
                          </w:pPr>
                          <w:r>
                            <w:fldChar w:fldCharType="begin"/>
                          </w:r>
                          <w:r>
                            <w:instrText xml:space="preserve"> PAGE   \* MERGEFORMAT </w:instrText>
                          </w:r>
                          <w:r>
                            <w:fldChar w:fldCharType="separate"/>
                          </w:r>
                          <w:r>
                            <w:rPr>
                              <w:lang w:val="zh-CN"/>
                            </w:rPr>
                            <w:t>87</w:t>
                          </w:r>
                          <w:r>
                            <w:fldChar w:fldCharType="end"/>
                          </w:r>
                        </w:p>
                      </w:txbxContent>
                    </wps:txbx>
                    <wps:bodyPr vert="horz" wrap="none" lIns="0" tIns="0" rIns="0" bIns="0" anchor="t" anchorCtr="false" upright="false">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FgAAAGRycy9QSwECFAAUAAAACACHTuJAzql5uc8AAAAFAQAADwAAAAAAAAAB&#10;ACAAAAA4AAAAZHJzL2Rvd25yZXYueG1sUEsBAhQAFAAAAAgAh07iQDsJA8zKAQAAfAMAAA4AAAAA&#10;AAAAAQAgAAAANAEAAGRycy9lMm9Eb2MueG1sUEsFBgAAAAAGAAYAWQEAAHAFAAAAAA==&#10;">
              <v:fill on="f" focussize="0,0"/>
              <v:stroke on="f"/>
              <v:imagedata o:title=""/>
              <o:lock v:ext="edit" aspectratio="f"/>
              <v:textbox inset="0mm,0mm,0mm,0mm" style="mso-fit-shape-to-text:t;">
                <w:txbxContent>
                  <w:p>
                    <w:pPr>
                      <w:pStyle w:val="25"/>
                      <w:ind w:firstLine="360"/>
                      <w:jc w:val="center"/>
                    </w:pPr>
                    <w:r>
                      <w:fldChar w:fldCharType="begin"/>
                    </w:r>
                    <w:r>
                      <w:instrText xml:space="preserve"> PAGE   \* MERGEFORMAT </w:instrText>
                    </w:r>
                    <w:r>
                      <w:fldChar w:fldCharType="separate"/>
                    </w:r>
                    <w:r>
                      <w:rPr>
                        <w:lang w:val="zh-CN"/>
                      </w:rPr>
                      <w:t>87</w:t>
                    </w:r>
                    <w:r>
                      <w:fldChar w:fldCharType="end"/>
                    </w:r>
                  </w:p>
                </w:txbxContent>
              </v:textbox>
            </v:shape>
          </w:pict>
        </mc:Fallback>
      </mc:AlternateContent>
    </w:r>
  </w:p>
  <w:p>
    <w:pPr>
      <w:pStyle w:val="25"/>
      <w:tabs>
        <w:tab w:val="left" w:pos="3450"/>
        <w:tab w:val="clear" w:pos="4153"/>
        <w:tab w:val="clear" w:pos="8306"/>
      </w:tabs>
      <w:ind w:firstLine="361"/>
      <w:rPr>
        <w:rFonts w:hint="eastAsia"/>
        <w:b/>
      </w:rPr>
    </w:pPr>
    <w:r>
      <w:rPr>
        <w:rFonts w:hint="eastAsia"/>
        <w:b/>
      </w:rPr>
      <w:t>长沙博大环保科技有限公司</w:t>
    </w:r>
    <w:r>
      <w:rPr>
        <w:b/>
      </w:rPr>
      <w:tab/>
    </w:r>
  </w:p>
  <w:p>
    <w:pPr>
      <w:ind w:firstLine="480"/>
    </w:pPr>
  </w:p>
  <w:p>
    <w:pPr>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25"/>
                            <w:ind w:firstLine="360"/>
                            <w:jc w:val="center"/>
                          </w:pPr>
                          <w:r>
                            <w:fldChar w:fldCharType="begin"/>
                          </w:r>
                          <w:r>
                            <w:instrText xml:space="preserve"> PAGE   \* MERGEFORMAT </w:instrText>
                          </w:r>
                          <w:r>
                            <w:fldChar w:fldCharType="separate"/>
                          </w:r>
                          <w:r>
                            <w:rPr>
                              <w:lang w:val="zh-CN"/>
                            </w:rPr>
                            <w:t>210</w:t>
                          </w:r>
                          <w:r>
                            <w:fldChar w:fldCharType="end"/>
                          </w:r>
                        </w:p>
                      </w:txbxContent>
                    </wps:txbx>
                    <wps:bodyPr vert="horz" wrap="none" lIns="0" tIns="0" rIns="0" bIns="0" anchor="t" anchorCtr="false" upright="false">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FgAAAGRycy9QSwECFAAUAAAACACHTuJAzql5uc8AAAAFAQAADwAAAAAAAAAB&#10;ACAAAAA4AAAAZHJzL2Rvd25yZXYueG1sUEsBAhQAFAAAAAgAh07iQAtXpKrKAQAAfAMAAA4AAAAA&#10;AAAAAQAgAAAANAEAAGRycy9lMm9Eb2MueG1sUEsFBgAAAAAGAAYAWQEAAHAFAAAAAA==&#10;">
              <v:fill on="f" focussize="0,0"/>
              <v:stroke on="f"/>
              <v:imagedata o:title=""/>
              <o:lock v:ext="edit" aspectratio="f"/>
              <v:textbox inset="0mm,0mm,0mm,0mm" style="mso-fit-shape-to-text:t;">
                <w:txbxContent>
                  <w:p>
                    <w:pPr>
                      <w:pStyle w:val="25"/>
                      <w:ind w:firstLine="360"/>
                      <w:jc w:val="center"/>
                    </w:pPr>
                    <w:r>
                      <w:fldChar w:fldCharType="begin"/>
                    </w:r>
                    <w:r>
                      <w:instrText xml:space="preserve"> PAGE   \* MERGEFORMAT </w:instrText>
                    </w:r>
                    <w:r>
                      <w:fldChar w:fldCharType="separate"/>
                    </w:r>
                    <w:r>
                      <w:rPr>
                        <w:lang w:val="zh-CN"/>
                      </w:rPr>
                      <w:t>210</w:t>
                    </w:r>
                    <w:r>
                      <w:fldChar w:fldCharType="end"/>
                    </w:r>
                  </w:p>
                </w:txbxContent>
              </v:textbox>
            </v:shape>
          </w:pict>
        </mc:Fallback>
      </mc:AlternateContent>
    </w:r>
  </w:p>
  <w:p>
    <w:pPr>
      <w:pStyle w:val="25"/>
      <w:ind w:firstLine="361"/>
      <w:rPr>
        <w:rFonts w:hint="eastAsia"/>
        <w:b/>
      </w:rPr>
    </w:pPr>
    <w:r>
      <w:rPr>
        <w:rFonts w:hint="eastAsia"/>
        <w:b/>
      </w:rPr>
      <w:t>长沙博大环保科技有限公司</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480"/>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1"/>
      <w:rPr>
        <w:b/>
      </w:rPr>
    </w:pPr>
    <w:r>
      <w:rPr>
        <w:rFonts w:hint="eastAsia"/>
        <w:b/>
      </w:rPr>
      <w:t>花垣县工业集中区重金属废水处理工程环境影响报告书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1"/>
      <w:rPr>
        <w:b/>
      </w:rPr>
    </w:pPr>
    <w:r>
      <w:rPr>
        <w:rFonts w:hint="eastAsia"/>
        <w:b/>
      </w:rPr>
      <w:t>花垣县工业集中区重金属废水处理工程环境影响报告书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DBB432"/>
    <w:multiLevelType w:val="singleLevel"/>
    <w:tmpl w:val="C4DBB432"/>
    <w:lvl w:ilvl="0" w:tentative="0">
      <w:start w:val="1"/>
      <w:numFmt w:val="decimal"/>
      <w:suff w:val="nothing"/>
      <w:lvlText w:val="%1、"/>
      <w:lvlJc w:val="left"/>
    </w:lvl>
  </w:abstractNum>
  <w:abstractNum w:abstractNumId="1">
    <w:nsid w:val="E4FAF4E1"/>
    <w:multiLevelType w:val="singleLevel"/>
    <w:tmpl w:val="E4FAF4E1"/>
    <w:lvl w:ilvl="0" w:tentative="0">
      <w:start w:val="5"/>
      <w:numFmt w:val="decimal"/>
      <w:suff w:val="nothing"/>
      <w:lvlText w:val="（%1）"/>
      <w:lvlJc w:val="left"/>
    </w:lvl>
  </w:abstractNum>
  <w:abstractNum w:abstractNumId="2">
    <w:nsid w:val="00000006"/>
    <w:multiLevelType w:val="multilevel"/>
    <w:tmpl w:val="00000006"/>
    <w:lvl w:ilvl="0" w:tentative="0">
      <w:start w:val="1"/>
      <w:numFmt w:val="lowerLetter"/>
      <w:lvlText w:val="%1."/>
      <w:lvlJc w:val="left"/>
      <w:pPr>
        <w:tabs>
          <w:tab w:val="left" w:pos="420"/>
        </w:tabs>
        <w:ind w:left="0" w:firstLine="539"/>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106"/>
      <w:lvlText w:val="%3."/>
      <w:lvlJc w:val="right"/>
      <w:pPr>
        <w:tabs>
          <w:tab w:val="left" w:pos="1260"/>
        </w:tabs>
        <w:ind w:left="1260" w:hanging="420"/>
      </w:pPr>
    </w:lvl>
    <w:lvl w:ilvl="3" w:tentative="0">
      <w:start w:val="1"/>
      <w:numFmt w:val="decimal"/>
      <w:pStyle w:val="105"/>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26B65B18"/>
    <w:multiLevelType w:val="multilevel"/>
    <w:tmpl w:val="26B65B18"/>
    <w:lvl w:ilvl="0" w:tentative="0">
      <w:start w:val="1"/>
      <w:numFmt w:val="decimal"/>
      <w:lvlText w:val="第%1章  "/>
      <w:lvlJc w:val="left"/>
      <w:pPr>
        <w:ind w:left="0" w:firstLine="0"/>
      </w:pPr>
      <w:rPr>
        <w:rFonts w:hint="eastAsia" w:ascii="Times New Roman" w:hAnsi="Times New Roman" w:eastAsia="宋体"/>
        <w:b/>
        <w:i w:val="0"/>
        <w:color w:val="auto"/>
        <w:sz w:val="32"/>
      </w:rPr>
    </w:lvl>
    <w:lvl w:ilvl="1" w:tentative="0">
      <w:start w:val="1"/>
      <w:numFmt w:val="decimal"/>
      <w:lvlText w:val="%1.%2  "/>
      <w:lvlJc w:val="left"/>
      <w:pPr>
        <w:ind w:left="0" w:firstLine="0"/>
      </w:pPr>
      <w:rPr>
        <w:rFonts w:hint="default" w:ascii="Times New Roman" w:hAnsi="Times New Roman" w:eastAsia="黑体"/>
        <w:b/>
        <w:i w:val="0"/>
        <w:sz w:val="28"/>
      </w:rPr>
    </w:lvl>
    <w:lvl w:ilvl="2" w:tentative="0">
      <w:start w:val="1"/>
      <w:numFmt w:val="decimal"/>
      <w:pStyle w:val="100"/>
      <w:lvlText w:val="%1.%2.%3  "/>
      <w:lvlJc w:val="left"/>
      <w:pPr>
        <w:ind w:left="0" w:firstLine="0"/>
      </w:pPr>
      <w:rPr>
        <w:rFonts w:hint="default" w:ascii="Times New Roman" w:hAnsi="Times New Roman" w:eastAsia="宋体"/>
        <w:b/>
        <w:i w:val="0"/>
        <w:sz w:val="28"/>
      </w:rPr>
    </w:lvl>
    <w:lvl w:ilvl="3" w:tentative="0">
      <w:start w:val="1"/>
      <w:numFmt w:val="decimal"/>
      <w:pStyle w:val="95"/>
      <w:lvlText w:val="%1.%2.%3.%4  "/>
      <w:lvlJc w:val="left"/>
      <w:pPr>
        <w:ind w:left="480" w:firstLine="0"/>
      </w:pPr>
      <w:rPr>
        <w:rFonts w:hint="default" w:ascii="Times New Roman" w:hAnsi="Times New Roman" w:eastAsia="宋体"/>
        <w:b/>
        <w:i w:val="0"/>
        <w:sz w:val="24"/>
      </w:rPr>
    </w:lvl>
    <w:lvl w:ilvl="4" w:tentative="0">
      <w:start w:val="1"/>
      <w:numFmt w:val="none"/>
      <w:lvlRestart w:val="0"/>
      <w:lvlText w:val=""/>
      <w:lvlJc w:val="left"/>
      <w:pPr>
        <w:ind w:left="0" w:firstLine="0"/>
      </w:pPr>
      <w:rPr>
        <w:rFonts w:hint="default" w:ascii="Times New Roman" w:hAnsi="Times New Roman" w:eastAsia="宋体"/>
        <w:b/>
        <w:i w:val="0"/>
        <w:sz w:val="24"/>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displayBackgroundShape w:val="true"/>
  <w:bordersDoNotSurroundHeader w:val="false"/>
  <w:bordersDoNotSurroundFooter w:val="fals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420"/>
  <w:hyphenationZone w:val="360"/>
  <w:drawingGridHorizontalSpacing w:val="120"/>
  <w:drawingGridVerticalSpacing w:val="163"/>
  <w:displayHorizontalDrawingGridEvery w:val="1"/>
  <w:displayVerticalDrawingGridEvery w:val="1"/>
  <w:noPunctuationKerning w:val="true"/>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kZDYyMjQ4NzcwMjBhNzVjYzkwNDRkNDgwYTBiZTUifQ=="/>
  </w:docVars>
  <w:rsids>
    <w:rsidRoot w:val="009F1E8F"/>
    <w:rsid w:val="000021AE"/>
    <w:rsid w:val="0000317D"/>
    <w:rsid w:val="00003245"/>
    <w:rsid w:val="00003894"/>
    <w:rsid w:val="000048C2"/>
    <w:rsid w:val="00005381"/>
    <w:rsid w:val="000057E5"/>
    <w:rsid w:val="0000667B"/>
    <w:rsid w:val="000076D7"/>
    <w:rsid w:val="000103B8"/>
    <w:rsid w:val="0001044D"/>
    <w:rsid w:val="00010EA7"/>
    <w:rsid w:val="00011B44"/>
    <w:rsid w:val="00011D42"/>
    <w:rsid w:val="00012DDD"/>
    <w:rsid w:val="00013260"/>
    <w:rsid w:val="0001441B"/>
    <w:rsid w:val="00014D1F"/>
    <w:rsid w:val="00014D84"/>
    <w:rsid w:val="000151F2"/>
    <w:rsid w:val="0001676A"/>
    <w:rsid w:val="00016CDD"/>
    <w:rsid w:val="00017736"/>
    <w:rsid w:val="000201FA"/>
    <w:rsid w:val="00021CFA"/>
    <w:rsid w:val="00023338"/>
    <w:rsid w:val="00024F3A"/>
    <w:rsid w:val="00025180"/>
    <w:rsid w:val="00025940"/>
    <w:rsid w:val="00025A3F"/>
    <w:rsid w:val="00026366"/>
    <w:rsid w:val="0002716D"/>
    <w:rsid w:val="000274C6"/>
    <w:rsid w:val="00027925"/>
    <w:rsid w:val="00030ACE"/>
    <w:rsid w:val="00031000"/>
    <w:rsid w:val="000310AD"/>
    <w:rsid w:val="00031F33"/>
    <w:rsid w:val="00031FCA"/>
    <w:rsid w:val="00033236"/>
    <w:rsid w:val="00033CF1"/>
    <w:rsid w:val="000343C0"/>
    <w:rsid w:val="000348BD"/>
    <w:rsid w:val="000349A1"/>
    <w:rsid w:val="00034DAE"/>
    <w:rsid w:val="000368BC"/>
    <w:rsid w:val="00036F38"/>
    <w:rsid w:val="0003786A"/>
    <w:rsid w:val="00040397"/>
    <w:rsid w:val="000403DF"/>
    <w:rsid w:val="000421EA"/>
    <w:rsid w:val="000426E8"/>
    <w:rsid w:val="00043FBE"/>
    <w:rsid w:val="000442E6"/>
    <w:rsid w:val="0004494D"/>
    <w:rsid w:val="00044FA3"/>
    <w:rsid w:val="00046087"/>
    <w:rsid w:val="00046104"/>
    <w:rsid w:val="00047AA6"/>
    <w:rsid w:val="00047E6E"/>
    <w:rsid w:val="00047F9C"/>
    <w:rsid w:val="00050D5A"/>
    <w:rsid w:val="00050F7D"/>
    <w:rsid w:val="00051FD5"/>
    <w:rsid w:val="000524A1"/>
    <w:rsid w:val="00053582"/>
    <w:rsid w:val="000536BC"/>
    <w:rsid w:val="00054DE2"/>
    <w:rsid w:val="0005678C"/>
    <w:rsid w:val="000569DD"/>
    <w:rsid w:val="00056CE7"/>
    <w:rsid w:val="000572FB"/>
    <w:rsid w:val="00057A3A"/>
    <w:rsid w:val="00057E2E"/>
    <w:rsid w:val="00060225"/>
    <w:rsid w:val="000602DE"/>
    <w:rsid w:val="00060BC0"/>
    <w:rsid w:val="00062207"/>
    <w:rsid w:val="00063A2C"/>
    <w:rsid w:val="00063A31"/>
    <w:rsid w:val="00063FF7"/>
    <w:rsid w:val="00065940"/>
    <w:rsid w:val="00065C0B"/>
    <w:rsid w:val="00066D5E"/>
    <w:rsid w:val="00067D33"/>
    <w:rsid w:val="00074139"/>
    <w:rsid w:val="00074E18"/>
    <w:rsid w:val="000770FF"/>
    <w:rsid w:val="000777F1"/>
    <w:rsid w:val="0008055C"/>
    <w:rsid w:val="00080D3A"/>
    <w:rsid w:val="00081012"/>
    <w:rsid w:val="000815E9"/>
    <w:rsid w:val="000821A5"/>
    <w:rsid w:val="000821CF"/>
    <w:rsid w:val="00082620"/>
    <w:rsid w:val="000828F9"/>
    <w:rsid w:val="00082B1E"/>
    <w:rsid w:val="00084365"/>
    <w:rsid w:val="00084599"/>
    <w:rsid w:val="000849F3"/>
    <w:rsid w:val="00084CDF"/>
    <w:rsid w:val="00085171"/>
    <w:rsid w:val="0008525E"/>
    <w:rsid w:val="00085578"/>
    <w:rsid w:val="00086751"/>
    <w:rsid w:val="00086CB8"/>
    <w:rsid w:val="000873D5"/>
    <w:rsid w:val="00090FFC"/>
    <w:rsid w:val="00091F33"/>
    <w:rsid w:val="000922C9"/>
    <w:rsid w:val="00093354"/>
    <w:rsid w:val="00093AAB"/>
    <w:rsid w:val="00094833"/>
    <w:rsid w:val="0009502F"/>
    <w:rsid w:val="0009567B"/>
    <w:rsid w:val="00095B1D"/>
    <w:rsid w:val="00095C8D"/>
    <w:rsid w:val="0009606C"/>
    <w:rsid w:val="00096164"/>
    <w:rsid w:val="00097D52"/>
    <w:rsid w:val="000A03E6"/>
    <w:rsid w:val="000A0905"/>
    <w:rsid w:val="000A0C00"/>
    <w:rsid w:val="000A0DEB"/>
    <w:rsid w:val="000A2D05"/>
    <w:rsid w:val="000A3297"/>
    <w:rsid w:val="000A4290"/>
    <w:rsid w:val="000A4963"/>
    <w:rsid w:val="000A5899"/>
    <w:rsid w:val="000A65E7"/>
    <w:rsid w:val="000A76EB"/>
    <w:rsid w:val="000B0780"/>
    <w:rsid w:val="000B2318"/>
    <w:rsid w:val="000B256C"/>
    <w:rsid w:val="000B3799"/>
    <w:rsid w:val="000B3ADA"/>
    <w:rsid w:val="000B3D5E"/>
    <w:rsid w:val="000B44E0"/>
    <w:rsid w:val="000B48B6"/>
    <w:rsid w:val="000B5C9A"/>
    <w:rsid w:val="000B675F"/>
    <w:rsid w:val="000B6E3A"/>
    <w:rsid w:val="000C0B2A"/>
    <w:rsid w:val="000C1B36"/>
    <w:rsid w:val="000C27F8"/>
    <w:rsid w:val="000C2920"/>
    <w:rsid w:val="000C2C46"/>
    <w:rsid w:val="000C2E5E"/>
    <w:rsid w:val="000C3086"/>
    <w:rsid w:val="000C383A"/>
    <w:rsid w:val="000C3E13"/>
    <w:rsid w:val="000C43BC"/>
    <w:rsid w:val="000C6325"/>
    <w:rsid w:val="000D0CE5"/>
    <w:rsid w:val="000D1003"/>
    <w:rsid w:val="000D12D2"/>
    <w:rsid w:val="000D1BFF"/>
    <w:rsid w:val="000D23C7"/>
    <w:rsid w:val="000D2A32"/>
    <w:rsid w:val="000D3667"/>
    <w:rsid w:val="000D4443"/>
    <w:rsid w:val="000D4BB9"/>
    <w:rsid w:val="000D55DF"/>
    <w:rsid w:val="000D5BAB"/>
    <w:rsid w:val="000D65EC"/>
    <w:rsid w:val="000D6D9B"/>
    <w:rsid w:val="000D73A8"/>
    <w:rsid w:val="000D78FE"/>
    <w:rsid w:val="000D7DFB"/>
    <w:rsid w:val="000E074E"/>
    <w:rsid w:val="000E1418"/>
    <w:rsid w:val="000E14DE"/>
    <w:rsid w:val="000E1C09"/>
    <w:rsid w:val="000E34A2"/>
    <w:rsid w:val="000E3583"/>
    <w:rsid w:val="000E3B4D"/>
    <w:rsid w:val="000E3DDD"/>
    <w:rsid w:val="000E4DCB"/>
    <w:rsid w:val="000E524D"/>
    <w:rsid w:val="000E55BD"/>
    <w:rsid w:val="000E562C"/>
    <w:rsid w:val="000E5A06"/>
    <w:rsid w:val="000E5D27"/>
    <w:rsid w:val="000E6025"/>
    <w:rsid w:val="000E6DBF"/>
    <w:rsid w:val="000E76F1"/>
    <w:rsid w:val="000F078F"/>
    <w:rsid w:val="000F0BC8"/>
    <w:rsid w:val="000F17A8"/>
    <w:rsid w:val="000F1971"/>
    <w:rsid w:val="000F1B43"/>
    <w:rsid w:val="000F1D06"/>
    <w:rsid w:val="000F1DAD"/>
    <w:rsid w:val="000F1FF2"/>
    <w:rsid w:val="000F2681"/>
    <w:rsid w:val="000F38B3"/>
    <w:rsid w:val="000F3AC2"/>
    <w:rsid w:val="000F43DC"/>
    <w:rsid w:val="000F46A9"/>
    <w:rsid w:val="000F52BE"/>
    <w:rsid w:val="000F52D3"/>
    <w:rsid w:val="000F59BD"/>
    <w:rsid w:val="000F59F7"/>
    <w:rsid w:val="000F6F3D"/>
    <w:rsid w:val="000F7B54"/>
    <w:rsid w:val="000F7E57"/>
    <w:rsid w:val="00100250"/>
    <w:rsid w:val="00100D94"/>
    <w:rsid w:val="00101555"/>
    <w:rsid w:val="00102AF9"/>
    <w:rsid w:val="00102FEF"/>
    <w:rsid w:val="00103669"/>
    <w:rsid w:val="00103A42"/>
    <w:rsid w:val="00104378"/>
    <w:rsid w:val="00104FFB"/>
    <w:rsid w:val="00105B2C"/>
    <w:rsid w:val="0010774B"/>
    <w:rsid w:val="00110097"/>
    <w:rsid w:val="00110A06"/>
    <w:rsid w:val="00110F1B"/>
    <w:rsid w:val="00111EAD"/>
    <w:rsid w:val="00112217"/>
    <w:rsid w:val="001139E8"/>
    <w:rsid w:val="00113DC8"/>
    <w:rsid w:val="0011408D"/>
    <w:rsid w:val="00115875"/>
    <w:rsid w:val="001159D9"/>
    <w:rsid w:val="00116088"/>
    <w:rsid w:val="001162AB"/>
    <w:rsid w:val="00117347"/>
    <w:rsid w:val="00117414"/>
    <w:rsid w:val="001176C1"/>
    <w:rsid w:val="00120710"/>
    <w:rsid w:val="001208A3"/>
    <w:rsid w:val="001211C1"/>
    <w:rsid w:val="001212CD"/>
    <w:rsid w:val="001228DF"/>
    <w:rsid w:val="001236B1"/>
    <w:rsid w:val="001238CC"/>
    <w:rsid w:val="00123920"/>
    <w:rsid w:val="00125226"/>
    <w:rsid w:val="001252FD"/>
    <w:rsid w:val="00125BA1"/>
    <w:rsid w:val="00126AE7"/>
    <w:rsid w:val="00126E1F"/>
    <w:rsid w:val="001279A1"/>
    <w:rsid w:val="00130530"/>
    <w:rsid w:val="0013073D"/>
    <w:rsid w:val="00130E82"/>
    <w:rsid w:val="001311B7"/>
    <w:rsid w:val="001313D2"/>
    <w:rsid w:val="00131A54"/>
    <w:rsid w:val="0013239A"/>
    <w:rsid w:val="00132B82"/>
    <w:rsid w:val="0013497C"/>
    <w:rsid w:val="00134B91"/>
    <w:rsid w:val="001376AA"/>
    <w:rsid w:val="001408B5"/>
    <w:rsid w:val="001427A6"/>
    <w:rsid w:val="00142F5D"/>
    <w:rsid w:val="00143483"/>
    <w:rsid w:val="00143589"/>
    <w:rsid w:val="00143981"/>
    <w:rsid w:val="0014469C"/>
    <w:rsid w:val="00144CBB"/>
    <w:rsid w:val="00144F17"/>
    <w:rsid w:val="00145001"/>
    <w:rsid w:val="0014529B"/>
    <w:rsid w:val="00145938"/>
    <w:rsid w:val="00145B17"/>
    <w:rsid w:val="00145E0C"/>
    <w:rsid w:val="0014619C"/>
    <w:rsid w:val="0014638D"/>
    <w:rsid w:val="00146629"/>
    <w:rsid w:val="00146A94"/>
    <w:rsid w:val="001475BF"/>
    <w:rsid w:val="00150312"/>
    <w:rsid w:val="00150B8B"/>
    <w:rsid w:val="00150CA0"/>
    <w:rsid w:val="001522B8"/>
    <w:rsid w:val="001526E7"/>
    <w:rsid w:val="00153C65"/>
    <w:rsid w:val="00154BB5"/>
    <w:rsid w:val="001551AC"/>
    <w:rsid w:val="00155AC1"/>
    <w:rsid w:val="00155BD6"/>
    <w:rsid w:val="00155DD5"/>
    <w:rsid w:val="00155F81"/>
    <w:rsid w:val="001570B0"/>
    <w:rsid w:val="00157758"/>
    <w:rsid w:val="0016014E"/>
    <w:rsid w:val="00160674"/>
    <w:rsid w:val="001609A5"/>
    <w:rsid w:val="001616C4"/>
    <w:rsid w:val="00161A06"/>
    <w:rsid w:val="00161E2D"/>
    <w:rsid w:val="00162AF0"/>
    <w:rsid w:val="001633E3"/>
    <w:rsid w:val="001641CB"/>
    <w:rsid w:val="00164320"/>
    <w:rsid w:val="00165A5E"/>
    <w:rsid w:val="001673EF"/>
    <w:rsid w:val="0016756B"/>
    <w:rsid w:val="0016799C"/>
    <w:rsid w:val="00167BCF"/>
    <w:rsid w:val="00171E7F"/>
    <w:rsid w:val="001732B7"/>
    <w:rsid w:val="00173533"/>
    <w:rsid w:val="00173D00"/>
    <w:rsid w:val="00173EB3"/>
    <w:rsid w:val="001745B2"/>
    <w:rsid w:val="001748D9"/>
    <w:rsid w:val="00177AF9"/>
    <w:rsid w:val="00177CBF"/>
    <w:rsid w:val="0018097E"/>
    <w:rsid w:val="00181F02"/>
    <w:rsid w:val="001822E4"/>
    <w:rsid w:val="00182A07"/>
    <w:rsid w:val="00182CDA"/>
    <w:rsid w:val="00183186"/>
    <w:rsid w:val="00183330"/>
    <w:rsid w:val="00183486"/>
    <w:rsid w:val="00183645"/>
    <w:rsid w:val="00183E27"/>
    <w:rsid w:val="0018406F"/>
    <w:rsid w:val="00185934"/>
    <w:rsid w:val="00187322"/>
    <w:rsid w:val="001874B8"/>
    <w:rsid w:val="001876F7"/>
    <w:rsid w:val="00187826"/>
    <w:rsid w:val="00187854"/>
    <w:rsid w:val="00192EEF"/>
    <w:rsid w:val="00193EA0"/>
    <w:rsid w:val="001941C0"/>
    <w:rsid w:val="001944FF"/>
    <w:rsid w:val="001946C4"/>
    <w:rsid w:val="00194B6E"/>
    <w:rsid w:val="00196CD5"/>
    <w:rsid w:val="001975FC"/>
    <w:rsid w:val="00197A60"/>
    <w:rsid w:val="00197A70"/>
    <w:rsid w:val="00197D16"/>
    <w:rsid w:val="00197DE7"/>
    <w:rsid w:val="00197FB3"/>
    <w:rsid w:val="001A0A13"/>
    <w:rsid w:val="001A16AB"/>
    <w:rsid w:val="001A20A0"/>
    <w:rsid w:val="001A221E"/>
    <w:rsid w:val="001A2AC9"/>
    <w:rsid w:val="001A3251"/>
    <w:rsid w:val="001A584F"/>
    <w:rsid w:val="001A5F93"/>
    <w:rsid w:val="001A690B"/>
    <w:rsid w:val="001A7132"/>
    <w:rsid w:val="001B1F8A"/>
    <w:rsid w:val="001B3171"/>
    <w:rsid w:val="001B32AB"/>
    <w:rsid w:val="001B410D"/>
    <w:rsid w:val="001B4DEA"/>
    <w:rsid w:val="001B4E0B"/>
    <w:rsid w:val="001B6100"/>
    <w:rsid w:val="001B65CC"/>
    <w:rsid w:val="001B678E"/>
    <w:rsid w:val="001B67A2"/>
    <w:rsid w:val="001B7DFD"/>
    <w:rsid w:val="001C141E"/>
    <w:rsid w:val="001C2516"/>
    <w:rsid w:val="001C29E6"/>
    <w:rsid w:val="001C2DF1"/>
    <w:rsid w:val="001C3CC8"/>
    <w:rsid w:val="001C4875"/>
    <w:rsid w:val="001C6AD8"/>
    <w:rsid w:val="001C70F9"/>
    <w:rsid w:val="001C766C"/>
    <w:rsid w:val="001D00D6"/>
    <w:rsid w:val="001D0FA0"/>
    <w:rsid w:val="001D1025"/>
    <w:rsid w:val="001D1086"/>
    <w:rsid w:val="001D1CC7"/>
    <w:rsid w:val="001D37AB"/>
    <w:rsid w:val="001D38A3"/>
    <w:rsid w:val="001D38D8"/>
    <w:rsid w:val="001D3BE5"/>
    <w:rsid w:val="001D3FA0"/>
    <w:rsid w:val="001D4C98"/>
    <w:rsid w:val="001D4FA9"/>
    <w:rsid w:val="001D5AB9"/>
    <w:rsid w:val="001D5B0B"/>
    <w:rsid w:val="001D60F6"/>
    <w:rsid w:val="001D751D"/>
    <w:rsid w:val="001D7BED"/>
    <w:rsid w:val="001E0B99"/>
    <w:rsid w:val="001E2144"/>
    <w:rsid w:val="001E278D"/>
    <w:rsid w:val="001E2E00"/>
    <w:rsid w:val="001E3B64"/>
    <w:rsid w:val="001E438C"/>
    <w:rsid w:val="001E48FD"/>
    <w:rsid w:val="001E4C73"/>
    <w:rsid w:val="001E575D"/>
    <w:rsid w:val="001E6145"/>
    <w:rsid w:val="001E6697"/>
    <w:rsid w:val="001E69F8"/>
    <w:rsid w:val="001E6D09"/>
    <w:rsid w:val="001F11D1"/>
    <w:rsid w:val="001F3008"/>
    <w:rsid w:val="001F3DA8"/>
    <w:rsid w:val="001F48A2"/>
    <w:rsid w:val="001F5629"/>
    <w:rsid w:val="001F630A"/>
    <w:rsid w:val="001F6ECD"/>
    <w:rsid w:val="001F703F"/>
    <w:rsid w:val="001F77B4"/>
    <w:rsid w:val="002005DE"/>
    <w:rsid w:val="00202E11"/>
    <w:rsid w:val="00203C26"/>
    <w:rsid w:val="002042B0"/>
    <w:rsid w:val="00205086"/>
    <w:rsid w:val="00207F67"/>
    <w:rsid w:val="00212455"/>
    <w:rsid w:val="00212794"/>
    <w:rsid w:val="00214075"/>
    <w:rsid w:val="002143A2"/>
    <w:rsid w:val="00214E6F"/>
    <w:rsid w:val="00215F76"/>
    <w:rsid w:val="00215FDF"/>
    <w:rsid w:val="002164AD"/>
    <w:rsid w:val="00216B1A"/>
    <w:rsid w:val="00217850"/>
    <w:rsid w:val="00220726"/>
    <w:rsid w:val="002209AD"/>
    <w:rsid w:val="00220E4B"/>
    <w:rsid w:val="00220F76"/>
    <w:rsid w:val="00224722"/>
    <w:rsid w:val="00224A21"/>
    <w:rsid w:val="00225B0A"/>
    <w:rsid w:val="00225C0E"/>
    <w:rsid w:val="0022629A"/>
    <w:rsid w:val="00227292"/>
    <w:rsid w:val="00230119"/>
    <w:rsid w:val="00230559"/>
    <w:rsid w:val="00231972"/>
    <w:rsid w:val="00232E3D"/>
    <w:rsid w:val="00233235"/>
    <w:rsid w:val="00233609"/>
    <w:rsid w:val="0023414E"/>
    <w:rsid w:val="00235713"/>
    <w:rsid w:val="0023664F"/>
    <w:rsid w:val="002379F5"/>
    <w:rsid w:val="00237CAC"/>
    <w:rsid w:val="00240D09"/>
    <w:rsid w:val="00243206"/>
    <w:rsid w:val="00243488"/>
    <w:rsid w:val="0024349F"/>
    <w:rsid w:val="00243B87"/>
    <w:rsid w:val="0024794E"/>
    <w:rsid w:val="00250AE4"/>
    <w:rsid w:val="002522AB"/>
    <w:rsid w:val="00252D63"/>
    <w:rsid w:val="002534FE"/>
    <w:rsid w:val="002540E1"/>
    <w:rsid w:val="0025415F"/>
    <w:rsid w:val="00254BD7"/>
    <w:rsid w:val="002550BB"/>
    <w:rsid w:val="00257C4A"/>
    <w:rsid w:val="00257E7B"/>
    <w:rsid w:val="0026084D"/>
    <w:rsid w:val="00260C1E"/>
    <w:rsid w:val="0026179F"/>
    <w:rsid w:val="0026238A"/>
    <w:rsid w:val="00262456"/>
    <w:rsid w:val="00262872"/>
    <w:rsid w:val="0026341D"/>
    <w:rsid w:val="002648B4"/>
    <w:rsid w:val="002649A1"/>
    <w:rsid w:val="00264BB9"/>
    <w:rsid w:val="00265DB8"/>
    <w:rsid w:val="00267D91"/>
    <w:rsid w:val="00270865"/>
    <w:rsid w:val="00270FA8"/>
    <w:rsid w:val="00271B55"/>
    <w:rsid w:val="002727BF"/>
    <w:rsid w:val="002743ED"/>
    <w:rsid w:val="00274478"/>
    <w:rsid w:val="00274BFC"/>
    <w:rsid w:val="00274D1A"/>
    <w:rsid w:val="002753BB"/>
    <w:rsid w:val="002753C4"/>
    <w:rsid w:val="00275EBA"/>
    <w:rsid w:val="00276852"/>
    <w:rsid w:val="00277D40"/>
    <w:rsid w:val="00280739"/>
    <w:rsid w:val="00280C94"/>
    <w:rsid w:val="0028189F"/>
    <w:rsid w:val="00281A96"/>
    <w:rsid w:val="00282C41"/>
    <w:rsid w:val="00283038"/>
    <w:rsid w:val="002831EA"/>
    <w:rsid w:val="00283D5B"/>
    <w:rsid w:val="00283ED2"/>
    <w:rsid w:val="0028438F"/>
    <w:rsid w:val="002868B1"/>
    <w:rsid w:val="00286BC8"/>
    <w:rsid w:val="00287A8F"/>
    <w:rsid w:val="00287E92"/>
    <w:rsid w:val="00287FF8"/>
    <w:rsid w:val="0029001D"/>
    <w:rsid w:val="002900D3"/>
    <w:rsid w:val="002901ED"/>
    <w:rsid w:val="00290437"/>
    <w:rsid w:val="00290D7B"/>
    <w:rsid w:val="00290FA7"/>
    <w:rsid w:val="002912C4"/>
    <w:rsid w:val="0029133F"/>
    <w:rsid w:val="00291945"/>
    <w:rsid w:val="00291B31"/>
    <w:rsid w:val="002923DD"/>
    <w:rsid w:val="00292E1B"/>
    <w:rsid w:val="00293FAE"/>
    <w:rsid w:val="00294247"/>
    <w:rsid w:val="002946CF"/>
    <w:rsid w:val="00297231"/>
    <w:rsid w:val="0029742A"/>
    <w:rsid w:val="00297454"/>
    <w:rsid w:val="00297D14"/>
    <w:rsid w:val="002A03DE"/>
    <w:rsid w:val="002A053D"/>
    <w:rsid w:val="002A0758"/>
    <w:rsid w:val="002A0C26"/>
    <w:rsid w:val="002A0E2C"/>
    <w:rsid w:val="002A188E"/>
    <w:rsid w:val="002A1A13"/>
    <w:rsid w:val="002A259B"/>
    <w:rsid w:val="002A3BE5"/>
    <w:rsid w:val="002A415F"/>
    <w:rsid w:val="002A462F"/>
    <w:rsid w:val="002A463A"/>
    <w:rsid w:val="002A491B"/>
    <w:rsid w:val="002A53B1"/>
    <w:rsid w:val="002A5AD6"/>
    <w:rsid w:val="002A661A"/>
    <w:rsid w:val="002A68B3"/>
    <w:rsid w:val="002A6DBD"/>
    <w:rsid w:val="002A6EDA"/>
    <w:rsid w:val="002A734D"/>
    <w:rsid w:val="002B0256"/>
    <w:rsid w:val="002B076C"/>
    <w:rsid w:val="002B29F6"/>
    <w:rsid w:val="002B34E5"/>
    <w:rsid w:val="002B4A52"/>
    <w:rsid w:val="002B5228"/>
    <w:rsid w:val="002B54F2"/>
    <w:rsid w:val="002B5691"/>
    <w:rsid w:val="002B6D8F"/>
    <w:rsid w:val="002B7377"/>
    <w:rsid w:val="002C032C"/>
    <w:rsid w:val="002C05E9"/>
    <w:rsid w:val="002C07F3"/>
    <w:rsid w:val="002C0ACF"/>
    <w:rsid w:val="002C0FDC"/>
    <w:rsid w:val="002C18A9"/>
    <w:rsid w:val="002C2A78"/>
    <w:rsid w:val="002C2ACA"/>
    <w:rsid w:val="002C33B4"/>
    <w:rsid w:val="002C3498"/>
    <w:rsid w:val="002C3BA2"/>
    <w:rsid w:val="002C3E6F"/>
    <w:rsid w:val="002C3F37"/>
    <w:rsid w:val="002C40BF"/>
    <w:rsid w:val="002C4404"/>
    <w:rsid w:val="002C467A"/>
    <w:rsid w:val="002C4800"/>
    <w:rsid w:val="002C4A4D"/>
    <w:rsid w:val="002C7134"/>
    <w:rsid w:val="002D05FD"/>
    <w:rsid w:val="002D0F5C"/>
    <w:rsid w:val="002D14D8"/>
    <w:rsid w:val="002D31A4"/>
    <w:rsid w:val="002D3339"/>
    <w:rsid w:val="002D3D28"/>
    <w:rsid w:val="002D3EF9"/>
    <w:rsid w:val="002D3F6C"/>
    <w:rsid w:val="002D46B4"/>
    <w:rsid w:val="002D4B81"/>
    <w:rsid w:val="002D52FF"/>
    <w:rsid w:val="002D6427"/>
    <w:rsid w:val="002D65F2"/>
    <w:rsid w:val="002D7069"/>
    <w:rsid w:val="002D74CF"/>
    <w:rsid w:val="002D7AB1"/>
    <w:rsid w:val="002E12E1"/>
    <w:rsid w:val="002E1D04"/>
    <w:rsid w:val="002E272B"/>
    <w:rsid w:val="002E3682"/>
    <w:rsid w:val="002E39DD"/>
    <w:rsid w:val="002E4594"/>
    <w:rsid w:val="002E4CBC"/>
    <w:rsid w:val="002E5BB2"/>
    <w:rsid w:val="002E5BCD"/>
    <w:rsid w:val="002E5D67"/>
    <w:rsid w:val="002E7BF9"/>
    <w:rsid w:val="002F17F9"/>
    <w:rsid w:val="002F196B"/>
    <w:rsid w:val="002F1AC8"/>
    <w:rsid w:val="002F22F6"/>
    <w:rsid w:val="002F2BC1"/>
    <w:rsid w:val="002F3340"/>
    <w:rsid w:val="002F44A1"/>
    <w:rsid w:val="002F481E"/>
    <w:rsid w:val="002F51B1"/>
    <w:rsid w:val="002F64C1"/>
    <w:rsid w:val="002F78C8"/>
    <w:rsid w:val="00301470"/>
    <w:rsid w:val="003017D6"/>
    <w:rsid w:val="00301C4D"/>
    <w:rsid w:val="003047ED"/>
    <w:rsid w:val="00305605"/>
    <w:rsid w:val="00306C9D"/>
    <w:rsid w:val="00307324"/>
    <w:rsid w:val="00310F89"/>
    <w:rsid w:val="00311DEF"/>
    <w:rsid w:val="003123CD"/>
    <w:rsid w:val="00312586"/>
    <w:rsid w:val="00314826"/>
    <w:rsid w:val="00316AB9"/>
    <w:rsid w:val="003205E1"/>
    <w:rsid w:val="00321092"/>
    <w:rsid w:val="00321621"/>
    <w:rsid w:val="00323295"/>
    <w:rsid w:val="00323422"/>
    <w:rsid w:val="0032346A"/>
    <w:rsid w:val="00323700"/>
    <w:rsid w:val="00323BA1"/>
    <w:rsid w:val="003249B7"/>
    <w:rsid w:val="0032537B"/>
    <w:rsid w:val="00330DA2"/>
    <w:rsid w:val="00331486"/>
    <w:rsid w:val="0033292A"/>
    <w:rsid w:val="003331FC"/>
    <w:rsid w:val="0033331E"/>
    <w:rsid w:val="0033461A"/>
    <w:rsid w:val="00336001"/>
    <w:rsid w:val="00336039"/>
    <w:rsid w:val="0034057F"/>
    <w:rsid w:val="00340810"/>
    <w:rsid w:val="00340B1F"/>
    <w:rsid w:val="00340D5B"/>
    <w:rsid w:val="003424EB"/>
    <w:rsid w:val="00342574"/>
    <w:rsid w:val="00342CE4"/>
    <w:rsid w:val="00342F39"/>
    <w:rsid w:val="003436EB"/>
    <w:rsid w:val="00344190"/>
    <w:rsid w:val="003442B8"/>
    <w:rsid w:val="003442F0"/>
    <w:rsid w:val="00345580"/>
    <w:rsid w:val="0034629C"/>
    <w:rsid w:val="00346364"/>
    <w:rsid w:val="00346C21"/>
    <w:rsid w:val="003506E1"/>
    <w:rsid w:val="00350DBE"/>
    <w:rsid w:val="003512EA"/>
    <w:rsid w:val="00351436"/>
    <w:rsid w:val="00351836"/>
    <w:rsid w:val="0035194E"/>
    <w:rsid w:val="003540EA"/>
    <w:rsid w:val="00354D86"/>
    <w:rsid w:val="00355603"/>
    <w:rsid w:val="0035566B"/>
    <w:rsid w:val="00355A89"/>
    <w:rsid w:val="0036002A"/>
    <w:rsid w:val="00360679"/>
    <w:rsid w:val="00360F08"/>
    <w:rsid w:val="003649B8"/>
    <w:rsid w:val="00365D71"/>
    <w:rsid w:val="003665BF"/>
    <w:rsid w:val="0036705F"/>
    <w:rsid w:val="00367A04"/>
    <w:rsid w:val="00370377"/>
    <w:rsid w:val="00370E90"/>
    <w:rsid w:val="003717F7"/>
    <w:rsid w:val="00371C8F"/>
    <w:rsid w:val="00371F08"/>
    <w:rsid w:val="0037238C"/>
    <w:rsid w:val="00372624"/>
    <w:rsid w:val="00372F04"/>
    <w:rsid w:val="003733E1"/>
    <w:rsid w:val="00374A09"/>
    <w:rsid w:val="0037522C"/>
    <w:rsid w:val="00375BBF"/>
    <w:rsid w:val="0037620F"/>
    <w:rsid w:val="003770F6"/>
    <w:rsid w:val="00380469"/>
    <w:rsid w:val="0038077B"/>
    <w:rsid w:val="00380EC6"/>
    <w:rsid w:val="003815C3"/>
    <w:rsid w:val="00381791"/>
    <w:rsid w:val="0038188D"/>
    <w:rsid w:val="003820F4"/>
    <w:rsid w:val="00382BAE"/>
    <w:rsid w:val="00383D6C"/>
    <w:rsid w:val="00385359"/>
    <w:rsid w:val="00385E8A"/>
    <w:rsid w:val="00387302"/>
    <w:rsid w:val="003875BB"/>
    <w:rsid w:val="00387637"/>
    <w:rsid w:val="00387992"/>
    <w:rsid w:val="00387BA8"/>
    <w:rsid w:val="003903F6"/>
    <w:rsid w:val="0039206E"/>
    <w:rsid w:val="003922A9"/>
    <w:rsid w:val="00392C9A"/>
    <w:rsid w:val="00392CFF"/>
    <w:rsid w:val="0039445F"/>
    <w:rsid w:val="003948C2"/>
    <w:rsid w:val="00395CEF"/>
    <w:rsid w:val="00395D07"/>
    <w:rsid w:val="00396BD9"/>
    <w:rsid w:val="00397A1F"/>
    <w:rsid w:val="003A0DDA"/>
    <w:rsid w:val="003A11BE"/>
    <w:rsid w:val="003A1554"/>
    <w:rsid w:val="003A2BC6"/>
    <w:rsid w:val="003A2DDF"/>
    <w:rsid w:val="003A46B6"/>
    <w:rsid w:val="003A67C7"/>
    <w:rsid w:val="003B1537"/>
    <w:rsid w:val="003B27DD"/>
    <w:rsid w:val="003B5207"/>
    <w:rsid w:val="003B615B"/>
    <w:rsid w:val="003B70FA"/>
    <w:rsid w:val="003B71FD"/>
    <w:rsid w:val="003B742B"/>
    <w:rsid w:val="003B7686"/>
    <w:rsid w:val="003B79CA"/>
    <w:rsid w:val="003C1329"/>
    <w:rsid w:val="003C1B7E"/>
    <w:rsid w:val="003C1EE1"/>
    <w:rsid w:val="003C38D6"/>
    <w:rsid w:val="003C4056"/>
    <w:rsid w:val="003C40E3"/>
    <w:rsid w:val="003C423C"/>
    <w:rsid w:val="003C42C0"/>
    <w:rsid w:val="003C5031"/>
    <w:rsid w:val="003C5670"/>
    <w:rsid w:val="003C660A"/>
    <w:rsid w:val="003C6DAE"/>
    <w:rsid w:val="003C7139"/>
    <w:rsid w:val="003C7415"/>
    <w:rsid w:val="003C7CAF"/>
    <w:rsid w:val="003D0193"/>
    <w:rsid w:val="003D25C8"/>
    <w:rsid w:val="003D2FFA"/>
    <w:rsid w:val="003D381D"/>
    <w:rsid w:val="003D38FA"/>
    <w:rsid w:val="003D3D67"/>
    <w:rsid w:val="003D4143"/>
    <w:rsid w:val="003D47D2"/>
    <w:rsid w:val="003D4E5C"/>
    <w:rsid w:val="003D685D"/>
    <w:rsid w:val="003D6FAE"/>
    <w:rsid w:val="003D75D6"/>
    <w:rsid w:val="003D7670"/>
    <w:rsid w:val="003D7D5F"/>
    <w:rsid w:val="003E03F4"/>
    <w:rsid w:val="003E0E8D"/>
    <w:rsid w:val="003E20B1"/>
    <w:rsid w:val="003E2579"/>
    <w:rsid w:val="003E37C3"/>
    <w:rsid w:val="003E4597"/>
    <w:rsid w:val="003E4C0D"/>
    <w:rsid w:val="003E61A0"/>
    <w:rsid w:val="003E62C1"/>
    <w:rsid w:val="003E64FE"/>
    <w:rsid w:val="003E719E"/>
    <w:rsid w:val="003F0084"/>
    <w:rsid w:val="003F046F"/>
    <w:rsid w:val="003F0BC7"/>
    <w:rsid w:val="003F0FC8"/>
    <w:rsid w:val="003F35AE"/>
    <w:rsid w:val="003F3790"/>
    <w:rsid w:val="003F43D3"/>
    <w:rsid w:val="003F5142"/>
    <w:rsid w:val="003F6021"/>
    <w:rsid w:val="003F6C47"/>
    <w:rsid w:val="003F7416"/>
    <w:rsid w:val="003F7F99"/>
    <w:rsid w:val="004006BB"/>
    <w:rsid w:val="00400A50"/>
    <w:rsid w:val="00400B8D"/>
    <w:rsid w:val="00400BFA"/>
    <w:rsid w:val="00400EA5"/>
    <w:rsid w:val="00401569"/>
    <w:rsid w:val="00401B5E"/>
    <w:rsid w:val="00401CB9"/>
    <w:rsid w:val="00401EA0"/>
    <w:rsid w:val="00402522"/>
    <w:rsid w:val="00402CF9"/>
    <w:rsid w:val="0040309F"/>
    <w:rsid w:val="00404712"/>
    <w:rsid w:val="00404A7E"/>
    <w:rsid w:val="0040579F"/>
    <w:rsid w:val="004059CA"/>
    <w:rsid w:val="00405E60"/>
    <w:rsid w:val="00406C31"/>
    <w:rsid w:val="00406E40"/>
    <w:rsid w:val="00406EAD"/>
    <w:rsid w:val="004113B1"/>
    <w:rsid w:val="00411B93"/>
    <w:rsid w:val="00411D02"/>
    <w:rsid w:val="00411ECE"/>
    <w:rsid w:val="00412B7D"/>
    <w:rsid w:val="00412BDD"/>
    <w:rsid w:val="00413700"/>
    <w:rsid w:val="00413D80"/>
    <w:rsid w:val="00413F13"/>
    <w:rsid w:val="004145C9"/>
    <w:rsid w:val="00416712"/>
    <w:rsid w:val="00417466"/>
    <w:rsid w:val="00417D14"/>
    <w:rsid w:val="00420194"/>
    <w:rsid w:val="004203C5"/>
    <w:rsid w:val="004209D3"/>
    <w:rsid w:val="00421C0E"/>
    <w:rsid w:val="00421F33"/>
    <w:rsid w:val="00422D34"/>
    <w:rsid w:val="00423EC7"/>
    <w:rsid w:val="004243E7"/>
    <w:rsid w:val="00425168"/>
    <w:rsid w:val="00425216"/>
    <w:rsid w:val="00425C5F"/>
    <w:rsid w:val="004262C2"/>
    <w:rsid w:val="00426D82"/>
    <w:rsid w:val="004279BD"/>
    <w:rsid w:val="00427D35"/>
    <w:rsid w:val="00430C4B"/>
    <w:rsid w:val="004310CF"/>
    <w:rsid w:val="004317BF"/>
    <w:rsid w:val="00432725"/>
    <w:rsid w:val="00432BA2"/>
    <w:rsid w:val="00433157"/>
    <w:rsid w:val="00433EA9"/>
    <w:rsid w:val="00435610"/>
    <w:rsid w:val="0043676F"/>
    <w:rsid w:val="00436A85"/>
    <w:rsid w:val="00437540"/>
    <w:rsid w:val="004378B5"/>
    <w:rsid w:val="0044038C"/>
    <w:rsid w:val="0044039D"/>
    <w:rsid w:val="0044104C"/>
    <w:rsid w:val="00441DEE"/>
    <w:rsid w:val="00442750"/>
    <w:rsid w:val="004433EE"/>
    <w:rsid w:val="00443B76"/>
    <w:rsid w:val="00443E72"/>
    <w:rsid w:val="004448EA"/>
    <w:rsid w:val="004448FD"/>
    <w:rsid w:val="00444C24"/>
    <w:rsid w:val="00445830"/>
    <w:rsid w:val="00445933"/>
    <w:rsid w:val="00445BAB"/>
    <w:rsid w:val="00446160"/>
    <w:rsid w:val="004461BA"/>
    <w:rsid w:val="004466BE"/>
    <w:rsid w:val="004467EB"/>
    <w:rsid w:val="00450A8E"/>
    <w:rsid w:val="00451035"/>
    <w:rsid w:val="0045132E"/>
    <w:rsid w:val="004548B9"/>
    <w:rsid w:val="00454A08"/>
    <w:rsid w:val="00454E3E"/>
    <w:rsid w:val="00455557"/>
    <w:rsid w:val="0045596B"/>
    <w:rsid w:val="00455BA0"/>
    <w:rsid w:val="004563EC"/>
    <w:rsid w:val="00456CB9"/>
    <w:rsid w:val="00456E34"/>
    <w:rsid w:val="0045789F"/>
    <w:rsid w:val="00462309"/>
    <w:rsid w:val="0046307D"/>
    <w:rsid w:val="0046364D"/>
    <w:rsid w:val="004649E7"/>
    <w:rsid w:val="004665B2"/>
    <w:rsid w:val="004666CC"/>
    <w:rsid w:val="00466E71"/>
    <w:rsid w:val="00466FB3"/>
    <w:rsid w:val="00466FFC"/>
    <w:rsid w:val="00467CAE"/>
    <w:rsid w:val="00470F9F"/>
    <w:rsid w:val="0047144C"/>
    <w:rsid w:val="0047144E"/>
    <w:rsid w:val="00471B9C"/>
    <w:rsid w:val="00472084"/>
    <w:rsid w:val="00473471"/>
    <w:rsid w:val="00473DA2"/>
    <w:rsid w:val="0047418E"/>
    <w:rsid w:val="00474B84"/>
    <w:rsid w:val="0047522C"/>
    <w:rsid w:val="00476340"/>
    <w:rsid w:val="0048230E"/>
    <w:rsid w:val="004823F7"/>
    <w:rsid w:val="004828D5"/>
    <w:rsid w:val="00482E96"/>
    <w:rsid w:val="004830B2"/>
    <w:rsid w:val="00483312"/>
    <w:rsid w:val="004833A7"/>
    <w:rsid w:val="00483D46"/>
    <w:rsid w:val="00483E56"/>
    <w:rsid w:val="004847F4"/>
    <w:rsid w:val="00485E2F"/>
    <w:rsid w:val="00486355"/>
    <w:rsid w:val="00486D07"/>
    <w:rsid w:val="00487AFB"/>
    <w:rsid w:val="00491D2B"/>
    <w:rsid w:val="00491EB0"/>
    <w:rsid w:val="00494029"/>
    <w:rsid w:val="004941B7"/>
    <w:rsid w:val="00497674"/>
    <w:rsid w:val="00497776"/>
    <w:rsid w:val="00497DDE"/>
    <w:rsid w:val="004A0090"/>
    <w:rsid w:val="004A1043"/>
    <w:rsid w:val="004A136C"/>
    <w:rsid w:val="004A1D88"/>
    <w:rsid w:val="004A25AC"/>
    <w:rsid w:val="004A2AB7"/>
    <w:rsid w:val="004A2C2A"/>
    <w:rsid w:val="004A359C"/>
    <w:rsid w:val="004A405D"/>
    <w:rsid w:val="004A574C"/>
    <w:rsid w:val="004A6427"/>
    <w:rsid w:val="004B20FA"/>
    <w:rsid w:val="004B2847"/>
    <w:rsid w:val="004B309B"/>
    <w:rsid w:val="004B44A8"/>
    <w:rsid w:val="004B4959"/>
    <w:rsid w:val="004B4BAA"/>
    <w:rsid w:val="004B4E0E"/>
    <w:rsid w:val="004B55EC"/>
    <w:rsid w:val="004B7166"/>
    <w:rsid w:val="004B7791"/>
    <w:rsid w:val="004B7837"/>
    <w:rsid w:val="004B7A68"/>
    <w:rsid w:val="004C01C2"/>
    <w:rsid w:val="004C02B9"/>
    <w:rsid w:val="004C06B3"/>
    <w:rsid w:val="004C13FD"/>
    <w:rsid w:val="004C22C4"/>
    <w:rsid w:val="004C37C3"/>
    <w:rsid w:val="004C455B"/>
    <w:rsid w:val="004C56B9"/>
    <w:rsid w:val="004C69B0"/>
    <w:rsid w:val="004D223E"/>
    <w:rsid w:val="004D4517"/>
    <w:rsid w:val="004D48F0"/>
    <w:rsid w:val="004D4D26"/>
    <w:rsid w:val="004D55B7"/>
    <w:rsid w:val="004D5E34"/>
    <w:rsid w:val="004D62E8"/>
    <w:rsid w:val="004D6630"/>
    <w:rsid w:val="004D6752"/>
    <w:rsid w:val="004D7875"/>
    <w:rsid w:val="004E062B"/>
    <w:rsid w:val="004E0810"/>
    <w:rsid w:val="004E085D"/>
    <w:rsid w:val="004E122E"/>
    <w:rsid w:val="004E214E"/>
    <w:rsid w:val="004E3807"/>
    <w:rsid w:val="004E381C"/>
    <w:rsid w:val="004E44D6"/>
    <w:rsid w:val="004E5AED"/>
    <w:rsid w:val="004E7632"/>
    <w:rsid w:val="004E7988"/>
    <w:rsid w:val="004E7A84"/>
    <w:rsid w:val="004E7A97"/>
    <w:rsid w:val="004F0E8D"/>
    <w:rsid w:val="004F19E7"/>
    <w:rsid w:val="004F1DCE"/>
    <w:rsid w:val="004F3FE5"/>
    <w:rsid w:val="004F6247"/>
    <w:rsid w:val="004F728A"/>
    <w:rsid w:val="005014FC"/>
    <w:rsid w:val="005016E7"/>
    <w:rsid w:val="00501AB5"/>
    <w:rsid w:val="00501AE7"/>
    <w:rsid w:val="00503B94"/>
    <w:rsid w:val="00503D7B"/>
    <w:rsid w:val="0050421A"/>
    <w:rsid w:val="00504745"/>
    <w:rsid w:val="00504F4E"/>
    <w:rsid w:val="00505BD4"/>
    <w:rsid w:val="00506BAC"/>
    <w:rsid w:val="00507957"/>
    <w:rsid w:val="00510865"/>
    <w:rsid w:val="00511C69"/>
    <w:rsid w:val="00511C8B"/>
    <w:rsid w:val="0051249C"/>
    <w:rsid w:val="00513A36"/>
    <w:rsid w:val="00515449"/>
    <w:rsid w:val="00517891"/>
    <w:rsid w:val="005203D6"/>
    <w:rsid w:val="00520C61"/>
    <w:rsid w:val="00521990"/>
    <w:rsid w:val="00523150"/>
    <w:rsid w:val="00523451"/>
    <w:rsid w:val="0052438B"/>
    <w:rsid w:val="0052454A"/>
    <w:rsid w:val="00524A65"/>
    <w:rsid w:val="00524CCF"/>
    <w:rsid w:val="005258DF"/>
    <w:rsid w:val="00526719"/>
    <w:rsid w:val="00530F0F"/>
    <w:rsid w:val="005339FF"/>
    <w:rsid w:val="00533ED7"/>
    <w:rsid w:val="005340A1"/>
    <w:rsid w:val="0053449A"/>
    <w:rsid w:val="00535D9C"/>
    <w:rsid w:val="0053701A"/>
    <w:rsid w:val="0053732D"/>
    <w:rsid w:val="00537DEA"/>
    <w:rsid w:val="00540C57"/>
    <w:rsid w:val="00541ED4"/>
    <w:rsid w:val="00542403"/>
    <w:rsid w:val="00542CDC"/>
    <w:rsid w:val="00543C7C"/>
    <w:rsid w:val="00544605"/>
    <w:rsid w:val="00544DF3"/>
    <w:rsid w:val="00545D4C"/>
    <w:rsid w:val="005470D8"/>
    <w:rsid w:val="0054732C"/>
    <w:rsid w:val="00547C92"/>
    <w:rsid w:val="00547CD3"/>
    <w:rsid w:val="00547F16"/>
    <w:rsid w:val="005507F8"/>
    <w:rsid w:val="005515AD"/>
    <w:rsid w:val="00551BA0"/>
    <w:rsid w:val="00552AD8"/>
    <w:rsid w:val="005535D1"/>
    <w:rsid w:val="005538C8"/>
    <w:rsid w:val="00553F0B"/>
    <w:rsid w:val="00553FF6"/>
    <w:rsid w:val="00555386"/>
    <w:rsid w:val="00555859"/>
    <w:rsid w:val="005568E0"/>
    <w:rsid w:val="00556DBA"/>
    <w:rsid w:val="00556E18"/>
    <w:rsid w:val="005601A9"/>
    <w:rsid w:val="00560876"/>
    <w:rsid w:val="00560C79"/>
    <w:rsid w:val="0056140A"/>
    <w:rsid w:val="005618FE"/>
    <w:rsid w:val="00562033"/>
    <w:rsid w:val="00562409"/>
    <w:rsid w:val="005624F9"/>
    <w:rsid w:val="00563762"/>
    <w:rsid w:val="00564A4F"/>
    <w:rsid w:val="005659A1"/>
    <w:rsid w:val="00565B69"/>
    <w:rsid w:val="0056610A"/>
    <w:rsid w:val="005663D1"/>
    <w:rsid w:val="005669F2"/>
    <w:rsid w:val="00567744"/>
    <w:rsid w:val="00567E95"/>
    <w:rsid w:val="005710DA"/>
    <w:rsid w:val="005714F5"/>
    <w:rsid w:val="005738F3"/>
    <w:rsid w:val="0057417A"/>
    <w:rsid w:val="005741E3"/>
    <w:rsid w:val="00574727"/>
    <w:rsid w:val="0057498A"/>
    <w:rsid w:val="00575278"/>
    <w:rsid w:val="005754AB"/>
    <w:rsid w:val="00576017"/>
    <w:rsid w:val="0057649E"/>
    <w:rsid w:val="00577D4D"/>
    <w:rsid w:val="00577F8C"/>
    <w:rsid w:val="005801FC"/>
    <w:rsid w:val="005808B4"/>
    <w:rsid w:val="00582137"/>
    <w:rsid w:val="00584F1C"/>
    <w:rsid w:val="005850B2"/>
    <w:rsid w:val="005852E7"/>
    <w:rsid w:val="005853D9"/>
    <w:rsid w:val="00586656"/>
    <w:rsid w:val="0058750C"/>
    <w:rsid w:val="00587534"/>
    <w:rsid w:val="00587899"/>
    <w:rsid w:val="00591C30"/>
    <w:rsid w:val="00592430"/>
    <w:rsid w:val="00592D8C"/>
    <w:rsid w:val="00594091"/>
    <w:rsid w:val="0059459C"/>
    <w:rsid w:val="0059480C"/>
    <w:rsid w:val="00594BC4"/>
    <w:rsid w:val="00595D77"/>
    <w:rsid w:val="00596BF8"/>
    <w:rsid w:val="00596D16"/>
    <w:rsid w:val="005A1165"/>
    <w:rsid w:val="005A1A22"/>
    <w:rsid w:val="005A1EFB"/>
    <w:rsid w:val="005A3221"/>
    <w:rsid w:val="005A3C85"/>
    <w:rsid w:val="005A4158"/>
    <w:rsid w:val="005A51CA"/>
    <w:rsid w:val="005A575C"/>
    <w:rsid w:val="005A60F0"/>
    <w:rsid w:val="005A7B5C"/>
    <w:rsid w:val="005B03C7"/>
    <w:rsid w:val="005B05B2"/>
    <w:rsid w:val="005B1629"/>
    <w:rsid w:val="005B20E8"/>
    <w:rsid w:val="005B3962"/>
    <w:rsid w:val="005B5316"/>
    <w:rsid w:val="005B55EC"/>
    <w:rsid w:val="005B63A1"/>
    <w:rsid w:val="005B73A0"/>
    <w:rsid w:val="005B7B39"/>
    <w:rsid w:val="005C19D3"/>
    <w:rsid w:val="005C1EE9"/>
    <w:rsid w:val="005C20C4"/>
    <w:rsid w:val="005C28FF"/>
    <w:rsid w:val="005C401B"/>
    <w:rsid w:val="005C455D"/>
    <w:rsid w:val="005C5D5E"/>
    <w:rsid w:val="005C6693"/>
    <w:rsid w:val="005C7EC4"/>
    <w:rsid w:val="005D053E"/>
    <w:rsid w:val="005D08A7"/>
    <w:rsid w:val="005D0D2F"/>
    <w:rsid w:val="005D10C9"/>
    <w:rsid w:val="005D2D93"/>
    <w:rsid w:val="005D3134"/>
    <w:rsid w:val="005D34BA"/>
    <w:rsid w:val="005D4457"/>
    <w:rsid w:val="005D493F"/>
    <w:rsid w:val="005D4E2E"/>
    <w:rsid w:val="005D6BBC"/>
    <w:rsid w:val="005D6F60"/>
    <w:rsid w:val="005E0EAA"/>
    <w:rsid w:val="005E1796"/>
    <w:rsid w:val="005E4767"/>
    <w:rsid w:val="005E47E9"/>
    <w:rsid w:val="005E4FCE"/>
    <w:rsid w:val="005E52BC"/>
    <w:rsid w:val="005E5FE1"/>
    <w:rsid w:val="005E6181"/>
    <w:rsid w:val="005E7044"/>
    <w:rsid w:val="005E73C2"/>
    <w:rsid w:val="005E7A1D"/>
    <w:rsid w:val="005E7AC2"/>
    <w:rsid w:val="005E7E85"/>
    <w:rsid w:val="005F025D"/>
    <w:rsid w:val="005F05A3"/>
    <w:rsid w:val="005F0F59"/>
    <w:rsid w:val="005F3115"/>
    <w:rsid w:val="005F34B6"/>
    <w:rsid w:val="005F387B"/>
    <w:rsid w:val="005F3DAD"/>
    <w:rsid w:val="005F4316"/>
    <w:rsid w:val="005F502E"/>
    <w:rsid w:val="005F6BCF"/>
    <w:rsid w:val="00600549"/>
    <w:rsid w:val="00600759"/>
    <w:rsid w:val="006008D5"/>
    <w:rsid w:val="00600FB7"/>
    <w:rsid w:val="00601149"/>
    <w:rsid w:val="00601FF5"/>
    <w:rsid w:val="006027AA"/>
    <w:rsid w:val="00603A1D"/>
    <w:rsid w:val="00603BDC"/>
    <w:rsid w:val="00603FE0"/>
    <w:rsid w:val="00605A66"/>
    <w:rsid w:val="00605D83"/>
    <w:rsid w:val="006060D1"/>
    <w:rsid w:val="00606255"/>
    <w:rsid w:val="00606953"/>
    <w:rsid w:val="00607CC3"/>
    <w:rsid w:val="00607EEF"/>
    <w:rsid w:val="006102BE"/>
    <w:rsid w:val="00611083"/>
    <w:rsid w:val="0061166C"/>
    <w:rsid w:val="006117CF"/>
    <w:rsid w:val="0061225E"/>
    <w:rsid w:val="0061264D"/>
    <w:rsid w:val="006128D6"/>
    <w:rsid w:val="0061329C"/>
    <w:rsid w:val="00613B2A"/>
    <w:rsid w:val="0061409A"/>
    <w:rsid w:val="0061512C"/>
    <w:rsid w:val="00615511"/>
    <w:rsid w:val="00616726"/>
    <w:rsid w:val="006170AE"/>
    <w:rsid w:val="006173E2"/>
    <w:rsid w:val="00617DE6"/>
    <w:rsid w:val="00620090"/>
    <w:rsid w:val="006201FD"/>
    <w:rsid w:val="006207B5"/>
    <w:rsid w:val="0062124F"/>
    <w:rsid w:val="00622909"/>
    <w:rsid w:val="006241D4"/>
    <w:rsid w:val="0062427E"/>
    <w:rsid w:val="00626596"/>
    <w:rsid w:val="006303D7"/>
    <w:rsid w:val="0063083C"/>
    <w:rsid w:val="00632227"/>
    <w:rsid w:val="00632C5F"/>
    <w:rsid w:val="00633C15"/>
    <w:rsid w:val="00634570"/>
    <w:rsid w:val="00634AF4"/>
    <w:rsid w:val="00635425"/>
    <w:rsid w:val="00635F8F"/>
    <w:rsid w:val="00636D54"/>
    <w:rsid w:val="00637733"/>
    <w:rsid w:val="00640A52"/>
    <w:rsid w:val="00640B68"/>
    <w:rsid w:val="00641938"/>
    <w:rsid w:val="00641E34"/>
    <w:rsid w:val="00641FE3"/>
    <w:rsid w:val="00642B0D"/>
    <w:rsid w:val="00642ECF"/>
    <w:rsid w:val="006439F1"/>
    <w:rsid w:val="00644973"/>
    <w:rsid w:val="006451FC"/>
    <w:rsid w:val="00645731"/>
    <w:rsid w:val="00646B2C"/>
    <w:rsid w:val="00646B9F"/>
    <w:rsid w:val="006476DA"/>
    <w:rsid w:val="00647883"/>
    <w:rsid w:val="006512BC"/>
    <w:rsid w:val="00651B3D"/>
    <w:rsid w:val="00651D8B"/>
    <w:rsid w:val="00652A37"/>
    <w:rsid w:val="00652ABD"/>
    <w:rsid w:val="0065373D"/>
    <w:rsid w:val="00653819"/>
    <w:rsid w:val="00653C0C"/>
    <w:rsid w:val="00653CCF"/>
    <w:rsid w:val="00653D22"/>
    <w:rsid w:val="00653F30"/>
    <w:rsid w:val="006546A0"/>
    <w:rsid w:val="006556B2"/>
    <w:rsid w:val="00655B6C"/>
    <w:rsid w:val="00656334"/>
    <w:rsid w:val="00656687"/>
    <w:rsid w:val="00656B6A"/>
    <w:rsid w:val="00657FD9"/>
    <w:rsid w:val="00660341"/>
    <w:rsid w:val="006618B1"/>
    <w:rsid w:val="00664621"/>
    <w:rsid w:val="00664622"/>
    <w:rsid w:val="00665459"/>
    <w:rsid w:val="00665742"/>
    <w:rsid w:val="00666342"/>
    <w:rsid w:val="006663D8"/>
    <w:rsid w:val="0066748A"/>
    <w:rsid w:val="00667639"/>
    <w:rsid w:val="0067176D"/>
    <w:rsid w:val="00673011"/>
    <w:rsid w:val="00673160"/>
    <w:rsid w:val="006738F1"/>
    <w:rsid w:val="00673DF9"/>
    <w:rsid w:val="00674109"/>
    <w:rsid w:val="00675BF7"/>
    <w:rsid w:val="00675E6D"/>
    <w:rsid w:val="00675E9B"/>
    <w:rsid w:val="00676A11"/>
    <w:rsid w:val="00676D59"/>
    <w:rsid w:val="006775C1"/>
    <w:rsid w:val="00681BE6"/>
    <w:rsid w:val="00681C03"/>
    <w:rsid w:val="00682479"/>
    <w:rsid w:val="0068251A"/>
    <w:rsid w:val="00682AAF"/>
    <w:rsid w:val="00683194"/>
    <w:rsid w:val="006832B2"/>
    <w:rsid w:val="00683A8B"/>
    <w:rsid w:val="006843E8"/>
    <w:rsid w:val="006868D0"/>
    <w:rsid w:val="00686C01"/>
    <w:rsid w:val="00686E8F"/>
    <w:rsid w:val="00691C64"/>
    <w:rsid w:val="006931AB"/>
    <w:rsid w:val="00693E40"/>
    <w:rsid w:val="006945C6"/>
    <w:rsid w:val="00695206"/>
    <w:rsid w:val="00695349"/>
    <w:rsid w:val="006954E3"/>
    <w:rsid w:val="00695531"/>
    <w:rsid w:val="00696C30"/>
    <w:rsid w:val="006973B8"/>
    <w:rsid w:val="00697567"/>
    <w:rsid w:val="00697C96"/>
    <w:rsid w:val="00697E4F"/>
    <w:rsid w:val="00697F33"/>
    <w:rsid w:val="006A0F13"/>
    <w:rsid w:val="006A0FD4"/>
    <w:rsid w:val="006A1105"/>
    <w:rsid w:val="006A1679"/>
    <w:rsid w:val="006A1A65"/>
    <w:rsid w:val="006A383C"/>
    <w:rsid w:val="006A385C"/>
    <w:rsid w:val="006A414F"/>
    <w:rsid w:val="006A5ED5"/>
    <w:rsid w:val="006A645C"/>
    <w:rsid w:val="006A64F4"/>
    <w:rsid w:val="006A65BD"/>
    <w:rsid w:val="006A680E"/>
    <w:rsid w:val="006A6E5D"/>
    <w:rsid w:val="006A6E8A"/>
    <w:rsid w:val="006A6FEF"/>
    <w:rsid w:val="006A70A2"/>
    <w:rsid w:val="006A7D53"/>
    <w:rsid w:val="006A7D8B"/>
    <w:rsid w:val="006B0F8D"/>
    <w:rsid w:val="006B133A"/>
    <w:rsid w:val="006B13FA"/>
    <w:rsid w:val="006B1B72"/>
    <w:rsid w:val="006B1F30"/>
    <w:rsid w:val="006B1FFF"/>
    <w:rsid w:val="006B3B9D"/>
    <w:rsid w:val="006B4398"/>
    <w:rsid w:val="006B5F64"/>
    <w:rsid w:val="006B6E46"/>
    <w:rsid w:val="006C0A10"/>
    <w:rsid w:val="006C1CF5"/>
    <w:rsid w:val="006C21F9"/>
    <w:rsid w:val="006C2535"/>
    <w:rsid w:val="006C25A8"/>
    <w:rsid w:val="006C4336"/>
    <w:rsid w:val="006C4628"/>
    <w:rsid w:val="006C4D37"/>
    <w:rsid w:val="006C760D"/>
    <w:rsid w:val="006C7DC6"/>
    <w:rsid w:val="006D011F"/>
    <w:rsid w:val="006D046B"/>
    <w:rsid w:val="006D1164"/>
    <w:rsid w:val="006D277F"/>
    <w:rsid w:val="006D30D4"/>
    <w:rsid w:val="006D3307"/>
    <w:rsid w:val="006D46B6"/>
    <w:rsid w:val="006D5513"/>
    <w:rsid w:val="006D5BA5"/>
    <w:rsid w:val="006D5EA4"/>
    <w:rsid w:val="006D64C0"/>
    <w:rsid w:val="006D7236"/>
    <w:rsid w:val="006D74C9"/>
    <w:rsid w:val="006E031B"/>
    <w:rsid w:val="006E1BC4"/>
    <w:rsid w:val="006E2181"/>
    <w:rsid w:val="006E231D"/>
    <w:rsid w:val="006E4374"/>
    <w:rsid w:val="006E43D8"/>
    <w:rsid w:val="006E4959"/>
    <w:rsid w:val="006E4EBD"/>
    <w:rsid w:val="006E515C"/>
    <w:rsid w:val="006E64E0"/>
    <w:rsid w:val="006E713F"/>
    <w:rsid w:val="006E79BA"/>
    <w:rsid w:val="006F066F"/>
    <w:rsid w:val="006F08A7"/>
    <w:rsid w:val="006F298C"/>
    <w:rsid w:val="006F2D3F"/>
    <w:rsid w:val="006F3042"/>
    <w:rsid w:val="006F3A46"/>
    <w:rsid w:val="006F414B"/>
    <w:rsid w:val="006F423A"/>
    <w:rsid w:val="006F426B"/>
    <w:rsid w:val="006F46A8"/>
    <w:rsid w:val="006F5426"/>
    <w:rsid w:val="006F544E"/>
    <w:rsid w:val="006F64E2"/>
    <w:rsid w:val="006F6D33"/>
    <w:rsid w:val="006F7FD1"/>
    <w:rsid w:val="00701FB6"/>
    <w:rsid w:val="00702059"/>
    <w:rsid w:val="007028FE"/>
    <w:rsid w:val="007035CA"/>
    <w:rsid w:val="0070398B"/>
    <w:rsid w:val="00703C45"/>
    <w:rsid w:val="007049A8"/>
    <w:rsid w:val="007053F3"/>
    <w:rsid w:val="00706B48"/>
    <w:rsid w:val="00711437"/>
    <w:rsid w:val="007118F4"/>
    <w:rsid w:val="0071258F"/>
    <w:rsid w:val="007126E8"/>
    <w:rsid w:val="00712CA9"/>
    <w:rsid w:val="00712FCF"/>
    <w:rsid w:val="00713113"/>
    <w:rsid w:val="0071330C"/>
    <w:rsid w:val="00713753"/>
    <w:rsid w:val="00713A0E"/>
    <w:rsid w:val="007142A9"/>
    <w:rsid w:val="007149A9"/>
    <w:rsid w:val="00714EB5"/>
    <w:rsid w:val="00715CA4"/>
    <w:rsid w:val="007163E8"/>
    <w:rsid w:val="00716E9C"/>
    <w:rsid w:val="007209F3"/>
    <w:rsid w:val="00720AD3"/>
    <w:rsid w:val="00720DF2"/>
    <w:rsid w:val="00722FC4"/>
    <w:rsid w:val="0072383C"/>
    <w:rsid w:val="00723DC6"/>
    <w:rsid w:val="00724485"/>
    <w:rsid w:val="0072514F"/>
    <w:rsid w:val="007251D5"/>
    <w:rsid w:val="007305F0"/>
    <w:rsid w:val="00730814"/>
    <w:rsid w:val="00730F2B"/>
    <w:rsid w:val="00731C8D"/>
    <w:rsid w:val="00733644"/>
    <w:rsid w:val="00733F19"/>
    <w:rsid w:val="00734876"/>
    <w:rsid w:val="00735C83"/>
    <w:rsid w:val="00736C66"/>
    <w:rsid w:val="007377E7"/>
    <w:rsid w:val="00740BFB"/>
    <w:rsid w:val="00741B09"/>
    <w:rsid w:val="00743A73"/>
    <w:rsid w:val="0074443B"/>
    <w:rsid w:val="00745072"/>
    <w:rsid w:val="00745885"/>
    <w:rsid w:val="007460BC"/>
    <w:rsid w:val="007505B3"/>
    <w:rsid w:val="00751958"/>
    <w:rsid w:val="00752504"/>
    <w:rsid w:val="0075275B"/>
    <w:rsid w:val="007528EF"/>
    <w:rsid w:val="007529D1"/>
    <w:rsid w:val="00752F17"/>
    <w:rsid w:val="007546C1"/>
    <w:rsid w:val="00754FAA"/>
    <w:rsid w:val="00755D70"/>
    <w:rsid w:val="0076052A"/>
    <w:rsid w:val="0076097F"/>
    <w:rsid w:val="00761AA1"/>
    <w:rsid w:val="00761B7F"/>
    <w:rsid w:val="00761C39"/>
    <w:rsid w:val="00762AFC"/>
    <w:rsid w:val="00764010"/>
    <w:rsid w:val="007641CF"/>
    <w:rsid w:val="00765B78"/>
    <w:rsid w:val="0076677C"/>
    <w:rsid w:val="00766F6C"/>
    <w:rsid w:val="00767D91"/>
    <w:rsid w:val="0077003E"/>
    <w:rsid w:val="00770560"/>
    <w:rsid w:val="0077084E"/>
    <w:rsid w:val="00770A46"/>
    <w:rsid w:val="00771166"/>
    <w:rsid w:val="00771725"/>
    <w:rsid w:val="00771D5B"/>
    <w:rsid w:val="00771D87"/>
    <w:rsid w:val="0077231B"/>
    <w:rsid w:val="00772505"/>
    <w:rsid w:val="00772F24"/>
    <w:rsid w:val="00773295"/>
    <w:rsid w:val="0077406F"/>
    <w:rsid w:val="0077428C"/>
    <w:rsid w:val="00774300"/>
    <w:rsid w:val="007743D5"/>
    <w:rsid w:val="00774E5D"/>
    <w:rsid w:val="00775081"/>
    <w:rsid w:val="0077520A"/>
    <w:rsid w:val="0077522D"/>
    <w:rsid w:val="00775474"/>
    <w:rsid w:val="00775A61"/>
    <w:rsid w:val="00775E97"/>
    <w:rsid w:val="00776561"/>
    <w:rsid w:val="00776C4B"/>
    <w:rsid w:val="0077734D"/>
    <w:rsid w:val="007808CD"/>
    <w:rsid w:val="0078102A"/>
    <w:rsid w:val="0078112D"/>
    <w:rsid w:val="0078189B"/>
    <w:rsid w:val="00782829"/>
    <w:rsid w:val="00782991"/>
    <w:rsid w:val="0078299B"/>
    <w:rsid w:val="00782B64"/>
    <w:rsid w:val="00783639"/>
    <w:rsid w:val="00786171"/>
    <w:rsid w:val="007864A7"/>
    <w:rsid w:val="007867A0"/>
    <w:rsid w:val="00786F66"/>
    <w:rsid w:val="00787E5D"/>
    <w:rsid w:val="0079057B"/>
    <w:rsid w:val="007913A5"/>
    <w:rsid w:val="00793586"/>
    <w:rsid w:val="00793876"/>
    <w:rsid w:val="007948B7"/>
    <w:rsid w:val="007957F0"/>
    <w:rsid w:val="00795928"/>
    <w:rsid w:val="007973AA"/>
    <w:rsid w:val="00797A0F"/>
    <w:rsid w:val="00797A16"/>
    <w:rsid w:val="00797FD4"/>
    <w:rsid w:val="007A05FE"/>
    <w:rsid w:val="007A12A7"/>
    <w:rsid w:val="007A1C28"/>
    <w:rsid w:val="007A2583"/>
    <w:rsid w:val="007A3781"/>
    <w:rsid w:val="007A3E5B"/>
    <w:rsid w:val="007A5325"/>
    <w:rsid w:val="007A5DD7"/>
    <w:rsid w:val="007B067C"/>
    <w:rsid w:val="007B0D34"/>
    <w:rsid w:val="007B164C"/>
    <w:rsid w:val="007B4B73"/>
    <w:rsid w:val="007B6A73"/>
    <w:rsid w:val="007B6ED1"/>
    <w:rsid w:val="007B799E"/>
    <w:rsid w:val="007B7E09"/>
    <w:rsid w:val="007C0336"/>
    <w:rsid w:val="007C0F55"/>
    <w:rsid w:val="007C13BB"/>
    <w:rsid w:val="007C1E93"/>
    <w:rsid w:val="007C26DF"/>
    <w:rsid w:val="007C2D6D"/>
    <w:rsid w:val="007C3415"/>
    <w:rsid w:val="007C3C9C"/>
    <w:rsid w:val="007C3DC2"/>
    <w:rsid w:val="007C4A56"/>
    <w:rsid w:val="007C4FD7"/>
    <w:rsid w:val="007C5848"/>
    <w:rsid w:val="007C72D4"/>
    <w:rsid w:val="007C7396"/>
    <w:rsid w:val="007D0053"/>
    <w:rsid w:val="007D1DC3"/>
    <w:rsid w:val="007D3B9B"/>
    <w:rsid w:val="007D4AD6"/>
    <w:rsid w:val="007D53E5"/>
    <w:rsid w:val="007D5716"/>
    <w:rsid w:val="007D62C6"/>
    <w:rsid w:val="007E053B"/>
    <w:rsid w:val="007E2A26"/>
    <w:rsid w:val="007E3458"/>
    <w:rsid w:val="007E3C53"/>
    <w:rsid w:val="007E3FA6"/>
    <w:rsid w:val="007E40B4"/>
    <w:rsid w:val="007E61E9"/>
    <w:rsid w:val="007E7750"/>
    <w:rsid w:val="007E7B29"/>
    <w:rsid w:val="007F02D1"/>
    <w:rsid w:val="007F0D92"/>
    <w:rsid w:val="007F3159"/>
    <w:rsid w:val="007F4648"/>
    <w:rsid w:val="007F4D9A"/>
    <w:rsid w:val="007F50B1"/>
    <w:rsid w:val="007F61B0"/>
    <w:rsid w:val="007F64AD"/>
    <w:rsid w:val="007F65B5"/>
    <w:rsid w:val="007F7047"/>
    <w:rsid w:val="007F76D9"/>
    <w:rsid w:val="0080120B"/>
    <w:rsid w:val="008013B9"/>
    <w:rsid w:val="00801AA8"/>
    <w:rsid w:val="00801B94"/>
    <w:rsid w:val="0080231A"/>
    <w:rsid w:val="0080240C"/>
    <w:rsid w:val="008033CF"/>
    <w:rsid w:val="00803501"/>
    <w:rsid w:val="00803974"/>
    <w:rsid w:val="00803BF2"/>
    <w:rsid w:val="00804376"/>
    <w:rsid w:val="00804A1E"/>
    <w:rsid w:val="00804E3C"/>
    <w:rsid w:val="00805507"/>
    <w:rsid w:val="0080580C"/>
    <w:rsid w:val="00805EAC"/>
    <w:rsid w:val="008069C4"/>
    <w:rsid w:val="00807E91"/>
    <w:rsid w:val="00810692"/>
    <w:rsid w:val="0081130F"/>
    <w:rsid w:val="00812C20"/>
    <w:rsid w:val="00813D75"/>
    <w:rsid w:val="0081513E"/>
    <w:rsid w:val="00815D15"/>
    <w:rsid w:val="008174B2"/>
    <w:rsid w:val="00821999"/>
    <w:rsid w:val="00821CF0"/>
    <w:rsid w:val="0082276C"/>
    <w:rsid w:val="00822DD1"/>
    <w:rsid w:val="008238E3"/>
    <w:rsid w:val="00824521"/>
    <w:rsid w:val="00824C5E"/>
    <w:rsid w:val="008259F1"/>
    <w:rsid w:val="00826B33"/>
    <w:rsid w:val="00826D8E"/>
    <w:rsid w:val="00827529"/>
    <w:rsid w:val="00827BF6"/>
    <w:rsid w:val="00831119"/>
    <w:rsid w:val="00831215"/>
    <w:rsid w:val="00831676"/>
    <w:rsid w:val="00831A55"/>
    <w:rsid w:val="00831EC5"/>
    <w:rsid w:val="008346C2"/>
    <w:rsid w:val="008346E5"/>
    <w:rsid w:val="0083481F"/>
    <w:rsid w:val="00834933"/>
    <w:rsid w:val="00835034"/>
    <w:rsid w:val="0083603F"/>
    <w:rsid w:val="00836ADB"/>
    <w:rsid w:val="0083701B"/>
    <w:rsid w:val="00837377"/>
    <w:rsid w:val="00837497"/>
    <w:rsid w:val="0083760B"/>
    <w:rsid w:val="008378D9"/>
    <w:rsid w:val="00841855"/>
    <w:rsid w:val="00841ADC"/>
    <w:rsid w:val="00842305"/>
    <w:rsid w:val="008427AC"/>
    <w:rsid w:val="00842C7E"/>
    <w:rsid w:val="00843159"/>
    <w:rsid w:val="008431BE"/>
    <w:rsid w:val="0084479B"/>
    <w:rsid w:val="008456E0"/>
    <w:rsid w:val="00845A2C"/>
    <w:rsid w:val="00846FA3"/>
    <w:rsid w:val="00847801"/>
    <w:rsid w:val="008502E6"/>
    <w:rsid w:val="00850494"/>
    <w:rsid w:val="00850A99"/>
    <w:rsid w:val="00850E6D"/>
    <w:rsid w:val="00850F15"/>
    <w:rsid w:val="00851358"/>
    <w:rsid w:val="00851441"/>
    <w:rsid w:val="00851A4D"/>
    <w:rsid w:val="00854818"/>
    <w:rsid w:val="00854ACA"/>
    <w:rsid w:val="00854B11"/>
    <w:rsid w:val="00855518"/>
    <w:rsid w:val="00855E46"/>
    <w:rsid w:val="00856302"/>
    <w:rsid w:val="00856866"/>
    <w:rsid w:val="00857D4E"/>
    <w:rsid w:val="008611CD"/>
    <w:rsid w:val="0086252D"/>
    <w:rsid w:val="0086256E"/>
    <w:rsid w:val="00862E87"/>
    <w:rsid w:val="00863AEC"/>
    <w:rsid w:val="00863F72"/>
    <w:rsid w:val="008657F2"/>
    <w:rsid w:val="00865855"/>
    <w:rsid w:val="00866FA6"/>
    <w:rsid w:val="0086730B"/>
    <w:rsid w:val="008677F6"/>
    <w:rsid w:val="00871AFB"/>
    <w:rsid w:val="00871C01"/>
    <w:rsid w:val="008723C0"/>
    <w:rsid w:val="0087331C"/>
    <w:rsid w:val="0087418D"/>
    <w:rsid w:val="00874338"/>
    <w:rsid w:val="00874E72"/>
    <w:rsid w:val="008755E6"/>
    <w:rsid w:val="00875D66"/>
    <w:rsid w:val="00876090"/>
    <w:rsid w:val="0087655E"/>
    <w:rsid w:val="00876ECE"/>
    <w:rsid w:val="0087710C"/>
    <w:rsid w:val="00877CAC"/>
    <w:rsid w:val="00877E77"/>
    <w:rsid w:val="00877F53"/>
    <w:rsid w:val="0088059D"/>
    <w:rsid w:val="00880B8B"/>
    <w:rsid w:val="00880C94"/>
    <w:rsid w:val="00881016"/>
    <w:rsid w:val="00881451"/>
    <w:rsid w:val="0088226F"/>
    <w:rsid w:val="0088231B"/>
    <w:rsid w:val="0088251D"/>
    <w:rsid w:val="00882841"/>
    <w:rsid w:val="0088379E"/>
    <w:rsid w:val="00884795"/>
    <w:rsid w:val="00885573"/>
    <w:rsid w:val="008855B6"/>
    <w:rsid w:val="00887A90"/>
    <w:rsid w:val="0089012C"/>
    <w:rsid w:val="008908A5"/>
    <w:rsid w:val="00890F8E"/>
    <w:rsid w:val="00893FB6"/>
    <w:rsid w:val="00894185"/>
    <w:rsid w:val="008946AE"/>
    <w:rsid w:val="00894BF8"/>
    <w:rsid w:val="00894F2F"/>
    <w:rsid w:val="008958A2"/>
    <w:rsid w:val="00895DC5"/>
    <w:rsid w:val="008A20DA"/>
    <w:rsid w:val="008A23C4"/>
    <w:rsid w:val="008A4130"/>
    <w:rsid w:val="008A4804"/>
    <w:rsid w:val="008A523A"/>
    <w:rsid w:val="008A5737"/>
    <w:rsid w:val="008A6372"/>
    <w:rsid w:val="008A6863"/>
    <w:rsid w:val="008A7A9E"/>
    <w:rsid w:val="008A7C4D"/>
    <w:rsid w:val="008B2296"/>
    <w:rsid w:val="008B2876"/>
    <w:rsid w:val="008B3BED"/>
    <w:rsid w:val="008B6C43"/>
    <w:rsid w:val="008B75D5"/>
    <w:rsid w:val="008B7AE1"/>
    <w:rsid w:val="008C1575"/>
    <w:rsid w:val="008C1A9D"/>
    <w:rsid w:val="008C250F"/>
    <w:rsid w:val="008C280F"/>
    <w:rsid w:val="008C2E8E"/>
    <w:rsid w:val="008C4EF0"/>
    <w:rsid w:val="008C5553"/>
    <w:rsid w:val="008C585C"/>
    <w:rsid w:val="008C5C70"/>
    <w:rsid w:val="008C6686"/>
    <w:rsid w:val="008C6E37"/>
    <w:rsid w:val="008C723B"/>
    <w:rsid w:val="008C7753"/>
    <w:rsid w:val="008C778A"/>
    <w:rsid w:val="008C7CC4"/>
    <w:rsid w:val="008D07C9"/>
    <w:rsid w:val="008D08A4"/>
    <w:rsid w:val="008D1288"/>
    <w:rsid w:val="008D2026"/>
    <w:rsid w:val="008D2F96"/>
    <w:rsid w:val="008D37F4"/>
    <w:rsid w:val="008D3F4A"/>
    <w:rsid w:val="008D40C0"/>
    <w:rsid w:val="008D60B6"/>
    <w:rsid w:val="008D7442"/>
    <w:rsid w:val="008D747C"/>
    <w:rsid w:val="008D7544"/>
    <w:rsid w:val="008D7A72"/>
    <w:rsid w:val="008E0685"/>
    <w:rsid w:val="008E0911"/>
    <w:rsid w:val="008E0F8D"/>
    <w:rsid w:val="008E1363"/>
    <w:rsid w:val="008E1551"/>
    <w:rsid w:val="008E1723"/>
    <w:rsid w:val="008E40BD"/>
    <w:rsid w:val="008E422B"/>
    <w:rsid w:val="008E482E"/>
    <w:rsid w:val="008E48F6"/>
    <w:rsid w:val="008E505B"/>
    <w:rsid w:val="008E54D7"/>
    <w:rsid w:val="008E5CF8"/>
    <w:rsid w:val="008E621F"/>
    <w:rsid w:val="008E686C"/>
    <w:rsid w:val="008E7909"/>
    <w:rsid w:val="008F00A9"/>
    <w:rsid w:val="008F0CF7"/>
    <w:rsid w:val="008F24F6"/>
    <w:rsid w:val="008F26CD"/>
    <w:rsid w:val="008F367E"/>
    <w:rsid w:val="008F47B4"/>
    <w:rsid w:val="008F4C2F"/>
    <w:rsid w:val="008F5D21"/>
    <w:rsid w:val="008F627F"/>
    <w:rsid w:val="008F6450"/>
    <w:rsid w:val="008F7336"/>
    <w:rsid w:val="008F7DFA"/>
    <w:rsid w:val="0090046A"/>
    <w:rsid w:val="009004BC"/>
    <w:rsid w:val="009018E1"/>
    <w:rsid w:val="009031F0"/>
    <w:rsid w:val="00903582"/>
    <w:rsid w:val="00904760"/>
    <w:rsid w:val="0090522B"/>
    <w:rsid w:val="00905B03"/>
    <w:rsid w:val="00905D40"/>
    <w:rsid w:val="009113DF"/>
    <w:rsid w:val="00911617"/>
    <w:rsid w:val="00911DC2"/>
    <w:rsid w:val="00912597"/>
    <w:rsid w:val="00912D5E"/>
    <w:rsid w:val="00912DEB"/>
    <w:rsid w:val="00913EA1"/>
    <w:rsid w:val="00914421"/>
    <w:rsid w:val="0091468A"/>
    <w:rsid w:val="00915752"/>
    <w:rsid w:val="00915B6D"/>
    <w:rsid w:val="009161F8"/>
    <w:rsid w:val="00916328"/>
    <w:rsid w:val="0091684B"/>
    <w:rsid w:val="00916C62"/>
    <w:rsid w:val="009173F0"/>
    <w:rsid w:val="00917F68"/>
    <w:rsid w:val="00921DE8"/>
    <w:rsid w:val="00921EA2"/>
    <w:rsid w:val="009237C3"/>
    <w:rsid w:val="009246C5"/>
    <w:rsid w:val="00924D46"/>
    <w:rsid w:val="0092649B"/>
    <w:rsid w:val="009266CF"/>
    <w:rsid w:val="00927DB9"/>
    <w:rsid w:val="009311AE"/>
    <w:rsid w:val="009334FA"/>
    <w:rsid w:val="00934B7E"/>
    <w:rsid w:val="00935B30"/>
    <w:rsid w:val="00936F0F"/>
    <w:rsid w:val="00940848"/>
    <w:rsid w:val="00940AD2"/>
    <w:rsid w:val="00940E3B"/>
    <w:rsid w:val="0094138F"/>
    <w:rsid w:val="009420D6"/>
    <w:rsid w:val="00942D77"/>
    <w:rsid w:val="009433A2"/>
    <w:rsid w:val="00945ECC"/>
    <w:rsid w:val="00946392"/>
    <w:rsid w:val="009465A8"/>
    <w:rsid w:val="00946B7F"/>
    <w:rsid w:val="009476B9"/>
    <w:rsid w:val="00950CF8"/>
    <w:rsid w:val="00953243"/>
    <w:rsid w:val="0095365E"/>
    <w:rsid w:val="00953C6C"/>
    <w:rsid w:val="009551C0"/>
    <w:rsid w:val="00955658"/>
    <w:rsid w:val="009556C9"/>
    <w:rsid w:val="00956AA1"/>
    <w:rsid w:val="00956FEB"/>
    <w:rsid w:val="009609D0"/>
    <w:rsid w:val="00960B4C"/>
    <w:rsid w:val="00962CF0"/>
    <w:rsid w:val="00962D03"/>
    <w:rsid w:val="0096334B"/>
    <w:rsid w:val="00965FFE"/>
    <w:rsid w:val="00966779"/>
    <w:rsid w:val="00966812"/>
    <w:rsid w:val="009670C3"/>
    <w:rsid w:val="00967F44"/>
    <w:rsid w:val="00970348"/>
    <w:rsid w:val="009706B3"/>
    <w:rsid w:val="00970928"/>
    <w:rsid w:val="00971318"/>
    <w:rsid w:val="00971723"/>
    <w:rsid w:val="009728C0"/>
    <w:rsid w:val="0097340A"/>
    <w:rsid w:val="00973BC3"/>
    <w:rsid w:val="00975249"/>
    <w:rsid w:val="00976D31"/>
    <w:rsid w:val="00977397"/>
    <w:rsid w:val="009775C5"/>
    <w:rsid w:val="009776A3"/>
    <w:rsid w:val="009779B6"/>
    <w:rsid w:val="00977CE7"/>
    <w:rsid w:val="00980001"/>
    <w:rsid w:val="009816A1"/>
    <w:rsid w:val="009824E0"/>
    <w:rsid w:val="00982940"/>
    <w:rsid w:val="009829F0"/>
    <w:rsid w:val="00982A97"/>
    <w:rsid w:val="00982E1C"/>
    <w:rsid w:val="00984204"/>
    <w:rsid w:val="00984F53"/>
    <w:rsid w:val="0098527A"/>
    <w:rsid w:val="0098596B"/>
    <w:rsid w:val="00985C70"/>
    <w:rsid w:val="00985F1D"/>
    <w:rsid w:val="0098648A"/>
    <w:rsid w:val="00986866"/>
    <w:rsid w:val="009870EA"/>
    <w:rsid w:val="009874E7"/>
    <w:rsid w:val="009878F2"/>
    <w:rsid w:val="00987E41"/>
    <w:rsid w:val="009901FD"/>
    <w:rsid w:val="00992840"/>
    <w:rsid w:val="009932D8"/>
    <w:rsid w:val="009932E3"/>
    <w:rsid w:val="00993442"/>
    <w:rsid w:val="0099367D"/>
    <w:rsid w:val="00993A4B"/>
    <w:rsid w:val="0099430A"/>
    <w:rsid w:val="00994ECC"/>
    <w:rsid w:val="00995D51"/>
    <w:rsid w:val="00995E94"/>
    <w:rsid w:val="00996C14"/>
    <w:rsid w:val="00996DE9"/>
    <w:rsid w:val="00997418"/>
    <w:rsid w:val="00997638"/>
    <w:rsid w:val="00997A0E"/>
    <w:rsid w:val="00997BD0"/>
    <w:rsid w:val="00997C03"/>
    <w:rsid w:val="009A01A0"/>
    <w:rsid w:val="009A0515"/>
    <w:rsid w:val="009A1352"/>
    <w:rsid w:val="009A2771"/>
    <w:rsid w:val="009A2924"/>
    <w:rsid w:val="009A29E3"/>
    <w:rsid w:val="009A371A"/>
    <w:rsid w:val="009A3977"/>
    <w:rsid w:val="009A4245"/>
    <w:rsid w:val="009A5862"/>
    <w:rsid w:val="009A67E5"/>
    <w:rsid w:val="009A6E46"/>
    <w:rsid w:val="009A75ED"/>
    <w:rsid w:val="009A771C"/>
    <w:rsid w:val="009A7863"/>
    <w:rsid w:val="009A79FD"/>
    <w:rsid w:val="009A7B7A"/>
    <w:rsid w:val="009A7BBD"/>
    <w:rsid w:val="009B4627"/>
    <w:rsid w:val="009B6D94"/>
    <w:rsid w:val="009C0BB4"/>
    <w:rsid w:val="009C1616"/>
    <w:rsid w:val="009C1BBD"/>
    <w:rsid w:val="009C2499"/>
    <w:rsid w:val="009C279A"/>
    <w:rsid w:val="009C2DFF"/>
    <w:rsid w:val="009C38D9"/>
    <w:rsid w:val="009C3B18"/>
    <w:rsid w:val="009C3C25"/>
    <w:rsid w:val="009C4ED0"/>
    <w:rsid w:val="009C55C2"/>
    <w:rsid w:val="009C6D04"/>
    <w:rsid w:val="009C7E62"/>
    <w:rsid w:val="009C7F34"/>
    <w:rsid w:val="009D04B9"/>
    <w:rsid w:val="009D2B58"/>
    <w:rsid w:val="009D2DE3"/>
    <w:rsid w:val="009D2FFB"/>
    <w:rsid w:val="009D4E48"/>
    <w:rsid w:val="009D569C"/>
    <w:rsid w:val="009D586C"/>
    <w:rsid w:val="009D62D4"/>
    <w:rsid w:val="009D6731"/>
    <w:rsid w:val="009D6B61"/>
    <w:rsid w:val="009E071D"/>
    <w:rsid w:val="009E13CB"/>
    <w:rsid w:val="009E143D"/>
    <w:rsid w:val="009E269B"/>
    <w:rsid w:val="009E26E0"/>
    <w:rsid w:val="009E32CB"/>
    <w:rsid w:val="009E32D1"/>
    <w:rsid w:val="009E369D"/>
    <w:rsid w:val="009E4016"/>
    <w:rsid w:val="009E4689"/>
    <w:rsid w:val="009E55B1"/>
    <w:rsid w:val="009E5C0F"/>
    <w:rsid w:val="009E5FFB"/>
    <w:rsid w:val="009E64CB"/>
    <w:rsid w:val="009E6741"/>
    <w:rsid w:val="009E6753"/>
    <w:rsid w:val="009E7341"/>
    <w:rsid w:val="009E7847"/>
    <w:rsid w:val="009F06C4"/>
    <w:rsid w:val="009F1C88"/>
    <w:rsid w:val="009F1E8F"/>
    <w:rsid w:val="009F3031"/>
    <w:rsid w:val="009F319F"/>
    <w:rsid w:val="009F3456"/>
    <w:rsid w:val="009F3621"/>
    <w:rsid w:val="009F3A2F"/>
    <w:rsid w:val="009F4094"/>
    <w:rsid w:val="009F471B"/>
    <w:rsid w:val="009F49F8"/>
    <w:rsid w:val="009F530B"/>
    <w:rsid w:val="009F6A80"/>
    <w:rsid w:val="009F6C2A"/>
    <w:rsid w:val="009F700B"/>
    <w:rsid w:val="009F737A"/>
    <w:rsid w:val="00A001A6"/>
    <w:rsid w:val="00A00B51"/>
    <w:rsid w:val="00A00C51"/>
    <w:rsid w:val="00A016C2"/>
    <w:rsid w:val="00A02934"/>
    <w:rsid w:val="00A02E2E"/>
    <w:rsid w:val="00A0386C"/>
    <w:rsid w:val="00A04450"/>
    <w:rsid w:val="00A05A2A"/>
    <w:rsid w:val="00A05B0A"/>
    <w:rsid w:val="00A06D4F"/>
    <w:rsid w:val="00A07AE6"/>
    <w:rsid w:val="00A10094"/>
    <w:rsid w:val="00A100C2"/>
    <w:rsid w:val="00A12F90"/>
    <w:rsid w:val="00A131B1"/>
    <w:rsid w:val="00A13985"/>
    <w:rsid w:val="00A14008"/>
    <w:rsid w:val="00A142A8"/>
    <w:rsid w:val="00A14DEE"/>
    <w:rsid w:val="00A15865"/>
    <w:rsid w:val="00A16A04"/>
    <w:rsid w:val="00A16AF4"/>
    <w:rsid w:val="00A16FC6"/>
    <w:rsid w:val="00A20888"/>
    <w:rsid w:val="00A20D3C"/>
    <w:rsid w:val="00A21072"/>
    <w:rsid w:val="00A2154E"/>
    <w:rsid w:val="00A23767"/>
    <w:rsid w:val="00A24230"/>
    <w:rsid w:val="00A25D89"/>
    <w:rsid w:val="00A26B2F"/>
    <w:rsid w:val="00A26E3A"/>
    <w:rsid w:val="00A27111"/>
    <w:rsid w:val="00A274D2"/>
    <w:rsid w:val="00A30006"/>
    <w:rsid w:val="00A3073B"/>
    <w:rsid w:val="00A30CB0"/>
    <w:rsid w:val="00A313F7"/>
    <w:rsid w:val="00A31F20"/>
    <w:rsid w:val="00A32114"/>
    <w:rsid w:val="00A32AAC"/>
    <w:rsid w:val="00A32C36"/>
    <w:rsid w:val="00A3383C"/>
    <w:rsid w:val="00A348FD"/>
    <w:rsid w:val="00A34D94"/>
    <w:rsid w:val="00A3656C"/>
    <w:rsid w:val="00A37369"/>
    <w:rsid w:val="00A40C46"/>
    <w:rsid w:val="00A41C67"/>
    <w:rsid w:val="00A41D86"/>
    <w:rsid w:val="00A41FDE"/>
    <w:rsid w:val="00A43F37"/>
    <w:rsid w:val="00A43F6E"/>
    <w:rsid w:val="00A4446A"/>
    <w:rsid w:val="00A4449A"/>
    <w:rsid w:val="00A444EB"/>
    <w:rsid w:val="00A44CD4"/>
    <w:rsid w:val="00A4539B"/>
    <w:rsid w:val="00A459E1"/>
    <w:rsid w:val="00A461AE"/>
    <w:rsid w:val="00A502EC"/>
    <w:rsid w:val="00A514E7"/>
    <w:rsid w:val="00A51B84"/>
    <w:rsid w:val="00A51DB2"/>
    <w:rsid w:val="00A527DA"/>
    <w:rsid w:val="00A52D34"/>
    <w:rsid w:val="00A532EE"/>
    <w:rsid w:val="00A53F4B"/>
    <w:rsid w:val="00A54D50"/>
    <w:rsid w:val="00A54E25"/>
    <w:rsid w:val="00A54FCC"/>
    <w:rsid w:val="00A5510F"/>
    <w:rsid w:val="00A55121"/>
    <w:rsid w:val="00A55215"/>
    <w:rsid w:val="00A5531A"/>
    <w:rsid w:val="00A5537B"/>
    <w:rsid w:val="00A55CAE"/>
    <w:rsid w:val="00A55CB8"/>
    <w:rsid w:val="00A563A4"/>
    <w:rsid w:val="00A5676D"/>
    <w:rsid w:val="00A57C4E"/>
    <w:rsid w:val="00A6144C"/>
    <w:rsid w:val="00A62F2D"/>
    <w:rsid w:val="00A637FC"/>
    <w:rsid w:val="00A63907"/>
    <w:rsid w:val="00A63CE7"/>
    <w:rsid w:val="00A64776"/>
    <w:rsid w:val="00A6496F"/>
    <w:rsid w:val="00A64B9E"/>
    <w:rsid w:val="00A66D9A"/>
    <w:rsid w:val="00A66F7A"/>
    <w:rsid w:val="00A67A66"/>
    <w:rsid w:val="00A70043"/>
    <w:rsid w:val="00A70A86"/>
    <w:rsid w:val="00A73E5B"/>
    <w:rsid w:val="00A742FE"/>
    <w:rsid w:val="00A745F4"/>
    <w:rsid w:val="00A758CF"/>
    <w:rsid w:val="00A75CBB"/>
    <w:rsid w:val="00A75EB3"/>
    <w:rsid w:val="00A761AE"/>
    <w:rsid w:val="00A77422"/>
    <w:rsid w:val="00A804D0"/>
    <w:rsid w:val="00A80ACE"/>
    <w:rsid w:val="00A8168A"/>
    <w:rsid w:val="00A83043"/>
    <w:rsid w:val="00A840A1"/>
    <w:rsid w:val="00A84575"/>
    <w:rsid w:val="00A8493B"/>
    <w:rsid w:val="00A8500D"/>
    <w:rsid w:val="00A85062"/>
    <w:rsid w:val="00A864D8"/>
    <w:rsid w:val="00A86A28"/>
    <w:rsid w:val="00A86C6F"/>
    <w:rsid w:val="00A9030E"/>
    <w:rsid w:val="00A91325"/>
    <w:rsid w:val="00A91A14"/>
    <w:rsid w:val="00A91D7C"/>
    <w:rsid w:val="00A93E1A"/>
    <w:rsid w:val="00A943F8"/>
    <w:rsid w:val="00A944A6"/>
    <w:rsid w:val="00A9633F"/>
    <w:rsid w:val="00A968F2"/>
    <w:rsid w:val="00A96F1B"/>
    <w:rsid w:val="00AA0811"/>
    <w:rsid w:val="00AA0EFF"/>
    <w:rsid w:val="00AA24F4"/>
    <w:rsid w:val="00AA2709"/>
    <w:rsid w:val="00AA27E1"/>
    <w:rsid w:val="00AA2D1B"/>
    <w:rsid w:val="00AA2F2A"/>
    <w:rsid w:val="00AA37A4"/>
    <w:rsid w:val="00AA3FB3"/>
    <w:rsid w:val="00AA4452"/>
    <w:rsid w:val="00AA4C67"/>
    <w:rsid w:val="00AA5525"/>
    <w:rsid w:val="00AA5CF3"/>
    <w:rsid w:val="00AA6351"/>
    <w:rsid w:val="00AA69E1"/>
    <w:rsid w:val="00AA6CC3"/>
    <w:rsid w:val="00AB0852"/>
    <w:rsid w:val="00AB1075"/>
    <w:rsid w:val="00AB1B69"/>
    <w:rsid w:val="00AB2754"/>
    <w:rsid w:val="00AB2FFE"/>
    <w:rsid w:val="00AB6257"/>
    <w:rsid w:val="00AC0817"/>
    <w:rsid w:val="00AC1168"/>
    <w:rsid w:val="00AC223B"/>
    <w:rsid w:val="00AC4492"/>
    <w:rsid w:val="00AC46F5"/>
    <w:rsid w:val="00AC4C9C"/>
    <w:rsid w:val="00AC5D4E"/>
    <w:rsid w:val="00AC618D"/>
    <w:rsid w:val="00AC6255"/>
    <w:rsid w:val="00AC6DCC"/>
    <w:rsid w:val="00AD2449"/>
    <w:rsid w:val="00AD2812"/>
    <w:rsid w:val="00AD31A5"/>
    <w:rsid w:val="00AD3507"/>
    <w:rsid w:val="00AD48F3"/>
    <w:rsid w:val="00AD5328"/>
    <w:rsid w:val="00AD5EED"/>
    <w:rsid w:val="00AE0CBD"/>
    <w:rsid w:val="00AE1057"/>
    <w:rsid w:val="00AE1E36"/>
    <w:rsid w:val="00AE2B49"/>
    <w:rsid w:val="00AE5084"/>
    <w:rsid w:val="00AE70E5"/>
    <w:rsid w:val="00AF229C"/>
    <w:rsid w:val="00AF261F"/>
    <w:rsid w:val="00AF2F31"/>
    <w:rsid w:val="00AF52F4"/>
    <w:rsid w:val="00AF7522"/>
    <w:rsid w:val="00AF7A52"/>
    <w:rsid w:val="00B0078D"/>
    <w:rsid w:val="00B012F9"/>
    <w:rsid w:val="00B0209E"/>
    <w:rsid w:val="00B02193"/>
    <w:rsid w:val="00B027B8"/>
    <w:rsid w:val="00B02D81"/>
    <w:rsid w:val="00B02DDF"/>
    <w:rsid w:val="00B033E5"/>
    <w:rsid w:val="00B0389B"/>
    <w:rsid w:val="00B03EC5"/>
    <w:rsid w:val="00B04C62"/>
    <w:rsid w:val="00B051E3"/>
    <w:rsid w:val="00B0581B"/>
    <w:rsid w:val="00B05A7D"/>
    <w:rsid w:val="00B1068A"/>
    <w:rsid w:val="00B1097A"/>
    <w:rsid w:val="00B1102D"/>
    <w:rsid w:val="00B113EB"/>
    <w:rsid w:val="00B11B8D"/>
    <w:rsid w:val="00B12369"/>
    <w:rsid w:val="00B12DB8"/>
    <w:rsid w:val="00B13E59"/>
    <w:rsid w:val="00B14FA0"/>
    <w:rsid w:val="00B1581E"/>
    <w:rsid w:val="00B16236"/>
    <w:rsid w:val="00B162B2"/>
    <w:rsid w:val="00B16ADE"/>
    <w:rsid w:val="00B16AE0"/>
    <w:rsid w:val="00B17015"/>
    <w:rsid w:val="00B17D08"/>
    <w:rsid w:val="00B20267"/>
    <w:rsid w:val="00B20272"/>
    <w:rsid w:val="00B20586"/>
    <w:rsid w:val="00B20B46"/>
    <w:rsid w:val="00B21419"/>
    <w:rsid w:val="00B22856"/>
    <w:rsid w:val="00B24D84"/>
    <w:rsid w:val="00B26F97"/>
    <w:rsid w:val="00B271F3"/>
    <w:rsid w:val="00B2774F"/>
    <w:rsid w:val="00B3006C"/>
    <w:rsid w:val="00B316DC"/>
    <w:rsid w:val="00B31DF4"/>
    <w:rsid w:val="00B32321"/>
    <w:rsid w:val="00B3553F"/>
    <w:rsid w:val="00B35561"/>
    <w:rsid w:val="00B369EF"/>
    <w:rsid w:val="00B36BC9"/>
    <w:rsid w:val="00B36D7B"/>
    <w:rsid w:val="00B37718"/>
    <w:rsid w:val="00B37DC1"/>
    <w:rsid w:val="00B37E5C"/>
    <w:rsid w:val="00B40910"/>
    <w:rsid w:val="00B40D26"/>
    <w:rsid w:val="00B412CE"/>
    <w:rsid w:val="00B413F5"/>
    <w:rsid w:val="00B41B98"/>
    <w:rsid w:val="00B42261"/>
    <w:rsid w:val="00B436D2"/>
    <w:rsid w:val="00B43E1A"/>
    <w:rsid w:val="00B44C10"/>
    <w:rsid w:val="00B44FD4"/>
    <w:rsid w:val="00B45906"/>
    <w:rsid w:val="00B45973"/>
    <w:rsid w:val="00B4642F"/>
    <w:rsid w:val="00B46FB0"/>
    <w:rsid w:val="00B4787A"/>
    <w:rsid w:val="00B47FF3"/>
    <w:rsid w:val="00B51046"/>
    <w:rsid w:val="00B52D5E"/>
    <w:rsid w:val="00B53355"/>
    <w:rsid w:val="00B53F48"/>
    <w:rsid w:val="00B54A48"/>
    <w:rsid w:val="00B54ECD"/>
    <w:rsid w:val="00B54F95"/>
    <w:rsid w:val="00B55D24"/>
    <w:rsid w:val="00B55D7C"/>
    <w:rsid w:val="00B56567"/>
    <w:rsid w:val="00B57872"/>
    <w:rsid w:val="00B6053A"/>
    <w:rsid w:val="00B60610"/>
    <w:rsid w:val="00B60A22"/>
    <w:rsid w:val="00B60D2C"/>
    <w:rsid w:val="00B61554"/>
    <w:rsid w:val="00B61998"/>
    <w:rsid w:val="00B62694"/>
    <w:rsid w:val="00B629C0"/>
    <w:rsid w:val="00B62B03"/>
    <w:rsid w:val="00B637E2"/>
    <w:rsid w:val="00B639F7"/>
    <w:rsid w:val="00B6432D"/>
    <w:rsid w:val="00B6435D"/>
    <w:rsid w:val="00B64478"/>
    <w:rsid w:val="00B651D3"/>
    <w:rsid w:val="00B654A4"/>
    <w:rsid w:val="00B658DC"/>
    <w:rsid w:val="00B65EBD"/>
    <w:rsid w:val="00B66E57"/>
    <w:rsid w:val="00B67D0F"/>
    <w:rsid w:val="00B71440"/>
    <w:rsid w:val="00B71A8D"/>
    <w:rsid w:val="00B71CF5"/>
    <w:rsid w:val="00B7245C"/>
    <w:rsid w:val="00B724B7"/>
    <w:rsid w:val="00B7324C"/>
    <w:rsid w:val="00B73DE3"/>
    <w:rsid w:val="00B74EA9"/>
    <w:rsid w:val="00B75F1D"/>
    <w:rsid w:val="00B81CBF"/>
    <w:rsid w:val="00B81FBD"/>
    <w:rsid w:val="00B82BCD"/>
    <w:rsid w:val="00B82D54"/>
    <w:rsid w:val="00B83975"/>
    <w:rsid w:val="00B83A12"/>
    <w:rsid w:val="00B8477C"/>
    <w:rsid w:val="00B848A9"/>
    <w:rsid w:val="00B84E77"/>
    <w:rsid w:val="00B85283"/>
    <w:rsid w:val="00B85635"/>
    <w:rsid w:val="00B90A4F"/>
    <w:rsid w:val="00B90A92"/>
    <w:rsid w:val="00B91046"/>
    <w:rsid w:val="00B912C6"/>
    <w:rsid w:val="00B931D6"/>
    <w:rsid w:val="00B9470A"/>
    <w:rsid w:val="00B94766"/>
    <w:rsid w:val="00B96176"/>
    <w:rsid w:val="00B96368"/>
    <w:rsid w:val="00B96C73"/>
    <w:rsid w:val="00B96D84"/>
    <w:rsid w:val="00B976E3"/>
    <w:rsid w:val="00BA020B"/>
    <w:rsid w:val="00BA14E2"/>
    <w:rsid w:val="00BA2187"/>
    <w:rsid w:val="00BA2893"/>
    <w:rsid w:val="00BA2A28"/>
    <w:rsid w:val="00BA48A7"/>
    <w:rsid w:val="00BA5E35"/>
    <w:rsid w:val="00BA65AE"/>
    <w:rsid w:val="00BA716A"/>
    <w:rsid w:val="00BA7923"/>
    <w:rsid w:val="00BA7B9D"/>
    <w:rsid w:val="00BA7BEF"/>
    <w:rsid w:val="00BA7CD9"/>
    <w:rsid w:val="00BB12F1"/>
    <w:rsid w:val="00BB2CD7"/>
    <w:rsid w:val="00BB3FB7"/>
    <w:rsid w:val="00BB5EBD"/>
    <w:rsid w:val="00BC0A7D"/>
    <w:rsid w:val="00BC0FD2"/>
    <w:rsid w:val="00BC141B"/>
    <w:rsid w:val="00BC1C56"/>
    <w:rsid w:val="00BC1EAA"/>
    <w:rsid w:val="00BC24E8"/>
    <w:rsid w:val="00BC27A1"/>
    <w:rsid w:val="00BC3166"/>
    <w:rsid w:val="00BC4002"/>
    <w:rsid w:val="00BC5208"/>
    <w:rsid w:val="00BC5740"/>
    <w:rsid w:val="00BD095E"/>
    <w:rsid w:val="00BD0A37"/>
    <w:rsid w:val="00BD1254"/>
    <w:rsid w:val="00BD169D"/>
    <w:rsid w:val="00BD198D"/>
    <w:rsid w:val="00BD1D45"/>
    <w:rsid w:val="00BD206A"/>
    <w:rsid w:val="00BD20BE"/>
    <w:rsid w:val="00BD2A46"/>
    <w:rsid w:val="00BD2D2F"/>
    <w:rsid w:val="00BD38C3"/>
    <w:rsid w:val="00BD4AEC"/>
    <w:rsid w:val="00BD4EB3"/>
    <w:rsid w:val="00BD5A85"/>
    <w:rsid w:val="00BD6D04"/>
    <w:rsid w:val="00BD6D26"/>
    <w:rsid w:val="00BE03D3"/>
    <w:rsid w:val="00BE0AAA"/>
    <w:rsid w:val="00BE0AEF"/>
    <w:rsid w:val="00BE132F"/>
    <w:rsid w:val="00BE28B4"/>
    <w:rsid w:val="00BE2F21"/>
    <w:rsid w:val="00BE5B39"/>
    <w:rsid w:val="00BE5F98"/>
    <w:rsid w:val="00BE6386"/>
    <w:rsid w:val="00BE7429"/>
    <w:rsid w:val="00BE7593"/>
    <w:rsid w:val="00BE7B06"/>
    <w:rsid w:val="00BF1842"/>
    <w:rsid w:val="00BF31CB"/>
    <w:rsid w:val="00BF4077"/>
    <w:rsid w:val="00BF4E9B"/>
    <w:rsid w:val="00BF4FBD"/>
    <w:rsid w:val="00BF5843"/>
    <w:rsid w:val="00BF7389"/>
    <w:rsid w:val="00BF7AB0"/>
    <w:rsid w:val="00C000EC"/>
    <w:rsid w:val="00C00591"/>
    <w:rsid w:val="00C0068B"/>
    <w:rsid w:val="00C00AC4"/>
    <w:rsid w:val="00C00BFF"/>
    <w:rsid w:val="00C00D97"/>
    <w:rsid w:val="00C01145"/>
    <w:rsid w:val="00C01247"/>
    <w:rsid w:val="00C01B39"/>
    <w:rsid w:val="00C0294D"/>
    <w:rsid w:val="00C02C6E"/>
    <w:rsid w:val="00C03FCA"/>
    <w:rsid w:val="00C04370"/>
    <w:rsid w:val="00C044E5"/>
    <w:rsid w:val="00C04523"/>
    <w:rsid w:val="00C047B6"/>
    <w:rsid w:val="00C049EE"/>
    <w:rsid w:val="00C04C07"/>
    <w:rsid w:val="00C04F86"/>
    <w:rsid w:val="00C051E5"/>
    <w:rsid w:val="00C05B42"/>
    <w:rsid w:val="00C05E33"/>
    <w:rsid w:val="00C10F33"/>
    <w:rsid w:val="00C1158B"/>
    <w:rsid w:val="00C11DF1"/>
    <w:rsid w:val="00C11F08"/>
    <w:rsid w:val="00C122FC"/>
    <w:rsid w:val="00C13349"/>
    <w:rsid w:val="00C14120"/>
    <w:rsid w:val="00C16400"/>
    <w:rsid w:val="00C16650"/>
    <w:rsid w:val="00C16689"/>
    <w:rsid w:val="00C170E3"/>
    <w:rsid w:val="00C17A36"/>
    <w:rsid w:val="00C17BD4"/>
    <w:rsid w:val="00C2043C"/>
    <w:rsid w:val="00C20D8A"/>
    <w:rsid w:val="00C21911"/>
    <w:rsid w:val="00C21B7E"/>
    <w:rsid w:val="00C21D4D"/>
    <w:rsid w:val="00C22DC4"/>
    <w:rsid w:val="00C23437"/>
    <w:rsid w:val="00C24DF6"/>
    <w:rsid w:val="00C27C3E"/>
    <w:rsid w:val="00C27DB0"/>
    <w:rsid w:val="00C3161B"/>
    <w:rsid w:val="00C32A04"/>
    <w:rsid w:val="00C33052"/>
    <w:rsid w:val="00C34BA7"/>
    <w:rsid w:val="00C34EA7"/>
    <w:rsid w:val="00C34F15"/>
    <w:rsid w:val="00C352CC"/>
    <w:rsid w:val="00C359FF"/>
    <w:rsid w:val="00C36D7A"/>
    <w:rsid w:val="00C36DF8"/>
    <w:rsid w:val="00C36F0B"/>
    <w:rsid w:val="00C37BAD"/>
    <w:rsid w:val="00C413F2"/>
    <w:rsid w:val="00C41EC0"/>
    <w:rsid w:val="00C43875"/>
    <w:rsid w:val="00C44025"/>
    <w:rsid w:val="00C44F70"/>
    <w:rsid w:val="00C44F93"/>
    <w:rsid w:val="00C456E8"/>
    <w:rsid w:val="00C457AD"/>
    <w:rsid w:val="00C46575"/>
    <w:rsid w:val="00C46844"/>
    <w:rsid w:val="00C47300"/>
    <w:rsid w:val="00C4730D"/>
    <w:rsid w:val="00C47E2F"/>
    <w:rsid w:val="00C51D4A"/>
    <w:rsid w:val="00C51DCA"/>
    <w:rsid w:val="00C52635"/>
    <w:rsid w:val="00C527AC"/>
    <w:rsid w:val="00C52B14"/>
    <w:rsid w:val="00C5348E"/>
    <w:rsid w:val="00C5381D"/>
    <w:rsid w:val="00C54018"/>
    <w:rsid w:val="00C540C4"/>
    <w:rsid w:val="00C543EA"/>
    <w:rsid w:val="00C5524D"/>
    <w:rsid w:val="00C553CB"/>
    <w:rsid w:val="00C55E2B"/>
    <w:rsid w:val="00C56347"/>
    <w:rsid w:val="00C564C6"/>
    <w:rsid w:val="00C6272C"/>
    <w:rsid w:val="00C6338D"/>
    <w:rsid w:val="00C6382F"/>
    <w:rsid w:val="00C638B2"/>
    <w:rsid w:val="00C63E8C"/>
    <w:rsid w:val="00C64099"/>
    <w:rsid w:val="00C645E9"/>
    <w:rsid w:val="00C661F5"/>
    <w:rsid w:val="00C704DC"/>
    <w:rsid w:val="00C70D1B"/>
    <w:rsid w:val="00C71B5D"/>
    <w:rsid w:val="00C71CB0"/>
    <w:rsid w:val="00C71D52"/>
    <w:rsid w:val="00C7273B"/>
    <w:rsid w:val="00C72F23"/>
    <w:rsid w:val="00C730A9"/>
    <w:rsid w:val="00C73116"/>
    <w:rsid w:val="00C73348"/>
    <w:rsid w:val="00C73379"/>
    <w:rsid w:val="00C744E2"/>
    <w:rsid w:val="00C74A42"/>
    <w:rsid w:val="00C7725B"/>
    <w:rsid w:val="00C773DD"/>
    <w:rsid w:val="00C823AA"/>
    <w:rsid w:val="00C84930"/>
    <w:rsid w:val="00C8695E"/>
    <w:rsid w:val="00C86EB9"/>
    <w:rsid w:val="00C87A29"/>
    <w:rsid w:val="00C90DA5"/>
    <w:rsid w:val="00C91795"/>
    <w:rsid w:val="00C91C93"/>
    <w:rsid w:val="00C92183"/>
    <w:rsid w:val="00C925DD"/>
    <w:rsid w:val="00C92ADC"/>
    <w:rsid w:val="00C93115"/>
    <w:rsid w:val="00C931AC"/>
    <w:rsid w:val="00C933BD"/>
    <w:rsid w:val="00C934A7"/>
    <w:rsid w:val="00C942AA"/>
    <w:rsid w:val="00CA2F30"/>
    <w:rsid w:val="00CA3B42"/>
    <w:rsid w:val="00CA3D30"/>
    <w:rsid w:val="00CA5109"/>
    <w:rsid w:val="00CA7A12"/>
    <w:rsid w:val="00CB07E6"/>
    <w:rsid w:val="00CB10ED"/>
    <w:rsid w:val="00CB1487"/>
    <w:rsid w:val="00CB164A"/>
    <w:rsid w:val="00CB200E"/>
    <w:rsid w:val="00CB2F67"/>
    <w:rsid w:val="00CB3D2D"/>
    <w:rsid w:val="00CB4098"/>
    <w:rsid w:val="00CB471E"/>
    <w:rsid w:val="00CB49A4"/>
    <w:rsid w:val="00CB4A6E"/>
    <w:rsid w:val="00CB5A7E"/>
    <w:rsid w:val="00CB63D4"/>
    <w:rsid w:val="00CB6794"/>
    <w:rsid w:val="00CB6A24"/>
    <w:rsid w:val="00CB782F"/>
    <w:rsid w:val="00CB7CCA"/>
    <w:rsid w:val="00CB7ECD"/>
    <w:rsid w:val="00CC061B"/>
    <w:rsid w:val="00CC06CA"/>
    <w:rsid w:val="00CC0BED"/>
    <w:rsid w:val="00CC1958"/>
    <w:rsid w:val="00CC3203"/>
    <w:rsid w:val="00CC48AE"/>
    <w:rsid w:val="00CC5FED"/>
    <w:rsid w:val="00CC6CA4"/>
    <w:rsid w:val="00CC7A2A"/>
    <w:rsid w:val="00CD002E"/>
    <w:rsid w:val="00CD07EE"/>
    <w:rsid w:val="00CD1A5B"/>
    <w:rsid w:val="00CD22BC"/>
    <w:rsid w:val="00CD232C"/>
    <w:rsid w:val="00CD333A"/>
    <w:rsid w:val="00CD3CC0"/>
    <w:rsid w:val="00CD4254"/>
    <w:rsid w:val="00CD53E8"/>
    <w:rsid w:val="00CD55EE"/>
    <w:rsid w:val="00CD57A8"/>
    <w:rsid w:val="00CD5BC4"/>
    <w:rsid w:val="00CD622D"/>
    <w:rsid w:val="00CD62B3"/>
    <w:rsid w:val="00CD6A1E"/>
    <w:rsid w:val="00CD77EE"/>
    <w:rsid w:val="00CE0CF1"/>
    <w:rsid w:val="00CE25A1"/>
    <w:rsid w:val="00CE3EA5"/>
    <w:rsid w:val="00CE4247"/>
    <w:rsid w:val="00CE4997"/>
    <w:rsid w:val="00CE4FD1"/>
    <w:rsid w:val="00CE5DB9"/>
    <w:rsid w:val="00CE5DCB"/>
    <w:rsid w:val="00CE5E5B"/>
    <w:rsid w:val="00CE6946"/>
    <w:rsid w:val="00CE70FB"/>
    <w:rsid w:val="00CF0E35"/>
    <w:rsid w:val="00CF0E6A"/>
    <w:rsid w:val="00CF156D"/>
    <w:rsid w:val="00CF2576"/>
    <w:rsid w:val="00CF551D"/>
    <w:rsid w:val="00D000D1"/>
    <w:rsid w:val="00D033AA"/>
    <w:rsid w:val="00D0368B"/>
    <w:rsid w:val="00D0369F"/>
    <w:rsid w:val="00D04969"/>
    <w:rsid w:val="00D05873"/>
    <w:rsid w:val="00D061E7"/>
    <w:rsid w:val="00D1001E"/>
    <w:rsid w:val="00D109E3"/>
    <w:rsid w:val="00D1131D"/>
    <w:rsid w:val="00D11B55"/>
    <w:rsid w:val="00D14266"/>
    <w:rsid w:val="00D16C4E"/>
    <w:rsid w:val="00D16FC6"/>
    <w:rsid w:val="00D2406C"/>
    <w:rsid w:val="00D2419F"/>
    <w:rsid w:val="00D243D0"/>
    <w:rsid w:val="00D2509A"/>
    <w:rsid w:val="00D25309"/>
    <w:rsid w:val="00D27125"/>
    <w:rsid w:val="00D310DE"/>
    <w:rsid w:val="00D3325C"/>
    <w:rsid w:val="00D33683"/>
    <w:rsid w:val="00D33779"/>
    <w:rsid w:val="00D337D7"/>
    <w:rsid w:val="00D33990"/>
    <w:rsid w:val="00D34DD8"/>
    <w:rsid w:val="00D35681"/>
    <w:rsid w:val="00D36006"/>
    <w:rsid w:val="00D36C36"/>
    <w:rsid w:val="00D36CE9"/>
    <w:rsid w:val="00D37969"/>
    <w:rsid w:val="00D37BFB"/>
    <w:rsid w:val="00D4203E"/>
    <w:rsid w:val="00D4216D"/>
    <w:rsid w:val="00D4236A"/>
    <w:rsid w:val="00D426A8"/>
    <w:rsid w:val="00D4295F"/>
    <w:rsid w:val="00D4319B"/>
    <w:rsid w:val="00D440B3"/>
    <w:rsid w:val="00D4445F"/>
    <w:rsid w:val="00D44A30"/>
    <w:rsid w:val="00D44A74"/>
    <w:rsid w:val="00D45053"/>
    <w:rsid w:val="00D454FE"/>
    <w:rsid w:val="00D4628D"/>
    <w:rsid w:val="00D46635"/>
    <w:rsid w:val="00D46C83"/>
    <w:rsid w:val="00D4741B"/>
    <w:rsid w:val="00D47811"/>
    <w:rsid w:val="00D47C0E"/>
    <w:rsid w:val="00D47C68"/>
    <w:rsid w:val="00D50B0C"/>
    <w:rsid w:val="00D53502"/>
    <w:rsid w:val="00D537C8"/>
    <w:rsid w:val="00D53D10"/>
    <w:rsid w:val="00D546DB"/>
    <w:rsid w:val="00D5480E"/>
    <w:rsid w:val="00D54BD1"/>
    <w:rsid w:val="00D55E6A"/>
    <w:rsid w:val="00D565FE"/>
    <w:rsid w:val="00D579C5"/>
    <w:rsid w:val="00D603B7"/>
    <w:rsid w:val="00D60549"/>
    <w:rsid w:val="00D61191"/>
    <w:rsid w:val="00D6128D"/>
    <w:rsid w:val="00D614D8"/>
    <w:rsid w:val="00D61862"/>
    <w:rsid w:val="00D61CEB"/>
    <w:rsid w:val="00D61CFC"/>
    <w:rsid w:val="00D6336A"/>
    <w:rsid w:val="00D639D1"/>
    <w:rsid w:val="00D643E7"/>
    <w:rsid w:val="00D6469B"/>
    <w:rsid w:val="00D657FB"/>
    <w:rsid w:val="00D66545"/>
    <w:rsid w:val="00D66D12"/>
    <w:rsid w:val="00D67964"/>
    <w:rsid w:val="00D67EFB"/>
    <w:rsid w:val="00D703D2"/>
    <w:rsid w:val="00D718A1"/>
    <w:rsid w:val="00D724B9"/>
    <w:rsid w:val="00D74A1C"/>
    <w:rsid w:val="00D74E58"/>
    <w:rsid w:val="00D76E58"/>
    <w:rsid w:val="00D77A92"/>
    <w:rsid w:val="00D80B72"/>
    <w:rsid w:val="00D80E68"/>
    <w:rsid w:val="00D83B3B"/>
    <w:rsid w:val="00D842E4"/>
    <w:rsid w:val="00D84E2A"/>
    <w:rsid w:val="00D85A35"/>
    <w:rsid w:val="00D904FE"/>
    <w:rsid w:val="00D90C03"/>
    <w:rsid w:val="00D912F8"/>
    <w:rsid w:val="00D91803"/>
    <w:rsid w:val="00D91B2E"/>
    <w:rsid w:val="00D91F04"/>
    <w:rsid w:val="00D91FF4"/>
    <w:rsid w:val="00D92391"/>
    <w:rsid w:val="00D9350E"/>
    <w:rsid w:val="00D93709"/>
    <w:rsid w:val="00D93834"/>
    <w:rsid w:val="00D94498"/>
    <w:rsid w:val="00D95049"/>
    <w:rsid w:val="00D95CCA"/>
    <w:rsid w:val="00D961CC"/>
    <w:rsid w:val="00D962BB"/>
    <w:rsid w:val="00D97D03"/>
    <w:rsid w:val="00DA1F5D"/>
    <w:rsid w:val="00DA2797"/>
    <w:rsid w:val="00DA3202"/>
    <w:rsid w:val="00DA3537"/>
    <w:rsid w:val="00DA4746"/>
    <w:rsid w:val="00DA51BA"/>
    <w:rsid w:val="00DA61AA"/>
    <w:rsid w:val="00DA6C28"/>
    <w:rsid w:val="00DA6FB6"/>
    <w:rsid w:val="00DA7E62"/>
    <w:rsid w:val="00DB0F0D"/>
    <w:rsid w:val="00DB33BD"/>
    <w:rsid w:val="00DB61D3"/>
    <w:rsid w:val="00DB6B32"/>
    <w:rsid w:val="00DB6C7D"/>
    <w:rsid w:val="00DC06F8"/>
    <w:rsid w:val="00DC1219"/>
    <w:rsid w:val="00DC220D"/>
    <w:rsid w:val="00DC2504"/>
    <w:rsid w:val="00DC29ED"/>
    <w:rsid w:val="00DC315B"/>
    <w:rsid w:val="00DC34C0"/>
    <w:rsid w:val="00DC3A18"/>
    <w:rsid w:val="00DC593F"/>
    <w:rsid w:val="00DC70BD"/>
    <w:rsid w:val="00DC7939"/>
    <w:rsid w:val="00DC7EDC"/>
    <w:rsid w:val="00DD07E8"/>
    <w:rsid w:val="00DD0940"/>
    <w:rsid w:val="00DD0FB9"/>
    <w:rsid w:val="00DD1570"/>
    <w:rsid w:val="00DD18DE"/>
    <w:rsid w:val="00DD2C2C"/>
    <w:rsid w:val="00DD3445"/>
    <w:rsid w:val="00DD470A"/>
    <w:rsid w:val="00DD4D4F"/>
    <w:rsid w:val="00DD4FBA"/>
    <w:rsid w:val="00DD4FBE"/>
    <w:rsid w:val="00DD6815"/>
    <w:rsid w:val="00DD7789"/>
    <w:rsid w:val="00DD7A49"/>
    <w:rsid w:val="00DD7AF8"/>
    <w:rsid w:val="00DE0964"/>
    <w:rsid w:val="00DE0FD9"/>
    <w:rsid w:val="00DE10C2"/>
    <w:rsid w:val="00DE15C2"/>
    <w:rsid w:val="00DE2D22"/>
    <w:rsid w:val="00DE30FB"/>
    <w:rsid w:val="00DE3C3B"/>
    <w:rsid w:val="00DE4826"/>
    <w:rsid w:val="00DE73D2"/>
    <w:rsid w:val="00DE77C9"/>
    <w:rsid w:val="00DF02D4"/>
    <w:rsid w:val="00DF1203"/>
    <w:rsid w:val="00DF29DA"/>
    <w:rsid w:val="00DF322C"/>
    <w:rsid w:val="00DF35A9"/>
    <w:rsid w:val="00DF4FF8"/>
    <w:rsid w:val="00DF58C4"/>
    <w:rsid w:val="00DF7C68"/>
    <w:rsid w:val="00DF7FAA"/>
    <w:rsid w:val="00E010DC"/>
    <w:rsid w:val="00E015DB"/>
    <w:rsid w:val="00E01F95"/>
    <w:rsid w:val="00E02F25"/>
    <w:rsid w:val="00E02FF0"/>
    <w:rsid w:val="00E03AF5"/>
    <w:rsid w:val="00E040C5"/>
    <w:rsid w:val="00E05EC5"/>
    <w:rsid w:val="00E05F68"/>
    <w:rsid w:val="00E06687"/>
    <w:rsid w:val="00E06D15"/>
    <w:rsid w:val="00E07A93"/>
    <w:rsid w:val="00E11563"/>
    <w:rsid w:val="00E12587"/>
    <w:rsid w:val="00E135AB"/>
    <w:rsid w:val="00E15D7F"/>
    <w:rsid w:val="00E15DB1"/>
    <w:rsid w:val="00E23A24"/>
    <w:rsid w:val="00E24130"/>
    <w:rsid w:val="00E256E6"/>
    <w:rsid w:val="00E262CC"/>
    <w:rsid w:val="00E266E6"/>
    <w:rsid w:val="00E26862"/>
    <w:rsid w:val="00E2758C"/>
    <w:rsid w:val="00E276D7"/>
    <w:rsid w:val="00E27FA7"/>
    <w:rsid w:val="00E30687"/>
    <w:rsid w:val="00E314B1"/>
    <w:rsid w:val="00E31664"/>
    <w:rsid w:val="00E32B26"/>
    <w:rsid w:val="00E337B2"/>
    <w:rsid w:val="00E34149"/>
    <w:rsid w:val="00E34B07"/>
    <w:rsid w:val="00E36A38"/>
    <w:rsid w:val="00E40249"/>
    <w:rsid w:val="00E40596"/>
    <w:rsid w:val="00E4194E"/>
    <w:rsid w:val="00E41D21"/>
    <w:rsid w:val="00E42887"/>
    <w:rsid w:val="00E42C16"/>
    <w:rsid w:val="00E42EA3"/>
    <w:rsid w:val="00E43911"/>
    <w:rsid w:val="00E44F88"/>
    <w:rsid w:val="00E4524E"/>
    <w:rsid w:val="00E45DC7"/>
    <w:rsid w:val="00E45E23"/>
    <w:rsid w:val="00E46BD2"/>
    <w:rsid w:val="00E47C91"/>
    <w:rsid w:val="00E50604"/>
    <w:rsid w:val="00E51903"/>
    <w:rsid w:val="00E51999"/>
    <w:rsid w:val="00E51A11"/>
    <w:rsid w:val="00E51D00"/>
    <w:rsid w:val="00E51F44"/>
    <w:rsid w:val="00E524D6"/>
    <w:rsid w:val="00E52BF1"/>
    <w:rsid w:val="00E53203"/>
    <w:rsid w:val="00E54FF6"/>
    <w:rsid w:val="00E55769"/>
    <w:rsid w:val="00E55893"/>
    <w:rsid w:val="00E56D1C"/>
    <w:rsid w:val="00E5702B"/>
    <w:rsid w:val="00E608BC"/>
    <w:rsid w:val="00E60B83"/>
    <w:rsid w:val="00E61B18"/>
    <w:rsid w:val="00E622D0"/>
    <w:rsid w:val="00E62487"/>
    <w:rsid w:val="00E64465"/>
    <w:rsid w:val="00E65240"/>
    <w:rsid w:val="00E65E3A"/>
    <w:rsid w:val="00E66037"/>
    <w:rsid w:val="00E6625E"/>
    <w:rsid w:val="00E67576"/>
    <w:rsid w:val="00E715E6"/>
    <w:rsid w:val="00E7295D"/>
    <w:rsid w:val="00E74BBE"/>
    <w:rsid w:val="00E74DBC"/>
    <w:rsid w:val="00E76C20"/>
    <w:rsid w:val="00E77481"/>
    <w:rsid w:val="00E8006E"/>
    <w:rsid w:val="00E8029C"/>
    <w:rsid w:val="00E80CC9"/>
    <w:rsid w:val="00E8205B"/>
    <w:rsid w:val="00E8240B"/>
    <w:rsid w:val="00E83506"/>
    <w:rsid w:val="00E83ADF"/>
    <w:rsid w:val="00E84DEA"/>
    <w:rsid w:val="00E90050"/>
    <w:rsid w:val="00E90751"/>
    <w:rsid w:val="00E90B2D"/>
    <w:rsid w:val="00E90E74"/>
    <w:rsid w:val="00E91AD5"/>
    <w:rsid w:val="00E93B5D"/>
    <w:rsid w:val="00E9452D"/>
    <w:rsid w:val="00E948BF"/>
    <w:rsid w:val="00E9494C"/>
    <w:rsid w:val="00E95930"/>
    <w:rsid w:val="00E962DB"/>
    <w:rsid w:val="00E96A24"/>
    <w:rsid w:val="00E97211"/>
    <w:rsid w:val="00E97C3A"/>
    <w:rsid w:val="00EA062A"/>
    <w:rsid w:val="00EA1965"/>
    <w:rsid w:val="00EA4370"/>
    <w:rsid w:val="00EA44A6"/>
    <w:rsid w:val="00EA4A02"/>
    <w:rsid w:val="00EA532D"/>
    <w:rsid w:val="00EA68FD"/>
    <w:rsid w:val="00EA6B17"/>
    <w:rsid w:val="00EA7217"/>
    <w:rsid w:val="00EA7901"/>
    <w:rsid w:val="00EA7A89"/>
    <w:rsid w:val="00EB039F"/>
    <w:rsid w:val="00EB146F"/>
    <w:rsid w:val="00EB1562"/>
    <w:rsid w:val="00EB1C43"/>
    <w:rsid w:val="00EB2DAA"/>
    <w:rsid w:val="00EC17AF"/>
    <w:rsid w:val="00EC3594"/>
    <w:rsid w:val="00EC6590"/>
    <w:rsid w:val="00EC71A0"/>
    <w:rsid w:val="00ED0BC4"/>
    <w:rsid w:val="00ED15AE"/>
    <w:rsid w:val="00ED1CE2"/>
    <w:rsid w:val="00ED1F8A"/>
    <w:rsid w:val="00ED216A"/>
    <w:rsid w:val="00ED2B37"/>
    <w:rsid w:val="00ED2D07"/>
    <w:rsid w:val="00ED39CB"/>
    <w:rsid w:val="00ED3B81"/>
    <w:rsid w:val="00ED45B3"/>
    <w:rsid w:val="00ED4892"/>
    <w:rsid w:val="00ED6D1B"/>
    <w:rsid w:val="00EE0144"/>
    <w:rsid w:val="00EE033F"/>
    <w:rsid w:val="00EE1A1B"/>
    <w:rsid w:val="00EE1B5A"/>
    <w:rsid w:val="00EE3257"/>
    <w:rsid w:val="00EE506E"/>
    <w:rsid w:val="00EE5559"/>
    <w:rsid w:val="00EE6414"/>
    <w:rsid w:val="00EE6504"/>
    <w:rsid w:val="00EE6C17"/>
    <w:rsid w:val="00EE7319"/>
    <w:rsid w:val="00EF1556"/>
    <w:rsid w:val="00EF1A2D"/>
    <w:rsid w:val="00EF1C24"/>
    <w:rsid w:val="00EF3609"/>
    <w:rsid w:val="00EF3B97"/>
    <w:rsid w:val="00EF3CB2"/>
    <w:rsid w:val="00EF4343"/>
    <w:rsid w:val="00EF4B83"/>
    <w:rsid w:val="00EF4F73"/>
    <w:rsid w:val="00EF554C"/>
    <w:rsid w:val="00EF5BBB"/>
    <w:rsid w:val="00EF664E"/>
    <w:rsid w:val="00EF674F"/>
    <w:rsid w:val="00EF6F18"/>
    <w:rsid w:val="00EF7D59"/>
    <w:rsid w:val="00F006C3"/>
    <w:rsid w:val="00F00E05"/>
    <w:rsid w:val="00F03119"/>
    <w:rsid w:val="00F03BBC"/>
    <w:rsid w:val="00F03CD9"/>
    <w:rsid w:val="00F0423C"/>
    <w:rsid w:val="00F052A9"/>
    <w:rsid w:val="00F06F78"/>
    <w:rsid w:val="00F07395"/>
    <w:rsid w:val="00F073B2"/>
    <w:rsid w:val="00F07B79"/>
    <w:rsid w:val="00F07C26"/>
    <w:rsid w:val="00F07CEA"/>
    <w:rsid w:val="00F108B4"/>
    <w:rsid w:val="00F10E1F"/>
    <w:rsid w:val="00F10FE3"/>
    <w:rsid w:val="00F1272A"/>
    <w:rsid w:val="00F143DB"/>
    <w:rsid w:val="00F14553"/>
    <w:rsid w:val="00F14E0C"/>
    <w:rsid w:val="00F14F90"/>
    <w:rsid w:val="00F15829"/>
    <w:rsid w:val="00F15EF4"/>
    <w:rsid w:val="00F165C9"/>
    <w:rsid w:val="00F179DF"/>
    <w:rsid w:val="00F17A85"/>
    <w:rsid w:val="00F2142B"/>
    <w:rsid w:val="00F216C0"/>
    <w:rsid w:val="00F2177E"/>
    <w:rsid w:val="00F21A72"/>
    <w:rsid w:val="00F21B4F"/>
    <w:rsid w:val="00F23639"/>
    <w:rsid w:val="00F24C65"/>
    <w:rsid w:val="00F261FC"/>
    <w:rsid w:val="00F26BAD"/>
    <w:rsid w:val="00F276F7"/>
    <w:rsid w:val="00F3091E"/>
    <w:rsid w:val="00F30928"/>
    <w:rsid w:val="00F309FE"/>
    <w:rsid w:val="00F328C2"/>
    <w:rsid w:val="00F32965"/>
    <w:rsid w:val="00F335F1"/>
    <w:rsid w:val="00F336D2"/>
    <w:rsid w:val="00F34AA8"/>
    <w:rsid w:val="00F34C75"/>
    <w:rsid w:val="00F353C4"/>
    <w:rsid w:val="00F364A0"/>
    <w:rsid w:val="00F36529"/>
    <w:rsid w:val="00F36710"/>
    <w:rsid w:val="00F378F2"/>
    <w:rsid w:val="00F41E20"/>
    <w:rsid w:val="00F43CA6"/>
    <w:rsid w:val="00F449FC"/>
    <w:rsid w:val="00F44CBC"/>
    <w:rsid w:val="00F45074"/>
    <w:rsid w:val="00F4597F"/>
    <w:rsid w:val="00F45C91"/>
    <w:rsid w:val="00F471D2"/>
    <w:rsid w:val="00F479D9"/>
    <w:rsid w:val="00F47B69"/>
    <w:rsid w:val="00F47D7A"/>
    <w:rsid w:val="00F5015B"/>
    <w:rsid w:val="00F50935"/>
    <w:rsid w:val="00F52668"/>
    <w:rsid w:val="00F52EBF"/>
    <w:rsid w:val="00F53E03"/>
    <w:rsid w:val="00F5491E"/>
    <w:rsid w:val="00F54A01"/>
    <w:rsid w:val="00F55259"/>
    <w:rsid w:val="00F55774"/>
    <w:rsid w:val="00F5579B"/>
    <w:rsid w:val="00F56147"/>
    <w:rsid w:val="00F56682"/>
    <w:rsid w:val="00F56D65"/>
    <w:rsid w:val="00F575E0"/>
    <w:rsid w:val="00F57EA5"/>
    <w:rsid w:val="00F57F1C"/>
    <w:rsid w:val="00F60C93"/>
    <w:rsid w:val="00F611AE"/>
    <w:rsid w:val="00F616DF"/>
    <w:rsid w:val="00F635D6"/>
    <w:rsid w:val="00F645ED"/>
    <w:rsid w:val="00F64881"/>
    <w:rsid w:val="00F65475"/>
    <w:rsid w:val="00F655D1"/>
    <w:rsid w:val="00F65D8D"/>
    <w:rsid w:val="00F66AB3"/>
    <w:rsid w:val="00F66DAF"/>
    <w:rsid w:val="00F7098A"/>
    <w:rsid w:val="00F725D0"/>
    <w:rsid w:val="00F72E5B"/>
    <w:rsid w:val="00F73913"/>
    <w:rsid w:val="00F73EE8"/>
    <w:rsid w:val="00F7419E"/>
    <w:rsid w:val="00F746FF"/>
    <w:rsid w:val="00F76108"/>
    <w:rsid w:val="00F76CCF"/>
    <w:rsid w:val="00F76EC4"/>
    <w:rsid w:val="00F76FC1"/>
    <w:rsid w:val="00F775DC"/>
    <w:rsid w:val="00F777D4"/>
    <w:rsid w:val="00F77E8F"/>
    <w:rsid w:val="00F80A2A"/>
    <w:rsid w:val="00F81756"/>
    <w:rsid w:val="00F81843"/>
    <w:rsid w:val="00F81D82"/>
    <w:rsid w:val="00F82838"/>
    <w:rsid w:val="00F83228"/>
    <w:rsid w:val="00F83E07"/>
    <w:rsid w:val="00F84F59"/>
    <w:rsid w:val="00F86305"/>
    <w:rsid w:val="00F8744B"/>
    <w:rsid w:val="00F91AAC"/>
    <w:rsid w:val="00F92BAB"/>
    <w:rsid w:val="00F93513"/>
    <w:rsid w:val="00F940BA"/>
    <w:rsid w:val="00F9464F"/>
    <w:rsid w:val="00F95E9A"/>
    <w:rsid w:val="00F9689C"/>
    <w:rsid w:val="00F974E5"/>
    <w:rsid w:val="00FA0577"/>
    <w:rsid w:val="00FA1435"/>
    <w:rsid w:val="00FA21CB"/>
    <w:rsid w:val="00FA2778"/>
    <w:rsid w:val="00FA2BAB"/>
    <w:rsid w:val="00FA2F1D"/>
    <w:rsid w:val="00FA5506"/>
    <w:rsid w:val="00FA7537"/>
    <w:rsid w:val="00FA7817"/>
    <w:rsid w:val="00FA7D89"/>
    <w:rsid w:val="00FB1AA9"/>
    <w:rsid w:val="00FB30F7"/>
    <w:rsid w:val="00FB3790"/>
    <w:rsid w:val="00FB431A"/>
    <w:rsid w:val="00FB4A1E"/>
    <w:rsid w:val="00FB4D76"/>
    <w:rsid w:val="00FB581C"/>
    <w:rsid w:val="00FB5B54"/>
    <w:rsid w:val="00FB5F62"/>
    <w:rsid w:val="00FB6336"/>
    <w:rsid w:val="00FB7303"/>
    <w:rsid w:val="00FB7823"/>
    <w:rsid w:val="00FB7C01"/>
    <w:rsid w:val="00FC19D2"/>
    <w:rsid w:val="00FC1CF3"/>
    <w:rsid w:val="00FC3087"/>
    <w:rsid w:val="00FC3EA0"/>
    <w:rsid w:val="00FC4F5B"/>
    <w:rsid w:val="00FC51DA"/>
    <w:rsid w:val="00FC609B"/>
    <w:rsid w:val="00FC6A76"/>
    <w:rsid w:val="00FC76B3"/>
    <w:rsid w:val="00FD309D"/>
    <w:rsid w:val="00FD49BC"/>
    <w:rsid w:val="00FD556A"/>
    <w:rsid w:val="00FD5C86"/>
    <w:rsid w:val="00FD5D98"/>
    <w:rsid w:val="00FD655F"/>
    <w:rsid w:val="00FD7804"/>
    <w:rsid w:val="00FE1A62"/>
    <w:rsid w:val="00FE2DD2"/>
    <w:rsid w:val="00FE38C5"/>
    <w:rsid w:val="00FE4A1A"/>
    <w:rsid w:val="00FE4A44"/>
    <w:rsid w:val="00FE4B13"/>
    <w:rsid w:val="00FE52D7"/>
    <w:rsid w:val="00FE6F7D"/>
    <w:rsid w:val="00FE7098"/>
    <w:rsid w:val="00FE784E"/>
    <w:rsid w:val="00FE78A0"/>
    <w:rsid w:val="00FF0175"/>
    <w:rsid w:val="00FF05D2"/>
    <w:rsid w:val="00FF0E6A"/>
    <w:rsid w:val="00FF36BA"/>
    <w:rsid w:val="00FF4335"/>
    <w:rsid w:val="00FF4904"/>
    <w:rsid w:val="00FF4DC4"/>
    <w:rsid w:val="00FF558D"/>
    <w:rsid w:val="00FF72E9"/>
    <w:rsid w:val="00FF7438"/>
    <w:rsid w:val="013215F3"/>
    <w:rsid w:val="01346A6C"/>
    <w:rsid w:val="014C23C7"/>
    <w:rsid w:val="01625DD4"/>
    <w:rsid w:val="017E3A59"/>
    <w:rsid w:val="01E84FAC"/>
    <w:rsid w:val="022503F5"/>
    <w:rsid w:val="02444AC7"/>
    <w:rsid w:val="026B644F"/>
    <w:rsid w:val="028E582D"/>
    <w:rsid w:val="02901AFB"/>
    <w:rsid w:val="02E77B5B"/>
    <w:rsid w:val="03210CF2"/>
    <w:rsid w:val="03285EF8"/>
    <w:rsid w:val="035F1B74"/>
    <w:rsid w:val="0367320F"/>
    <w:rsid w:val="03747EFC"/>
    <w:rsid w:val="037E7BED"/>
    <w:rsid w:val="03842AEF"/>
    <w:rsid w:val="03C523FA"/>
    <w:rsid w:val="03D16ADB"/>
    <w:rsid w:val="040A0915"/>
    <w:rsid w:val="040A56EF"/>
    <w:rsid w:val="040B5275"/>
    <w:rsid w:val="04520B92"/>
    <w:rsid w:val="04675DB4"/>
    <w:rsid w:val="04720883"/>
    <w:rsid w:val="048C445B"/>
    <w:rsid w:val="048D26FE"/>
    <w:rsid w:val="05D156A5"/>
    <w:rsid w:val="0614780A"/>
    <w:rsid w:val="07070EA5"/>
    <w:rsid w:val="07637C59"/>
    <w:rsid w:val="076A5DC5"/>
    <w:rsid w:val="07D368C5"/>
    <w:rsid w:val="07EA17E4"/>
    <w:rsid w:val="08142123"/>
    <w:rsid w:val="08217467"/>
    <w:rsid w:val="085A365E"/>
    <w:rsid w:val="08863CEE"/>
    <w:rsid w:val="088D393F"/>
    <w:rsid w:val="08B84ACC"/>
    <w:rsid w:val="08D627F9"/>
    <w:rsid w:val="096B17BD"/>
    <w:rsid w:val="0A4A3561"/>
    <w:rsid w:val="0A781E50"/>
    <w:rsid w:val="0A8E3D8F"/>
    <w:rsid w:val="0AAF7136"/>
    <w:rsid w:val="0B010343"/>
    <w:rsid w:val="0B7849E6"/>
    <w:rsid w:val="0C141820"/>
    <w:rsid w:val="0C8C2717"/>
    <w:rsid w:val="0CB56D70"/>
    <w:rsid w:val="0CE12C72"/>
    <w:rsid w:val="0D833312"/>
    <w:rsid w:val="0DD44964"/>
    <w:rsid w:val="0DDD047C"/>
    <w:rsid w:val="0E042561"/>
    <w:rsid w:val="0E120061"/>
    <w:rsid w:val="0E195E98"/>
    <w:rsid w:val="0E7F7C8B"/>
    <w:rsid w:val="0E977C41"/>
    <w:rsid w:val="0F2C5B55"/>
    <w:rsid w:val="0FB36535"/>
    <w:rsid w:val="10141A58"/>
    <w:rsid w:val="10B74439"/>
    <w:rsid w:val="10CA2985"/>
    <w:rsid w:val="10CF19D5"/>
    <w:rsid w:val="110758F7"/>
    <w:rsid w:val="119C0B35"/>
    <w:rsid w:val="11CF6BC8"/>
    <w:rsid w:val="12094709"/>
    <w:rsid w:val="129513D3"/>
    <w:rsid w:val="131E4A34"/>
    <w:rsid w:val="13D236CC"/>
    <w:rsid w:val="13F709CE"/>
    <w:rsid w:val="143478D6"/>
    <w:rsid w:val="1476462D"/>
    <w:rsid w:val="149C7EBC"/>
    <w:rsid w:val="14E46C49"/>
    <w:rsid w:val="151419A2"/>
    <w:rsid w:val="1552423F"/>
    <w:rsid w:val="155B3EC5"/>
    <w:rsid w:val="158E1C6F"/>
    <w:rsid w:val="15E93874"/>
    <w:rsid w:val="16584929"/>
    <w:rsid w:val="167416CE"/>
    <w:rsid w:val="16D46715"/>
    <w:rsid w:val="17095477"/>
    <w:rsid w:val="17614581"/>
    <w:rsid w:val="17BA338C"/>
    <w:rsid w:val="183F6390"/>
    <w:rsid w:val="18D553BA"/>
    <w:rsid w:val="18D76E98"/>
    <w:rsid w:val="18DA746B"/>
    <w:rsid w:val="18E00B6F"/>
    <w:rsid w:val="18FD78E5"/>
    <w:rsid w:val="19F13328"/>
    <w:rsid w:val="1A4D3E8D"/>
    <w:rsid w:val="1A734447"/>
    <w:rsid w:val="1AC8470D"/>
    <w:rsid w:val="1AD1387E"/>
    <w:rsid w:val="1B1C5D98"/>
    <w:rsid w:val="1B2C7ECC"/>
    <w:rsid w:val="1B4840EA"/>
    <w:rsid w:val="1B5125D9"/>
    <w:rsid w:val="1B662EEA"/>
    <w:rsid w:val="1BA30F56"/>
    <w:rsid w:val="1BAB6A04"/>
    <w:rsid w:val="1BC27CE8"/>
    <w:rsid w:val="1CF7618A"/>
    <w:rsid w:val="1D3A6632"/>
    <w:rsid w:val="1D5178C8"/>
    <w:rsid w:val="1DAB3E27"/>
    <w:rsid w:val="1DB03247"/>
    <w:rsid w:val="1DBF3CF8"/>
    <w:rsid w:val="1DE33295"/>
    <w:rsid w:val="1EEF1E8B"/>
    <w:rsid w:val="1F011E76"/>
    <w:rsid w:val="1F6578C6"/>
    <w:rsid w:val="1F676608"/>
    <w:rsid w:val="1FE56D77"/>
    <w:rsid w:val="209C4205"/>
    <w:rsid w:val="20EB5230"/>
    <w:rsid w:val="214D40AF"/>
    <w:rsid w:val="216D06F2"/>
    <w:rsid w:val="21D27754"/>
    <w:rsid w:val="21DD2C7B"/>
    <w:rsid w:val="21E36035"/>
    <w:rsid w:val="21E732E2"/>
    <w:rsid w:val="2208696E"/>
    <w:rsid w:val="229575D0"/>
    <w:rsid w:val="22C442FF"/>
    <w:rsid w:val="23D56BFD"/>
    <w:rsid w:val="2435126F"/>
    <w:rsid w:val="24ED7492"/>
    <w:rsid w:val="25231D03"/>
    <w:rsid w:val="25314C72"/>
    <w:rsid w:val="257448D1"/>
    <w:rsid w:val="259524BF"/>
    <w:rsid w:val="259F1992"/>
    <w:rsid w:val="25AB01DE"/>
    <w:rsid w:val="25B14925"/>
    <w:rsid w:val="25D63E68"/>
    <w:rsid w:val="261E020C"/>
    <w:rsid w:val="269442A0"/>
    <w:rsid w:val="26FA5D2F"/>
    <w:rsid w:val="27846675"/>
    <w:rsid w:val="2808591B"/>
    <w:rsid w:val="2A4C31B5"/>
    <w:rsid w:val="2AE60E20"/>
    <w:rsid w:val="2B5D5B40"/>
    <w:rsid w:val="2B63426F"/>
    <w:rsid w:val="2BBE4809"/>
    <w:rsid w:val="2C304C44"/>
    <w:rsid w:val="2CFD3D81"/>
    <w:rsid w:val="2D3D119A"/>
    <w:rsid w:val="2DAA42E8"/>
    <w:rsid w:val="2DDB60B2"/>
    <w:rsid w:val="2DEA609B"/>
    <w:rsid w:val="2E0004C7"/>
    <w:rsid w:val="2E1B4F0B"/>
    <w:rsid w:val="2E9B4F31"/>
    <w:rsid w:val="2EC62B43"/>
    <w:rsid w:val="2EED48DD"/>
    <w:rsid w:val="2F1A1C58"/>
    <w:rsid w:val="2FED5C75"/>
    <w:rsid w:val="2FFB7D3E"/>
    <w:rsid w:val="30170B19"/>
    <w:rsid w:val="30492C52"/>
    <w:rsid w:val="30BB5B38"/>
    <w:rsid w:val="31876F29"/>
    <w:rsid w:val="31F43467"/>
    <w:rsid w:val="32070021"/>
    <w:rsid w:val="327F3D6B"/>
    <w:rsid w:val="334B0167"/>
    <w:rsid w:val="33BF5DED"/>
    <w:rsid w:val="34C255D6"/>
    <w:rsid w:val="34D6714A"/>
    <w:rsid w:val="35B46B40"/>
    <w:rsid w:val="35BF683C"/>
    <w:rsid w:val="35C1003B"/>
    <w:rsid w:val="35DA54E6"/>
    <w:rsid w:val="35F038A4"/>
    <w:rsid w:val="36254527"/>
    <w:rsid w:val="362A1B6B"/>
    <w:rsid w:val="36380E96"/>
    <w:rsid w:val="363B6337"/>
    <w:rsid w:val="36D7478B"/>
    <w:rsid w:val="36FE2428"/>
    <w:rsid w:val="38C36DE3"/>
    <w:rsid w:val="39921B3C"/>
    <w:rsid w:val="399B6EC9"/>
    <w:rsid w:val="39C02EB5"/>
    <w:rsid w:val="39D54247"/>
    <w:rsid w:val="39EB7093"/>
    <w:rsid w:val="3A0C7EE1"/>
    <w:rsid w:val="3A244C3C"/>
    <w:rsid w:val="3A42356C"/>
    <w:rsid w:val="3A815FFC"/>
    <w:rsid w:val="3B621599"/>
    <w:rsid w:val="3B8653FC"/>
    <w:rsid w:val="3BFE350A"/>
    <w:rsid w:val="3CC8422F"/>
    <w:rsid w:val="3CD22454"/>
    <w:rsid w:val="3D621C49"/>
    <w:rsid w:val="3D734E8A"/>
    <w:rsid w:val="3DA71E83"/>
    <w:rsid w:val="3DED3FB4"/>
    <w:rsid w:val="3E10092B"/>
    <w:rsid w:val="3E52684D"/>
    <w:rsid w:val="3EDC686E"/>
    <w:rsid w:val="3EE70C06"/>
    <w:rsid w:val="3FF064CE"/>
    <w:rsid w:val="40920B61"/>
    <w:rsid w:val="40D22373"/>
    <w:rsid w:val="418D3462"/>
    <w:rsid w:val="41E151D5"/>
    <w:rsid w:val="438502D6"/>
    <w:rsid w:val="44F56819"/>
    <w:rsid w:val="450E1039"/>
    <w:rsid w:val="453E5D7D"/>
    <w:rsid w:val="45501CFE"/>
    <w:rsid w:val="455E0247"/>
    <w:rsid w:val="45A35EEC"/>
    <w:rsid w:val="45D81DE2"/>
    <w:rsid w:val="46944B4E"/>
    <w:rsid w:val="46A51ABA"/>
    <w:rsid w:val="47361014"/>
    <w:rsid w:val="47BD685E"/>
    <w:rsid w:val="48041C51"/>
    <w:rsid w:val="491D29DD"/>
    <w:rsid w:val="4923705D"/>
    <w:rsid w:val="49702F21"/>
    <w:rsid w:val="49BF0C32"/>
    <w:rsid w:val="49C01EDD"/>
    <w:rsid w:val="4A30450D"/>
    <w:rsid w:val="4A5B7EE6"/>
    <w:rsid w:val="4B907A1F"/>
    <w:rsid w:val="4C57711E"/>
    <w:rsid w:val="4C7E38AC"/>
    <w:rsid w:val="4C8B5474"/>
    <w:rsid w:val="4D1B1AD8"/>
    <w:rsid w:val="4D933628"/>
    <w:rsid w:val="4DB12250"/>
    <w:rsid w:val="4DD7708A"/>
    <w:rsid w:val="4E28388B"/>
    <w:rsid w:val="4E674936"/>
    <w:rsid w:val="4E997130"/>
    <w:rsid w:val="4ECC69F1"/>
    <w:rsid w:val="4F875728"/>
    <w:rsid w:val="4FFF6735"/>
    <w:rsid w:val="501252C3"/>
    <w:rsid w:val="503C7CAB"/>
    <w:rsid w:val="50922116"/>
    <w:rsid w:val="5132152F"/>
    <w:rsid w:val="517E685A"/>
    <w:rsid w:val="51917E02"/>
    <w:rsid w:val="51B91AB2"/>
    <w:rsid w:val="53AA5411"/>
    <w:rsid w:val="53B8319F"/>
    <w:rsid w:val="5488491F"/>
    <w:rsid w:val="54902AAF"/>
    <w:rsid w:val="54950696"/>
    <w:rsid w:val="54A173C1"/>
    <w:rsid w:val="556221E7"/>
    <w:rsid w:val="5581120C"/>
    <w:rsid w:val="55A737D5"/>
    <w:rsid w:val="55C522C3"/>
    <w:rsid w:val="55C64BA3"/>
    <w:rsid w:val="56996ECF"/>
    <w:rsid w:val="56A469E3"/>
    <w:rsid w:val="571A3705"/>
    <w:rsid w:val="575354DF"/>
    <w:rsid w:val="57693E6B"/>
    <w:rsid w:val="57973185"/>
    <w:rsid w:val="580E7C40"/>
    <w:rsid w:val="58666085"/>
    <w:rsid w:val="58672098"/>
    <w:rsid w:val="586803C3"/>
    <w:rsid w:val="588E5794"/>
    <w:rsid w:val="58EE6D4D"/>
    <w:rsid w:val="590D7179"/>
    <w:rsid w:val="59D00AFF"/>
    <w:rsid w:val="59E503B5"/>
    <w:rsid w:val="59F8523C"/>
    <w:rsid w:val="5A280FDB"/>
    <w:rsid w:val="5A6D501A"/>
    <w:rsid w:val="5AA777CD"/>
    <w:rsid w:val="5AAB63C5"/>
    <w:rsid w:val="5AFA6E65"/>
    <w:rsid w:val="5B70496B"/>
    <w:rsid w:val="5BA858A7"/>
    <w:rsid w:val="5C6E0BD2"/>
    <w:rsid w:val="5CE140F1"/>
    <w:rsid w:val="5CFF68D9"/>
    <w:rsid w:val="5D1812BE"/>
    <w:rsid w:val="5D746DCC"/>
    <w:rsid w:val="5E925B3F"/>
    <w:rsid w:val="5E9345EC"/>
    <w:rsid w:val="5EEC01A1"/>
    <w:rsid w:val="5F155F16"/>
    <w:rsid w:val="5F4D54F9"/>
    <w:rsid w:val="5F624FE6"/>
    <w:rsid w:val="5FA82D17"/>
    <w:rsid w:val="602E7DC8"/>
    <w:rsid w:val="603E62FA"/>
    <w:rsid w:val="60D478CB"/>
    <w:rsid w:val="60FB1454"/>
    <w:rsid w:val="61271B17"/>
    <w:rsid w:val="612860AE"/>
    <w:rsid w:val="61400134"/>
    <w:rsid w:val="6194694F"/>
    <w:rsid w:val="619856F0"/>
    <w:rsid w:val="621004C0"/>
    <w:rsid w:val="6300526C"/>
    <w:rsid w:val="63073421"/>
    <w:rsid w:val="6320739A"/>
    <w:rsid w:val="63504E7B"/>
    <w:rsid w:val="63834E2A"/>
    <w:rsid w:val="63F313D6"/>
    <w:rsid w:val="63FF6723"/>
    <w:rsid w:val="64DC4773"/>
    <w:rsid w:val="64E81680"/>
    <w:rsid w:val="663F5E7E"/>
    <w:rsid w:val="666F3F78"/>
    <w:rsid w:val="672F1CBB"/>
    <w:rsid w:val="677E4A78"/>
    <w:rsid w:val="6789160D"/>
    <w:rsid w:val="688A54B3"/>
    <w:rsid w:val="68922C4A"/>
    <w:rsid w:val="689E2360"/>
    <w:rsid w:val="694756B0"/>
    <w:rsid w:val="698F190A"/>
    <w:rsid w:val="6A2C4B95"/>
    <w:rsid w:val="6A421152"/>
    <w:rsid w:val="6A4A477F"/>
    <w:rsid w:val="6A9E67F3"/>
    <w:rsid w:val="6ADC08E6"/>
    <w:rsid w:val="6AE44BEC"/>
    <w:rsid w:val="6AE47FAE"/>
    <w:rsid w:val="6B53201F"/>
    <w:rsid w:val="6B66690E"/>
    <w:rsid w:val="6B7A1070"/>
    <w:rsid w:val="6D7245D3"/>
    <w:rsid w:val="6DE54FA2"/>
    <w:rsid w:val="6DF6219B"/>
    <w:rsid w:val="6E1C3F79"/>
    <w:rsid w:val="6E3D3153"/>
    <w:rsid w:val="6F014234"/>
    <w:rsid w:val="6F8145C5"/>
    <w:rsid w:val="6F920CCE"/>
    <w:rsid w:val="7006380A"/>
    <w:rsid w:val="70535F8C"/>
    <w:rsid w:val="70E81B34"/>
    <w:rsid w:val="71F12E5D"/>
    <w:rsid w:val="723C60CE"/>
    <w:rsid w:val="72BA4BAC"/>
    <w:rsid w:val="72C95FA4"/>
    <w:rsid w:val="72E17305"/>
    <w:rsid w:val="72E41463"/>
    <w:rsid w:val="73091C8A"/>
    <w:rsid w:val="73221F8B"/>
    <w:rsid w:val="73812E5B"/>
    <w:rsid w:val="73D74DED"/>
    <w:rsid w:val="73F47FAE"/>
    <w:rsid w:val="747249BF"/>
    <w:rsid w:val="74B82E0D"/>
    <w:rsid w:val="74C05189"/>
    <w:rsid w:val="74D110F5"/>
    <w:rsid w:val="74EF6C14"/>
    <w:rsid w:val="75847C07"/>
    <w:rsid w:val="759B6A0E"/>
    <w:rsid w:val="75CB6016"/>
    <w:rsid w:val="76967CBC"/>
    <w:rsid w:val="76AD5594"/>
    <w:rsid w:val="76D8308D"/>
    <w:rsid w:val="77206E0B"/>
    <w:rsid w:val="773F310C"/>
    <w:rsid w:val="786B56EB"/>
    <w:rsid w:val="78732537"/>
    <w:rsid w:val="78E17476"/>
    <w:rsid w:val="798175E5"/>
    <w:rsid w:val="79B21A11"/>
    <w:rsid w:val="79DC5B09"/>
    <w:rsid w:val="7A467573"/>
    <w:rsid w:val="7A6C4681"/>
    <w:rsid w:val="7AFB303D"/>
    <w:rsid w:val="7AFF6C08"/>
    <w:rsid w:val="7B5C7202"/>
    <w:rsid w:val="7BA02A61"/>
    <w:rsid w:val="7D2D0BAA"/>
    <w:rsid w:val="7D3D241E"/>
    <w:rsid w:val="7D6A7126"/>
    <w:rsid w:val="7D87427E"/>
    <w:rsid w:val="7DC972F4"/>
    <w:rsid w:val="7DED300F"/>
    <w:rsid w:val="7E61605D"/>
    <w:rsid w:val="7EA84D28"/>
    <w:rsid w:val="7F3A0FFB"/>
    <w:rsid w:val="7F7D2D17"/>
    <w:rsid w:val="7FD76C9C"/>
    <w:rsid w:val="7FDA4F0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nhideWhenUsed="0" w:uiPriority="9"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styleId="7">
    <w:name w:val="heading 1"/>
    <w:basedOn w:val="1"/>
    <w:next w:val="1"/>
    <w:link w:val="44"/>
    <w:qFormat/>
    <w:uiPriority w:val="0"/>
    <w:pPr>
      <w:keepNext/>
      <w:jc w:val="center"/>
      <w:outlineLvl w:val="0"/>
    </w:pPr>
    <w:rPr>
      <w:b/>
      <w:sz w:val="32"/>
    </w:rPr>
  </w:style>
  <w:style w:type="paragraph" w:styleId="8">
    <w:name w:val="heading 2"/>
    <w:basedOn w:val="1"/>
    <w:next w:val="1"/>
    <w:link w:val="45"/>
    <w:qFormat/>
    <w:uiPriority w:val="0"/>
    <w:pPr>
      <w:widowControl w:val="0"/>
      <w:adjustRightInd w:val="0"/>
      <w:snapToGrid w:val="0"/>
      <w:spacing w:before="50" w:beforeLines="50" w:after="0"/>
      <w:outlineLvl w:val="1"/>
    </w:pPr>
    <w:rPr>
      <w:rFonts w:eastAsia="宋体"/>
      <w:b/>
      <w:bCs/>
    </w:rPr>
  </w:style>
  <w:style w:type="paragraph" w:styleId="9">
    <w:name w:val="heading 3"/>
    <w:basedOn w:val="1"/>
    <w:next w:val="1"/>
    <w:link w:val="46"/>
    <w:qFormat/>
    <w:uiPriority w:val="0"/>
    <w:pPr>
      <w:keepNext/>
      <w:keepLines/>
      <w:suppressAutoHyphens w:val="0"/>
      <w:wordWrap/>
      <w:topLinePunct w:val="0"/>
      <w:spacing w:before="120" w:after="120"/>
      <w:ind w:firstLine="0" w:firstLineChars="0"/>
      <w:outlineLvl w:val="2"/>
    </w:pPr>
    <w:rPr>
      <w:rFonts w:eastAsia="黑体" w:cs="Times New Roman"/>
      <w:bCs/>
      <w:sz w:val="28"/>
      <w:szCs w:val="32"/>
    </w:rPr>
  </w:style>
  <w:style w:type="paragraph" w:styleId="10">
    <w:name w:val="heading 4"/>
    <w:basedOn w:val="1"/>
    <w:next w:val="1"/>
    <w:link w:val="47"/>
    <w:qFormat/>
    <w:uiPriority w:val="9"/>
    <w:pPr>
      <w:keepNext/>
      <w:keepLines/>
      <w:spacing w:before="280" w:after="290" w:line="376" w:lineRule="auto"/>
      <w:outlineLvl w:val="3"/>
    </w:pPr>
    <w:rPr>
      <w:rFonts w:ascii="等线 Light" w:hAnsi="等线 Light" w:eastAsia="等线 Light" w:cs="Times New Roman"/>
      <w:b/>
      <w:bCs/>
      <w:sz w:val="28"/>
      <w:szCs w:val="28"/>
    </w:rPr>
  </w:style>
  <w:style w:type="character" w:default="1" w:styleId="39">
    <w:name w:val="Default Paragraph Font"/>
    <w:unhideWhenUsed/>
    <w:qFormat/>
    <w:uiPriority w:val="1"/>
  </w:style>
  <w:style w:type="table" w:default="1" w:styleId="37">
    <w:name w:val="Normal Table"/>
    <w:unhideWhenUsed/>
    <w:qFormat/>
    <w:uiPriority w:val="99"/>
    <w:tblPr>
      <w:tblCellMar>
        <w:top w:w="0" w:type="dxa"/>
        <w:left w:w="108" w:type="dxa"/>
        <w:bottom w:w="0" w:type="dxa"/>
        <w:right w:w="108" w:type="dxa"/>
      </w:tblCellMar>
    </w:tblPr>
  </w:style>
  <w:style w:type="paragraph" w:customStyle="1" w:styleId="2">
    <w:name w:val="Default"/>
    <w:basedOn w:val="3"/>
    <w:next w:val="4"/>
    <w:qFormat/>
    <w:uiPriority w:val="0"/>
    <w:pPr>
      <w:widowControl w:val="0"/>
      <w:autoSpaceDE w:val="0"/>
      <w:autoSpaceDN w:val="0"/>
      <w:adjustRightInd w:val="0"/>
      <w:spacing w:line="360" w:lineRule="auto"/>
    </w:pPr>
    <w:rPr>
      <w:rFonts w:ascii="宋体" w:hAnsi="宋体" w:cs="宋体"/>
      <w:color w:val="000000"/>
      <w:sz w:val="24"/>
      <w:szCs w:val="24"/>
      <w:lang w:val="en-US" w:eastAsia="zh-CN" w:bidi="ar-SA"/>
    </w:rPr>
  </w:style>
  <w:style w:type="paragraph" w:customStyle="1" w:styleId="3">
    <w:name w:val="纯文本1"/>
    <w:basedOn w:val="1"/>
    <w:qFormat/>
    <w:uiPriority w:val="0"/>
    <w:rPr>
      <w:rFonts w:ascii="宋体" w:hAnsi="Courier New"/>
    </w:rPr>
  </w:style>
  <w:style w:type="paragraph" w:customStyle="1" w:styleId="4">
    <w:name w:val="样式35"/>
    <w:next w:val="5"/>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5">
    <w:name w:val="font6"/>
    <w:next w:val="6"/>
    <w:qFormat/>
    <w:uiPriority w:val="0"/>
    <w:pPr>
      <w:spacing w:before="280" w:after="280"/>
      <w:jc w:val="both"/>
    </w:pPr>
    <w:rPr>
      <w:rFonts w:ascii="Times New Roman" w:hAnsi="Times New Roman" w:eastAsia="宋体" w:cs="Times New Roman"/>
      <w:kern w:val="2"/>
      <w:sz w:val="21"/>
      <w:szCs w:val="22"/>
      <w:lang w:val="en-US" w:eastAsia="zh-CN" w:bidi="ar-SA"/>
    </w:rPr>
  </w:style>
  <w:style w:type="paragraph" w:styleId="6">
    <w:name w:val="toc 2"/>
    <w:basedOn w:val="1"/>
    <w:next w:val="1"/>
    <w:unhideWhenUsed/>
    <w:qFormat/>
    <w:uiPriority w:val="39"/>
  </w:style>
  <w:style w:type="paragraph" w:styleId="11">
    <w:name w:val="toc 7"/>
    <w:basedOn w:val="1"/>
    <w:next w:val="1"/>
    <w:unhideWhenUsed/>
    <w:qFormat/>
    <w:uiPriority w:val="39"/>
    <w:pPr>
      <w:suppressAutoHyphens w:val="0"/>
      <w:wordWrap/>
      <w:topLinePunct w:val="0"/>
      <w:spacing w:line="240" w:lineRule="auto"/>
      <w:ind w:left="2520" w:leftChars="1200" w:firstLine="0" w:firstLineChars="0"/>
    </w:pPr>
    <w:rPr>
      <w:rFonts w:ascii="Calibri" w:hAnsi="Calibri" w:eastAsia="宋体" w:cs="Times New Roman"/>
      <w:sz w:val="21"/>
      <w:szCs w:val="22"/>
    </w:rPr>
  </w:style>
  <w:style w:type="paragraph" w:styleId="12">
    <w:name w:val="Normal Indent"/>
    <w:basedOn w:val="1"/>
    <w:next w:val="1"/>
    <w:unhideWhenUsed/>
    <w:qFormat/>
    <w:uiPriority w:val="99"/>
    <w:pPr>
      <w:ind w:firstLine="420"/>
    </w:pPr>
  </w:style>
  <w:style w:type="paragraph" w:styleId="13">
    <w:name w:val="caption"/>
    <w:basedOn w:val="1"/>
    <w:next w:val="1"/>
    <w:qFormat/>
    <w:uiPriority w:val="9"/>
    <w:pPr>
      <w:suppressAutoHyphens w:val="0"/>
      <w:wordWrap/>
      <w:topLinePunct w:val="0"/>
      <w:ind w:firstLine="0" w:firstLineChars="0"/>
      <w:jc w:val="center"/>
    </w:pPr>
    <w:rPr>
      <w:rFonts w:eastAsia="黑体"/>
      <w:b/>
      <w:szCs w:val="20"/>
    </w:rPr>
  </w:style>
  <w:style w:type="paragraph" w:styleId="14">
    <w:name w:val="Document Map"/>
    <w:basedOn w:val="1"/>
    <w:link w:val="48"/>
    <w:unhideWhenUsed/>
    <w:qFormat/>
    <w:uiPriority w:val="99"/>
    <w:rPr>
      <w:rFonts w:ascii="宋体"/>
      <w:sz w:val="18"/>
      <w:szCs w:val="18"/>
    </w:rPr>
  </w:style>
  <w:style w:type="paragraph" w:styleId="15">
    <w:name w:val="annotation text"/>
    <w:basedOn w:val="1"/>
    <w:link w:val="49"/>
    <w:unhideWhenUsed/>
    <w:qFormat/>
    <w:uiPriority w:val="99"/>
  </w:style>
  <w:style w:type="paragraph" w:styleId="16">
    <w:name w:val="Body Text"/>
    <w:basedOn w:val="1"/>
    <w:next w:val="1"/>
    <w:link w:val="50"/>
    <w:qFormat/>
    <w:uiPriority w:val="1"/>
    <w:pPr>
      <w:suppressAutoHyphens w:val="0"/>
      <w:wordWrap/>
      <w:topLinePunct w:val="0"/>
      <w:autoSpaceDE w:val="0"/>
      <w:autoSpaceDN w:val="0"/>
      <w:ind w:left="106" w:firstLine="0" w:firstLineChars="0"/>
    </w:pPr>
    <w:rPr>
      <w:rFonts w:ascii="宋体" w:hAnsi="宋体" w:cs="宋体"/>
      <w:kern w:val="0"/>
      <w:lang w:eastAsia="en-US"/>
    </w:rPr>
  </w:style>
  <w:style w:type="paragraph" w:styleId="17">
    <w:name w:val="Body Text Indent"/>
    <w:basedOn w:val="1"/>
    <w:next w:val="18"/>
    <w:qFormat/>
    <w:uiPriority w:val="99"/>
    <w:pPr>
      <w:spacing w:after="120"/>
      <w:ind w:left="420" w:leftChars="200"/>
    </w:pPr>
    <w:rPr>
      <w:kern w:val="0"/>
      <w:sz w:val="24"/>
      <w:szCs w:val="20"/>
    </w:rPr>
  </w:style>
  <w:style w:type="paragraph" w:styleId="18">
    <w:name w:val="Body Text Indent 2"/>
    <w:basedOn w:val="1"/>
    <w:qFormat/>
    <w:uiPriority w:val="0"/>
    <w:pPr>
      <w:spacing w:after="120" w:line="480" w:lineRule="auto"/>
      <w:ind w:left="420" w:leftChars="200"/>
    </w:pPr>
    <w:rPr>
      <w:sz w:val="21"/>
    </w:rPr>
  </w:style>
  <w:style w:type="paragraph" w:styleId="19">
    <w:name w:val="toc 5"/>
    <w:basedOn w:val="1"/>
    <w:next w:val="1"/>
    <w:unhideWhenUsed/>
    <w:qFormat/>
    <w:uiPriority w:val="39"/>
    <w:pPr>
      <w:suppressAutoHyphens w:val="0"/>
      <w:wordWrap/>
      <w:topLinePunct w:val="0"/>
      <w:spacing w:line="240" w:lineRule="auto"/>
      <w:ind w:left="1680" w:leftChars="800" w:firstLine="0" w:firstLineChars="0"/>
    </w:pPr>
    <w:rPr>
      <w:rFonts w:ascii="Calibri" w:hAnsi="Calibri" w:eastAsia="宋体" w:cs="Times New Roman"/>
      <w:sz w:val="21"/>
      <w:szCs w:val="22"/>
    </w:rPr>
  </w:style>
  <w:style w:type="paragraph" w:styleId="20">
    <w:name w:val="toc 3"/>
    <w:basedOn w:val="1"/>
    <w:next w:val="1"/>
    <w:unhideWhenUsed/>
    <w:qFormat/>
    <w:uiPriority w:val="39"/>
    <w:pPr>
      <w:ind w:left="840" w:leftChars="400"/>
    </w:pPr>
  </w:style>
  <w:style w:type="paragraph" w:styleId="21">
    <w:name w:val="Plain Text"/>
    <w:basedOn w:val="1"/>
    <w:qFormat/>
    <w:uiPriority w:val="0"/>
    <w:rPr>
      <w:rFonts w:ascii="宋体" w:hAnsi="Courier New"/>
    </w:rPr>
  </w:style>
  <w:style w:type="paragraph" w:styleId="22">
    <w:name w:val="toc 8"/>
    <w:basedOn w:val="1"/>
    <w:next w:val="1"/>
    <w:unhideWhenUsed/>
    <w:qFormat/>
    <w:uiPriority w:val="39"/>
    <w:pPr>
      <w:suppressAutoHyphens w:val="0"/>
      <w:wordWrap/>
      <w:topLinePunct w:val="0"/>
      <w:spacing w:line="240" w:lineRule="auto"/>
      <w:ind w:left="2940" w:leftChars="1400" w:firstLine="0" w:firstLineChars="0"/>
    </w:pPr>
    <w:rPr>
      <w:rFonts w:ascii="Calibri" w:hAnsi="Calibri" w:eastAsia="宋体" w:cs="Times New Roman"/>
      <w:sz w:val="21"/>
      <w:szCs w:val="22"/>
    </w:rPr>
  </w:style>
  <w:style w:type="paragraph" w:styleId="23">
    <w:name w:val="Date"/>
    <w:basedOn w:val="1"/>
    <w:next w:val="1"/>
    <w:link w:val="51"/>
    <w:unhideWhenUsed/>
    <w:qFormat/>
    <w:uiPriority w:val="99"/>
    <w:pPr>
      <w:ind w:left="100" w:leftChars="2500"/>
    </w:pPr>
  </w:style>
  <w:style w:type="paragraph" w:styleId="24">
    <w:name w:val="Balloon Text"/>
    <w:basedOn w:val="1"/>
    <w:link w:val="52"/>
    <w:unhideWhenUsed/>
    <w:qFormat/>
    <w:uiPriority w:val="99"/>
    <w:pPr>
      <w:spacing w:line="240" w:lineRule="auto"/>
    </w:pPr>
    <w:rPr>
      <w:sz w:val="18"/>
      <w:szCs w:val="18"/>
    </w:rPr>
  </w:style>
  <w:style w:type="paragraph" w:styleId="25">
    <w:name w:val="footer"/>
    <w:basedOn w:val="1"/>
    <w:link w:val="53"/>
    <w:unhideWhenUsed/>
    <w:qFormat/>
    <w:uiPriority w:val="0"/>
    <w:pPr>
      <w:tabs>
        <w:tab w:val="center" w:pos="4153"/>
        <w:tab w:val="right" w:pos="8306"/>
      </w:tabs>
      <w:snapToGrid w:val="0"/>
      <w:spacing w:line="240" w:lineRule="auto"/>
      <w:jc w:val="left"/>
    </w:pPr>
    <w:rPr>
      <w:sz w:val="18"/>
      <w:szCs w:val="18"/>
    </w:rPr>
  </w:style>
  <w:style w:type="paragraph" w:styleId="26">
    <w:name w:val="header"/>
    <w:basedOn w:val="1"/>
    <w:link w:val="5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7">
    <w:name w:val="toc 1"/>
    <w:basedOn w:val="1"/>
    <w:next w:val="1"/>
    <w:unhideWhenUsed/>
    <w:qFormat/>
    <w:uiPriority w:val="39"/>
    <w:pPr>
      <w:adjustRightInd w:val="0"/>
      <w:ind w:firstLine="0" w:firstLineChars="0"/>
    </w:pPr>
    <w:rPr>
      <w:b/>
      <w:kern w:val="0"/>
    </w:rPr>
  </w:style>
  <w:style w:type="paragraph" w:styleId="28">
    <w:name w:val="toc 4"/>
    <w:basedOn w:val="1"/>
    <w:next w:val="1"/>
    <w:unhideWhenUsed/>
    <w:qFormat/>
    <w:uiPriority w:val="39"/>
    <w:pPr>
      <w:tabs>
        <w:tab w:val="right" w:leader="dot" w:pos="8240"/>
      </w:tabs>
      <w:wordWrap/>
      <w:ind w:left="480" w:leftChars="200" w:firstLine="480"/>
      <w:jc w:val="both"/>
    </w:pPr>
  </w:style>
  <w:style w:type="paragraph" w:styleId="29">
    <w:name w:val="Subtitle"/>
    <w:basedOn w:val="1"/>
    <w:link w:val="55"/>
    <w:qFormat/>
    <w:uiPriority w:val="11"/>
    <w:pPr>
      <w:widowControl/>
      <w:suppressAutoHyphens w:val="0"/>
      <w:wordWrap/>
      <w:topLinePunct w:val="0"/>
      <w:adjustRightInd w:val="0"/>
      <w:spacing w:after="60" w:line="360" w:lineRule="atLeast"/>
      <w:ind w:firstLine="510" w:firstLineChars="0"/>
      <w:jc w:val="center"/>
      <w:textAlignment w:val="baseline"/>
    </w:pPr>
    <w:rPr>
      <w:rFonts w:ascii="Arial" w:hAnsi="Arial" w:eastAsia="黑体"/>
      <w:i/>
      <w:kern w:val="0"/>
      <w:szCs w:val="20"/>
    </w:rPr>
  </w:style>
  <w:style w:type="paragraph" w:styleId="30">
    <w:name w:val="List"/>
    <w:basedOn w:val="1"/>
    <w:unhideWhenUsed/>
    <w:qFormat/>
    <w:uiPriority w:val="0"/>
    <w:pPr>
      <w:widowControl w:val="0"/>
      <w:ind w:left="200" w:hanging="200" w:hangingChars="200"/>
      <w:jc w:val="both"/>
    </w:pPr>
    <w:rPr>
      <w:szCs w:val="21"/>
    </w:rPr>
  </w:style>
  <w:style w:type="paragraph" w:styleId="31">
    <w:name w:val="toc 6"/>
    <w:basedOn w:val="1"/>
    <w:next w:val="1"/>
    <w:unhideWhenUsed/>
    <w:qFormat/>
    <w:uiPriority w:val="39"/>
    <w:pPr>
      <w:suppressAutoHyphens w:val="0"/>
      <w:wordWrap/>
      <w:topLinePunct w:val="0"/>
      <w:spacing w:line="240" w:lineRule="auto"/>
      <w:ind w:left="2100" w:leftChars="1000" w:firstLine="0" w:firstLineChars="0"/>
    </w:pPr>
    <w:rPr>
      <w:rFonts w:ascii="Calibri" w:hAnsi="Calibri" w:eastAsia="宋体" w:cs="Times New Roman"/>
      <w:sz w:val="21"/>
      <w:szCs w:val="22"/>
    </w:rPr>
  </w:style>
  <w:style w:type="paragraph" w:styleId="32">
    <w:name w:val="Body Text Indent 3"/>
    <w:basedOn w:val="1"/>
    <w:link w:val="56"/>
    <w:unhideWhenUsed/>
    <w:qFormat/>
    <w:uiPriority w:val="99"/>
    <w:pPr>
      <w:spacing w:after="120"/>
      <w:ind w:left="420" w:leftChars="200"/>
    </w:pPr>
    <w:rPr>
      <w:sz w:val="16"/>
      <w:szCs w:val="16"/>
    </w:rPr>
  </w:style>
  <w:style w:type="paragraph" w:styleId="33">
    <w:name w:val="toc 9"/>
    <w:basedOn w:val="1"/>
    <w:next w:val="1"/>
    <w:unhideWhenUsed/>
    <w:qFormat/>
    <w:uiPriority w:val="39"/>
    <w:pPr>
      <w:suppressAutoHyphens w:val="0"/>
      <w:wordWrap/>
      <w:topLinePunct w:val="0"/>
      <w:spacing w:line="240" w:lineRule="auto"/>
      <w:ind w:left="3360" w:leftChars="1600" w:firstLine="0" w:firstLineChars="0"/>
    </w:pPr>
    <w:rPr>
      <w:rFonts w:ascii="Calibri" w:hAnsi="Calibri" w:eastAsia="宋体" w:cs="Times New Roman"/>
      <w:sz w:val="21"/>
      <w:szCs w:val="22"/>
    </w:rPr>
  </w:style>
  <w:style w:type="paragraph" w:styleId="34">
    <w:name w:val="annotation subject"/>
    <w:basedOn w:val="15"/>
    <w:next w:val="15"/>
    <w:link w:val="57"/>
    <w:unhideWhenUsed/>
    <w:qFormat/>
    <w:uiPriority w:val="99"/>
    <w:rPr>
      <w:b/>
      <w:bCs/>
    </w:rPr>
  </w:style>
  <w:style w:type="paragraph" w:styleId="35">
    <w:name w:val="Body Text First Indent"/>
    <w:basedOn w:val="16"/>
    <w:next w:val="1"/>
    <w:link w:val="58"/>
    <w:unhideWhenUsed/>
    <w:qFormat/>
    <w:uiPriority w:val="99"/>
    <w:pPr>
      <w:autoSpaceDE/>
      <w:autoSpaceDN/>
      <w:spacing w:after="120"/>
      <w:ind w:left="0" w:firstLine="420" w:firstLineChars="100"/>
    </w:pPr>
    <w:rPr>
      <w:rFonts w:ascii="Times New Roman" w:hAnsi="Times New Roman" w:cs="Times New Roman"/>
      <w:kern w:val="2"/>
      <w:lang w:eastAsia="zh-CN"/>
    </w:rPr>
  </w:style>
  <w:style w:type="paragraph" w:styleId="36">
    <w:name w:val="Body Text First Indent 2"/>
    <w:basedOn w:val="17"/>
    <w:next w:val="1"/>
    <w:qFormat/>
    <w:uiPriority w:val="0"/>
    <w:pPr>
      <w:snapToGrid w:val="0"/>
      <w:spacing w:before="120" w:line="360" w:lineRule="atLeast"/>
      <w:ind w:firstLine="420" w:firstLineChars="200"/>
    </w:pPr>
    <w:rPr>
      <w:kern w:val="2"/>
      <w:sz w:val="28"/>
      <w:szCs w:val="24"/>
    </w:rPr>
  </w:style>
  <w:style w:type="table" w:styleId="38">
    <w:name w:val="Table Grid"/>
    <w:basedOn w:val="3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0"/>
    <w:rPr>
      <w:b/>
      <w:bCs/>
    </w:rPr>
  </w:style>
  <w:style w:type="character" w:styleId="41">
    <w:name w:val="Hyperlink"/>
    <w:unhideWhenUsed/>
    <w:qFormat/>
    <w:uiPriority w:val="99"/>
    <w:rPr>
      <w:color w:val="0000FF"/>
      <w:u w:val="single"/>
    </w:rPr>
  </w:style>
  <w:style w:type="character" w:styleId="42">
    <w:name w:val="annotation reference"/>
    <w:unhideWhenUsed/>
    <w:qFormat/>
    <w:uiPriority w:val="99"/>
    <w:rPr>
      <w:sz w:val="21"/>
      <w:szCs w:val="21"/>
    </w:rPr>
  </w:style>
  <w:style w:type="paragraph" w:customStyle="1" w:styleId="4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character" w:customStyle="1" w:styleId="44">
    <w:name w:val="标题 1 字符"/>
    <w:link w:val="7"/>
    <w:qFormat/>
    <w:uiPriority w:val="0"/>
    <w:rPr>
      <w:rFonts w:ascii="Times New Roman" w:hAnsi="Times New Roman"/>
      <w:b/>
      <w:kern w:val="2"/>
      <w:sz w:val="32"/>
      <w:szCs w:val="24"/>
    </w:rPr>
  </w:style>
  <w:style w:type="character" w:customStyle="1" w:styleId="45">
    <w:name w:val="标题 2 字符"/>
    <w:link w:val="8"/>
    <w:qFormat/>
    <w:uiPriority w:val="0"/>
    <w:rPr>
      <w:rFonts w:ascii="Times New Roman" w:hAnsi="Times New Roman"/>
      <w:b/>
      <w:kern w:val="2"/>
      <w:sz w:val="28"/>
      <w:szCs w:val="32"/>
    </w:rPr>
  </w:style>
  <w:style w:type="character" w:customStyle="1" w:styleId="46">
    <w:name w:val="标题 3 字符"/>
    <w:link w:val="9"/>
    <w:qFormat/>
    <w:uiPriority w:val="0"/>
    <w:rPr>
      <w:rFonts w:ascii="Times New Roman" w:hAnsi="Times New Roman" w:eastAsia="黑体" w:cs="Times New Roman"/>
      <w:bCs/>
      <w:kern w:val="2"/>
      <w:sz w:val="28"/>
      <w:szCs w:val="32"/>
    </w:rPr>
  </w:style>
  <w:style w:type="character" w:customStyle="1" w:styleId="47">
    <w:name w:val="标题 4 字符"/>
    <w:link w:val="10"/>
    <w:semiHidden/>
    <w:qFormat/>
    <w:uiPriority w:val="9"/>
    <w:rPr>
      <w:rFonts w:ascii="等线 Light" w:hAnsi="等线 Light" w:eastAsia="等线 Light" w:cs="Times New Roman"/>
      <w:b/>
      <w:bCs/>
      <w:kern w:val="2"/>
      <w:sz w:val="28"/>
      <w:szCs w:val="28"/>
    </w:rPr>
  </w:style>
  <w:style w:type="character" w:customStyle="1" w:styleId="48">
    <w:name w:val="文档结构图 字符"/>
    <w:link w:val="14"/>
    <w:semiHidden/>
    <w:qFormat/>
    <w:uiPriority w:val="99"/>
    <w:rPr>
      <w:rFonts w:ascii="宋体" w:hAnsi="Times New Roman"/>
      <w:kern w:val="2"/>
      <w:sz w:val="18"/>
      <w:szCs w:val="18"/>
    </w:rPr>
  </w:style>
  <w:style w:type="character" w:customStyle="1" w:styleId="49">
    <w:name w:val="批注文字 字符"/>
    <w:link w:val="15"/>
    <w:qFormat/>
    <w:uiPriority w:val="99"/>
    <w:rPr>
      <w:rFonts w:ascii="Times New Roman" w:hAnsi="Times New Roman"/>
      <w:kern w:val="2"/>
      <w:sz w:val="24"/>
      <w:szCs w:val="24"/>
    </w:rPr>
  </w:style>
  <w:style w:type="character" w:customStyle="1" w:styleId="50">
    <w:name w:val="正文文本 字符"/>
    <w:link w:val="16"/>
    <w:qFormat/>
    <w:uiPriority w:val="1"/>
    <w:rPr>
      <w:rFonts w:ascii="宋体" w:hAnsi="宋体" w:cs="宋体"/>
      <w:sz w:val="24"/>
      <w:szCs w:val="24"/>
      <w:lang w:eastAsia="en-US"/>
    </w:rPr>
  </w:style>
  <w:style w:type="character" w:customStyle="1" w:styleId="51">
    <w:name w:val="日期 字符"/>
    <w:link w:val="23"/>
    <w:semiHidden/>
    <w:qFormat/>
    <w:uiPriority w:val="99"/>
    <w:rPr>
      <w:rFonts w:ascii="Times New Roman" w:hAnsi="Times New Roman"/>
      <w:kern w:val="2"/>
      <w:sz w:val="24"/>
      <w:szCs w:val="24"/>
    </w:rPr>
  </w:style>
  <w:style w:type="character" w:customStyle="1" w:styleId="52">
    <w:name w:val="批注框文本 字符"/>
    <w:link w:val="24"/>
    <w:semiHidden/>
    <w:qFormat/>
    <w:uiPriority w:val="99"/>
    <w:rPr>
      <w:rFonts w:ascii="Times New Roman" w:hAnsi="Times New Roman"/>
      <w:kern w:val="2"/>
      <w:sz w:val="18"/>
      <w:szCs w:val="18"/>
    </w:rPr>
  </w:style>
  <w:style w:type="character" w:customStyle="1" w:styleId="53">
    <w:name w:val="页脚 字符"/>
    <w:link w:val="25"/>
    <w:qFormat/>
    <w:uiPriority w:val="99"/>
    <w:rPr>
      <w:rFonts w:ascii="Times New Roman" w:hAnsi="Times New Roman"/>
      <w:kern w:val="2"/>
      <w:sz w:val="18"/>
      <w:szCs w:val="18"/>
    </w:rPr>
  </w:style>
  <w:style w:type="character" w:customStyle="1" w:styleId="54">
    <w:name w:val="页眉 字符"/>
    <w:link w:val="26"/>
    <w:qFormat/>
    <w:uiPriority w:val="99"/>
    <w:rPr>
      <w:rFonts w:ascii="Times New Roman" w:hAnsi="Times New Roman"/>
      <w:kern w:val="2"/>
      <w:sz w:val="18"/>
      <w:szCs w:val="18"/>
    </w:rPr>
  </w:style>
  <w:style w:type="character" w:customStyle="1" w:styleId="55">
    <w:name w:val="副标题 字符1"/>
    <w:link w:val="29"/>
    <w:qFormat/>
    <w:uiPriority w:val="11"/>
    <w:rPr>
      <w:rFonts w:ascii="Arial" w:hAnsi="Arial" w:eastAsia="黑体"/>
      <w:i/>
      <w:sz w:val="24"/>
    </w:rPr>
  </w:style>
  <w:style w:type="character" w:customStyle="1" w:styleId="56">
    <w:name w:val="正文文本缩进 3 字符"/>
    <w:link w:val="32"/>
    <w:qFormat/>
    <w:uiPriority w:val="99"/>
    <w:rPr>
      <w:rFonts w:ascii="Times New Roman" w:hAnsi="Times New Roman"/>
      <w:kern w:val="2"/>
      <w:sz w:val="16"/>
      <w:szCs w:val="16"/>
    </w:rPr>
  </w:style>
  <w:style w:type="character" w:customStyle="1" w:styleId="57">
    <w:name w:val="批注主题 字符"/>
    <w:link w:val="34"/>
    <w:semiHidden/>
    <w:qFormat/>
    <w:uiPriority w:val="99"/>
    <w:rPr>
      <w:rFonts w:ascii="Times New Roman" w:hAnsi="Times New Roman"/>
      <w:b/>
      <w:bCs/>
      <w:kern w:val="2"/>
      <w:sz w:val="24"/>
      <w:szCs w:val="24"/>
    </w:rPr>
  </w:style>
  <w:style w:type="character" w:customStyle="1" w:styleId="58">
    <w:name w:val="正文文本首行缩进 字符"/>
    <w:link w:val="35"/>
    <w:semiHidden/>
    <w:qFormat/>
    <w:uiPriority w:val="99"/>
    <w:rPr>
      <w:rFonts w:ascii="Times New Roman" w:hAnsi="Times New Roman" w:cs="宋体"/>
      <w:kern w:val="2"/>
      <w:sz w:val="24"/>
      <w:szCs w:val="24"/>
      <w:lang w:eastAsia="en-US"/>
    </w:rPr>
  </w:style>
  <w:style w:type="character" w:customStyle="1" w:styleId="59">
    <w:name w:val="表头文字 Char"/>
    <w:link w:val="60"/>
    <w:qFormat/>
    <w:uiPriority w:val="0"/>
    <w:rPr>
      <w:rFonts w:ascii="Times New Roman" w:hAnsi="Times New Roman" w:eastAsia="黑体"/>
      <w:kern w:val="2"/>
      <w:sz w:val="24"/>
      <w:szCs w:val="24"/>
    </w:rPr>
  </w:style>
  <w:style w:type="paragraph" w:customStyle="1" w:styleId="60">
    <w:name w:val="表头文字"/>
    <w:basedOn w:val="16"/>
    <w:link w:val="59"/>
    <w:qFormat/>
    <w:uiPriority w:val="0"/>
    <w:pPr>
      <w:autoSpaceDE/>
      <w:autoSpaceDN/>
      <w:spacing w:line="240" w:lineRule="auto"/>
      <w:ind w:left="0"/>
      <w:jc w:val="center"/>
    </w:pPr>
    <w:rPr>
      <w:rFonts w:ascii="Times New Roman" w:hAnsi="Times New Roman" w:eastAsia="黑体" w:cs="Times New Roman"/>
      <w:kern w:val="2"/>
    </w:rPr>
  </w:style>
  <w:style w:type="character" w:customStyle="1" w:styleId="61">
    <w:name w:val="sheet Char"/>
    <w:link w:val="62"/>
    <w:qFormat/>
    <w:locked/>
    <w:uiPriority w:val="0"/>
    <w:rPr>
      <w:rFonts w:ascii="Times New Roman" w:hAnsi="Times New Roman"/>
      <w:szCs w:val="24"/>
    </w:rPr>
  </w:style>
  <w:style w:type="paragraph" w:customStyle="1" w:styleId="62">
    <w:name w:val="sheet"/>
    <w:basedOn w:val="1"/>
    <w:link w:val="61"/>
    <w:qFormat/>
    <w:uiPriority w:val="0"/>
    <w:pPr>
      <w:spacing w:line="240" w:lineRule="auto"/>
      <w:ind w:firstLine="0" w:firstLineChars="0"/>
      <w:jc w:val="center"/>
    </w:pPr>
    <w:rPr>
      <w:kern w:val="0"/>
      <w:sz w:val="20"/>
    </w:rPr>
  </w:style>
  <w:style w:type="character" w:customStyle="1" w:styleId="63">
    <w:name w:val="Table Char"/>
    <w:link w:val="64"/>
    <w:qFormat/>
    <w:uiPriority w:val="1"/>
    <w:rPr>
      <w:rFonts w:ascii="Times New Roman" w:hAnsi="Times New Roman"/>
      <w:kern w:val="2"/>
      <w:sz w:val="21"/>
      <w:szCs w:val="24"/>
    </w:rPr>
  </w:style>
  <w:style w:type="paragraph" w:customStyle="1" w:styleId="64">
    <w:name w:val="Table"/>
    <w:basedOn w:val="62"/>
    <w:link w:val="63"/>
    <w:qFormat/>
    <w:uiPriority w:val="1"/>
    <w:pPr>
      <w:wordWrap/>
      <w:ind w:firstLine="200" w:firstLineChars="200"/>
      <w:jc w:val="left"/>
    </w:pPr>
    <w:rPr>
      <w:kern w:val="2"/>
      <w:sz w:val="21"/>
    </w:rPr>
  </w:style>
  <w:style w:type="character" w:customStyle="1" w:styleId="65">
    <w:name w:val="font21"/>
    <w:basedOn w:val="39"/>
    <w:qFormat/>
    <w:uiPriority w:val="0"/>
    <w:rPr>
      <w:rFonts w:hint="eastAsia" w:ascii="宋体" w:hAnsi="宋体" w:eastAsia="宋体" w:cs="宋体"/>
      <w:color w:val="000000"/>
      <w:sz w:val="20"/>
      <w:szCs w:val="20"/>
      <w:u w:val="none"/>
    </w:rPr>
  </w:style>
  <w:style w:type="character" w:customStyle="1" w:styleId="66">
    <w:name w:val="表格 Char"/>
    <w:link w:val="67"/>
    <w:qFormat/>
    <w:uiPriority w:val="0"/>
    <w:rPr>
      <w:rFonts w:ascii="Times New Roman" w:hAnsi="Times New Roman"/>
      <w:kern w:val="2"/>
      <w:sz w:val="21"/>
    </w:rPr>
  </w:style>
  <w:style w:type="paragraph" w:customStyle="1" w:styleId="67">
    <w:name w:val="表格"/>
    <w:basedOn w:val="68"/>
    <w:next w:val="1"/>
    <w:link w:val="66"/>
    <w:qFormat/>
    <w:uiPriority w:val="0"/>
    <w:pPr>
      <w:tabs>
        <w:tab w:val="left" w:pos="940"/>
      </w:tabs>
      <w:wordWrap w:val="0"/>
      <w:spacing w:line="240" w:lineRule="auto"/>
      <w:ind w:firstLine="0" w:firstLineChars="0"/>
      <w:jc w:val="center"/>
      <w:textAlignment w:val="center"/>
    </w:pPr>
    <w:rPr>
      <w:sz w:val="21"/>
      <w:szCs w:val="20"/>
    </w:rPr>
  </w:style>
  <w:style w:type="paragraph" w:customStyle="1" w:styleId="68">
    <w:name w:val="表题"/>
    <w:basedOn w:val="1"/>
    <w:qFormat/>
    <w:uiPriority w:val="0"/>
    <w:pPr>
      <w:tabs>
        <w:tab w:val="left" w:pos="940"/>
      </w:tabs>
      <w:snapToGrid w:val="0"/>
      <w:spacing w:line="240" w:lineRule="auto"/>
      <w:jc w:val="center"/>
    </w:pPr>
    <w:rPr>
      <w:rFonts w:eastAsia="黑体"/>
      <w:sz w:val="21"/>
      <w:szCs w:val="20"/>
    </w:rPr>
  </w:style>
  <w:style w:type="character" w:customStyle="1" w:styleId="69">
    <w:name w:val="表格文字 Char Char"/>
    <w:link w:val="70"/>
    <w:qFormat/>
    <w:uiPriority w:val="0"/>
    <w:rPr>
      <w:rFonts w:ascii="宋体" w:hAnsi="Times New Roman"/>
      <w:color w:val="000000"/>
      <w:sz w:val="24"/>
      <w:szCs w:val="22"/>
      <w:lang w:bidi="ar-SA"/>
    </w:rPr>
  </w:style>
  <w:style w:type="paragraph" w:customStyle="1" w:styleId="70">
    <w:name w:val="表格文字"/>
    <w:link w:val="69"/>
    <w:qFormat/>
    <w:uiPriority w:val="0"/>
    <w:pPr>
      <w:widowControl w:val="0"/>
      <w:autoSpaceDE w:val="0"/>
      <w:autoSpaceDN w:val="0"/>
      <w:adjustRightInd w:val="0"/>
      <w:spacing w:line="360" w:lineRule="auto"/>
      <w:textAlignment w:val="baseline"/>
    </w:pPr>
    <w:rPr>
      <w:rFonts w:ascii="宋体" w:hAnsi="Times New Roman" w:eastAsia="宋体" w:cs="Times New Roman"/>
      <w:color w:val="000000"/>
      <w:sz w:val="24"/>
      <w:szCs w:val="22"/>
      <w:lang w:val="en-US" w:eastAsia="zh-CN" w:bidi="ar-SA"/>
    </w:rPr>
  </w:style>
  <w:style w:type="character" w:customStyle="1" w:styleId="71">
    <w:name w:val="副标题 字符"/>
    <w:qFormat/>
    <w:uiPriority w:val="11"/>
    <w:rPr>
      <w:rFonts w:ascii="Times New Roman" w:hAnsi="Times New Roman"/>
      <w:b/>
      <w:bCs/>
      <w:kern w:val="28"/>
      <w:sz w:val="21"/>
      <w:szCs w:val="32"/>
    </w:rPr>
  </w:style>
  <w:style w:type="character" w:customStyle="1" w:styleId="72">
    <w:name w:val="aa正文 Char"/>
    <w:link w:val="73"/>
    <w:qFormat/>
    <w:uiPriority w:val="0"/>
    <w:rPr>
      <w:kern w:val="2"/>
      <w:sz w:val="24"/>
      <w:szCs w:val="24"/>
    </w:rPr>
  </w:style>
  <w:style w:type="paragraph" w:customStyle="1" w:styleId="73">
    <w:name w:val="aa正文"/>
    <w:basedOn w:val="1"/>
    <w:link w:val="72"/>
    <w:qFormat/>
    <w:uiPriority w:val="0"/>
    <w:pPr>
      <w:widowControl w:val="0"/>
      <w:jc w:val="both"/>
    </w:pPr>
    <w:rPr>
      <w:rFonts w:ascii="Calibri" w:hAnsi="Calibri"/>
    </w:rPr>
  </w:style>
  <w:style w:type="character" w:customStyle="1" w:styleId="74">
    <w:name w:val="样式3 字符"/>
    <w:link w:val="75"/>
    <w:qFormat/>
    <w:uiPriority w:val="0"/>
    <w:rPr>
      <w:rFonts w:ascii="Times New Roman" w:hAnsi="Times New Roman"/>
      <w:b/>
      <w:bCs/>
      <w:color w:val="000000"/>
      <w:kern w:val="2"/>
      <w:sz w:val="28"/>
      <w:szCs w:val="32"/>
    </w:rPr>
  </w:style>
  <w:style w:type="paragraph" w:customStyle="1" w:styleId="75">
    <w:name w:val="样式3"/>
    <w:basedOn w:val="8"/>
    <w:link w:val="74"/>
    <w:qFormat/>
    <w:uiPriority w:val="0"/>
    <w:pPr>
      <w:spacing w:before="163"/>
    </w:pPr>
    <w:rPr>
      <w:bCs w:val="0"/>
      <w:color w:val="000000"/>
    </w:rPr>
  </w:style>
  <w:style w:type="character" w:customStyle="1" w:styleId="76">
    <w:name w:val="样式 (符号) 宋体 小四 行距: 1.5 倍行距 Char"/>
    <w:link w:val="77"/>
    <w:qFormat/>
    <w:uiPriority w:val="0"/>
    <w:rPr>
      <w:rFonts w:ascii="Times New Roman" w:hAnsi="宋体" w:cs="宋体"/>
      <w:kern w:val="2"/>
      <w:sz w:val="24"/>
    </w:rPr>
  </w:style>
  <w:style w:type="paragraph" w:customStyle="1" w:styleId="77">
    <w:name w:val="样式 (符号) 宋体 小四 行距: 1.5 倍行距"/>
    <w:basedOn w:val="1"/>
    <w:link w:val="76"/>
    <w:qFormat/>
    <w:uiPriority w:val="0"/>
    <w:pPr>
      <w:suppressAutoHyphens w:val="0"/>
      <w:wordWrap/>
      <w:topLinePunct w:val="0"/>
      <w:ind w:firstLine="480"/>
      <w:jc w:val="both"/>
    </w:pPr>
    <w:rPr>
      <w:rFonts w:hAnsi="宋体"/>
      <w:szCs w:val="20"/>
    </w:rPr>
  </w:style>
  <w:style w:type="character" w:customStyle="1" w:styleId="78">
    <w:name w:val="表格正文 Char"/>
    <w:link w:val="79"/>
    <w:qFormat/>
    <w:uiPriority w:val="0"/>
    <w:rPr>
      <w:rFonts w:ascii="Times New Roman" w:hAnsi="Times New Roman"/>
      <w:color w:val="000000"/>
      <w:sz w:val="21"/>
      <w:szCs w:val="21"/>
    </w:rPr>
  </w:style>
  <w:style w:type="paragraph" w:customStyle="1" w:styleId="79">
    <w:name w:val="表格正文"/>
    <w:basedOn w:val="21"/>
    <w:next w:val="1"/>
    <w:link w:val="78"/>
    <w:qFormat/>
    <w:uiPriority w:val="0"/>
    <w:pPr>
      <w:suppressAutoHyphens w:val="0"/>
      <w:wordWrap/>
      <w:topLinePunct w:val="0"/>
      <w:snapToGrid w:val="0"/>
      <w:spacing w:line="240" w:lineRule="auto"/>
      <w:ind w:firstLine="0" w:firstLineChars="0"/>
      <w:jc w:val="center"/>
    </w:pPr>
    <w:rPr>
      <w:color w:val="000000"/>
      <w:kern w:val="0"/>
      <w:sz w:val="21"/>
      <w:szCs w:val="21"/>
    </w:rPr>
  </w:style>
  <w:style w:type="character" w:customStyle="1" w:styleId="80">
    <w:name w:val="4 字符"/>
    <w:link w:val="81"/>
    <w:qFormat/>
    <w:locked/>
    <w:uiPriority w:val="0"/>
    <w:rPr>
      <w:rFonts w:ascii="Times New Roman" w:hAnsi="Times New Roman"/>
      <w:b/>
      <w:color w:val="0D0D0D"/>
      <w:sz w:val="24"/>
      <w:szCs w:val="24"/>
      <w:lang w:bidi="zh-CN"/>
    </w:rPr>
  </w:style>
  <w:style w:type="paragraph" w:customStyle="1" w:styleId="81">
    <w:name w:val="4"/>
    <w:basedOn w:val="1"/>
    <w:next w:val="1"/>
    <w:link w:val="80"/>
    <w:qFormat/>
    <w:uiPriority w:val="0"/>
    <w:pPr>
      <w:keepNext/>
      <w:keepLines/>
      <w:ind w:firstLine="0" w:firstLineChars="0"/>
      <w:outlineLvl w:val="3"/>
    </w:pPr>
    <w:rPr>
      <w:b/>
      <w:color w:val="0D0D0D"/>
      <w:kern w:val="0"/>
      <w:lang w:bidi="zh-CN"/>
    </w:rPr>
  </w:style>
  <w:style w:type="character" w:customStyle="1" w:styleId="82">
    <w:name w:val="正文文本 Char"/>
    <w:qFormat/>
    <w:uiPriority w:val="1"/>
    <w:rPr>
      <w:rFonts w:ascii="宋体" w:hAnsi="宋体" w:cs="宋体"/>
      <w:sz w:val="24"/>
      <w:szCs w:val="24"/>
      <w:lang w:eastAsia="en-US"/>
    </w:rPr>
  </w:style>
  <w:style w:type="character" w:customStyle="1" w:styleId="83">
    <w:name w:val="表标题2 Char"/>
    <w:link w:val="84"/>
    <w:qFormat/>
    <w:uiPriority w:val="0"/>
    <w:rPr>
      <w:rFonts w:ascii="Times New Roman" w:hAnsi="Times New Roman"/>
      <w:b/>
      <w:color w:val="000000"/>
      <w:sz w:val="24"/>
    </w:rPr>
  </w:style>
  <w:style w:type="paragraph" w:customStyle="1" w:styleId="84">
    <w:name w:val="表标题2"/>
    <w:basedOn w:val="1"/>
    <w:link w:val="83"/>
    <w:qFormat/>
    <w:uiPriority w:val="0"/>
    <w:pPr>
      <w:suppressAutoHyphens w:val="0"/>
      <w:wordWrap/>
      <w:topLinePunct w:val="0"/>
      <w:snapToGrid w:val="0"/>
      <w:ind w:firstLine="0" w:firstLineChars="0"/>
      <w:jc w:val="both"/>
    </w:pPr>
    <w:rPr>
      <w:b/>
      <w:color w:val="000000"/>
      <w:kern w:val="0"/>
      <w:szCs w:val="20"/>
    </w:rPr>
  </w:style>
  <w:style w:type="character" w:customStyle="1" w:styleId="85">
    <w:name w:val="2 Char"/>
    <w:link w:val="86"/>
    <w:qFormat/>
    <w:uiPriority w:val="0"/>
    <w:rPr>
      <w:rFonts w:ascii="Times New Roman" w:hAnsi="Times New Roman"/>
      <w:b/>
      <w:kern w:val="2"/>
      <w:sz w:val="30"/>
      <w:szCs w:val="24"/>
    </w:rPr>
  </w:style>
  <w:style w:type="paragraph" w:customStyle="1" w:styleId="86">
    <w:name w:val="2"/>
    <w:basedOn w:val="1"/>
    <w:next w:val="1"/>
    <w:link w:val="85"/>
    <w:qFormat/>
    <w:uiPriority w:val="0"/>
    <w:pPr>
      <w:wordWrap/>
      <w:spacing w:before="50" w:beforeLines="50" w:after="50" w:afterLines="50"/>
      <w:ind w:firstLine="0" w:firstLineChars="0"/>
      <w:outlineLvl w:val="1"/>
    </w:pPr>
    <w:rPr>
      <w:b/>
      <w:sz w:val="30"/>
    </w:rPr>
  </w:style>
  <w:style w:type="character" w:customStyle="1" w:styleId="87">
    <w:name w:val="表格标题新 Char"/>
    <w:qFormat/>
    <w:uiPriority w:val="0"/>
    <w:rPr>
      <w:rFonts w:ascii="Times New Roman" w:hAnsi="Times New Roman" w:eastAsia="宋体"/>
      <w:b/>
      <w:snapToGrid/>
      <w:spacing w:val="4"/>
      <w:kern w:val="18"/>
      <w:sz w:val="21"/>
      <w:lang w:val="en-US" w:eastAsia="zh-CN"/>
    </w:rPr>
  </w:style>
  <w:style w:type="character" w:customStyle="1" w:styleId="88">
    <w:name w:val="页脚 字符1"/>
    <w:qFormat/>
    <w:uiPriority w:val="99"/>
    <w:rPr>
      <w:rFonts w:ascii="Times New Roman" w:hAnsi="Times New Roman"/>
      <w:kern w:val="2"/>
      <w:sz w:val="18"/>
      <w:szCs w:val="18"/>
    </w:rPr>
  </w:style>
  <w:style w:type="character" w:customStyle="1" w:styleId="89">
    <w:name w:val="_Style 88"/>
    <w:unhideWhenUsed/>
    <w:qFormat/>
    <w:uiPriority w:val="99"/>
    <w:rPr>
      <w:color w:val="605E5C"/>
      <w:shd w:val="clear" w:color="auto" w:fill="E1DFDD"/>
    </w:rPr>
  </w:style>
  <w:style w:type="character" w:styleId="90">
    <w:name w:val="Placeholder Text"/>
    <w:semiHidden/>
    <w:qFormat/>
    <w:uiPriority w:val="99"/>
    <w:rPr>
      <w:color w:val="808080"/>
    </w:rPr>
  </w:style>
  <w:style w:type="paragraph" w:customStyle="1" w:styleId="91">
    <w:name w:val="标题4"/>
    <w:basedOn w:val="12"/>
    <w:qFormat/>
    <w:uiPriority w:val="0"/>
    <w:pPr>
      <w:wordWrap w:val="0"/>
      <w:topLinePunct/>
      <w:adjustRightInd w:val="0"/>
      <w:snapToGrid w:val="0"/>
      <w:spacing w:before="40" w:after="60"/>
      <w:ind w:firstLine="0" w:firstLineChars="0"/>
      <w:jc w:val="both"/>
    </w:pPr>
    <w:rPr>
      <w:b/>
      <w:kern w:val="0"/>
    </w:rPr>
  </w:style>
  <w:style w:type="paragraph" w:customStyle="1" w:styleId="92">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93">
    <w:name w:val="正文首行缩进 New New"/>
    <w:basedOn w:val="1"/>
    <w:qFormat/>
    <w:uiPriority w:val="0"/>
    <w:pPr>
      <w:suppressAutoHyphens w:val="0"/>
      <w:wordWrap/>
      <w:topLinePunct w:val="0"/>
      <w:spacing w:after="120" w:line="240" w:lineRule="auto"/>
      <w:ind w:firstLine="420" w:firstLineChars="100"/>
      <w:jc w:val="both"/>
    </w:pPr>
    <w:rPr>
      <w:sz w:val="21"/>
    </w:rPr>
  </w:style>
  <w:style w:type="paragraph" w:customStyle="1" w:styleId="94">
    <w:name w:val="丽~表头"/>
    <w:basedOn w:val="1"/>
    <w:qFormat/>
    <w:uiPriority w:val="0"/>
    <w:pPr>
      <w:widowControl/>
      <w:spacing w:before="120" w:after="120" w:line="240" w:lineRule="auto"/>
      <w:ind w:firstLine="0" w:firstLineChars="0"/>
      <w:jc w:val="center"/>
    </w:pPr>
    <w:rPr>
      <w:b/>
      <w:bCs/>
      <w:sz w:val="21"/>
      <w:szCs w:val="21"/>
    </w:rPr>
  </w:style>
  <w:style w:type="paragraph" w:customStyle="1" w:styleId="95">
    <w:name w:val="headline 4"/>
    <w:next w:val="1"/>
    <w:qFormat/>
    <w:uiPriority w:val="0"/>
    <w:pPr>
      <w:numPr>
        <w:ilvl w:val="3"/>
        <w:numId w:val="1"/>
      </w:numPr>
      <w:spacing w:before="156" w:beforeLines="50" w:after="156" w:afterLines="50" w:line="360" w:lineRule="auto"/>
      <w:outlineLvl w:val="3"/>
    </w:pPr>
    <w:rPr>
      <w:rFonts w:ascii="Times New Roman" w:hAnsi="Times New Roman" w:eastAsia="宋体" w:cs="Times New Roman"/>
      <w:b/>
      <w:kern w:val="2"/>
      <w:sz w:val="24"/>
      <w:szCs w:val="24"/>
      <w:lang w:val="en-US" w:eastAsia="zh-CN" w:bidi="ar-SA"/>
    </w:rPr>
  </w:style>
  <w:style w:type="paragraph" w:customStyle="1" w:styleId="96">
    <w:name w:val="样式 样式 首行缩进:  2 字符 + 首行缩进:  2 字符"/>
    <w:basedOn w:val="1"/>
    <w:next w:val="27"/>
    <w:qFormat/>
    <w:uiPriority w:val="0"/>
    <w:pPr>
      <w:snapToGrid w:val="0"/>
      <w:spacing w:line="360" w:lineRule="auto"/>
      <w:ind w:firstLine="560" w:firstLineChars="200"/>
    </w:pPr>
    <w:rPr>
      <w:spacing w:val="0"/>
      <w:sz w:val="28"/>
    </w:rPr>
  </w:style>
  <w:style w:type="paragraph" w:customStyle="1" w:styleId="97">
    <w:name w:val="_Style 96"/>
    <w:semiHidden/>
    <w:qFormat/>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98">
    <w:name w:val="table caption"/>
    <w:next w:val="62"/>
    <w:qFormat/>
    <w:uiPriority w:val="0"/>
    <w:pPr>
      <w:spacing w:line="360" w:lineRule="auto"/>
      <w:jc w:val="center"/>
    </w:pPr>
    <w:rPr>
      <w:rFonts w:ascii="Times New Roman" w:hAnsi="Times New Roman" w:eastAsia="宋体" w:cs="Times New Roman"/>
      <w:b/>
      <w:sz w:val="21"/>
      <w:szCs w:val="24"/>
      <w:lang w:val="en-US" w:eastAsia="zh-CN" w:bidi="ar-SA"/>
    </w:rPr>
  </w:style>
  <w:style w:type="paragraph" w:customStyle="1" w:styleId="99">
    <w:name w:val="正文 New New New New New New New New New New New New New New New New New New New"/>
    <w:qFormat/>
    <w:uiPriority w:val="0"/>
    <w:pPr>
      <w:widowControl w:val="0"/>
      <w:spacing w:line="360" w:lineRule="auto"/>
      <w:jc w:val="both"/>
    </w:pPr>
    <w:rPr>
      <w:rFonts w:ascii="Times New Roman" w:hAnsi="Times New Roman" w:eastAsia="宋体" w:cs="Times New Roman"/>
      <w:sz w:val="28"/>
      <w:szCs w:val="28"/>
      <w:lang w:val="en-US" w:eastAsia="zh-CN" w:bidi="ar-SA"/>
    </w:rPr>
  </w:style>
  <w:style w:type="paragraph" w:customStyle="1" w:styleId="100">
    <w:name w:val="headline 3"/>
    <w:basedOn w:val="8"/>
    <w:next w:val="1"/>
    <w:qFormat/>
    <w:uiPriority w:val="0"/>
    <w:pPr>
      <w:numPr>
        <w:ilvl w:val="2"/>
        <w:numId w:val="1"/>
      </w:numPr>
      <w:outlineLvl w:val="2"/>
    </w:pPr>
    <w:rPr>
      <w:rFonts w:eastAsia="宋体"/>
      <w:color w:val="0D0D0D"/>
    </w:rPr>
  </w:style>
  <w:style w:type="paragraph" w:customStyle="1" w:styleId="101">
    <w:name w:val="正文1"/>
    <w:basedOn w:val="1"/>
    <w:qFormat/>
    <w:uiPriority w:val="0"/>
    <w:pPr>
      <w:spacing w:line="360" w:lineRule="auto"/>
      <w:ind w:firstLine="723" w:firstLineChars="200"/>
    </w:pPr>
    <w:rPr>
      <w:rFonts w:ascii="Times New Roman" w:hAnsi="Times New Roman"/>
      <w:kern w:val="0"/>
      <w:sz w:val="24"/>
      <w:szCs w:val="20"/>
    </w:rPr>
  </w:style>
  <w:style w:type="paragraph" w:customStyle="1" w:styleId="102">
    <w:name w:val="表头"/>
    <w:basedOn w:val="35"/>
    <w:next w:val="1"/>
    <w:qFormat/>
    <w:uiPriority w:val="0"/>
    <w:pPr>
      <w:overflowPunct w:val="0"/>
      <w:autoSpaceDE w:val="0"/>
      <w:autoSpaceDN w:val="0"/>
      <w:adjustRightInd w:val="0"/>
      <w:spacing w:before="100" w:beforeLines="0" w:after="100" w:afterLines="0" w:line="240" w:lineRule="auto"/>
      <w:ind w:firstLine="0" w:firstLineChars="0"/>
      <w:jc w:val="center"/>
      <w:textAlignment w:val="baseline"/>
    </w:pPr>
    <w:rPr>
      <w:rFonts w:ascii="Times New Roman" w:hAnsi="Times New Roman" w:eastAsia="宋体"/>
      <w:b/>
      <w:kern w:val="0"/>
      <w:sz w:val="21"/>
    </w:rPr>
  </w:style>
  <w:style w:type="paragraph" w:customStyle="1" w:styleId="103">
    <w:name w:val="表格居中"/>
    <w:basedOn w:val="1"/>
    <w:qFormat/>
    <w:uiPriority w:val="0"/>
    <w:pPr>
      <w:spacing w:line="0" w:lineRule="atLeast"/>
      <w:jc w:val="center"/>
    </w:pPr>
    <w:rPr>
      <w:kern w:val="0"/>
      <w:szCs w:val="21"/>
    </w:rPr>
  </w:style>
  <w:style w:type="paragraph" w:customStyle="1" w:styleId="104">
    <w:name w:val="Table Paragraph"/>
    <w:basedOn w:val="1"/>
    <w:qFormat/>
    <w:uiPriority w:val="1"/>
    <w:pPr>
      <w:suppressAutoHyphens w:val="0"/>
      <w:wordWrap/>
      <w:topLinePunct w:val="0"/>
      <w:autoSpaceDE w:val="0"/>
      <w:autoSpaceDN w:val="0"/>
      <w:spacing w:line="240" w:lineRule="auto"/>
      <w:ind w:firstLine="0" w:firstLineChars="0"/>
      <w:jc w:val="center"/>
    </w:pPr>
    <w:rPr>
      <w:rFonts w:ascii="宋体" w:hAnsi="宋体" w:cs="宋体"/>
      <w:kern w:val="0"/>
      <w:sz w:val="22"/>
      <w:szCs w:val="22"/>
      <w:lang w:eastAsia="en-US"/>
    </w:rPr>
  </w:style>
  <w:style w:type="paragraph" w:customStyle="1" w:styleId="105">
    <w:name w:val="二级条标题"/>
    <w:basedOn w:val="106"/>
    <w:next w:val="92"/>
    <w:qFormat/>
    <w:uiPriority w:val="0"/>
    <w:pPr>
      <w:numPr>
        <w:ilvl w:val="3"/>
        <w:numId w:val="2"/>
      </w:numPr>
      <w:tabs>
        <w:tab w:val="left" w:pos="1260"/>
      </w:tabs>
      <w:outlineLvl w:val="3"/>
    </w:pPr>
  </w:style>
  <w:style w:type="paragraph" w:customStyle="1" w:styleId="106">
    <w:name w:val="一级条标题"/>
    <w:basedOn w:val="107"/>
    <w:next w:val="92"/>
    <w:qFormat/>
    <w:uiPriority w:val="0"/>
    <w:pPr>
      <w:numPr>
        <w:ilvl w:val="2"/>
        <w:numId w:val="2"/>
      </w:numPr>
      <w:spacing w:before="0" w:beforeLines="0" w:after="0" w:afterLines="0"/>
      <w:outlineLvl w:val="2"/>
    </w:pPr>
  </w:style>
  <w:style w:type="paragraph" w:customStyle="1" w:styleId="107">
    <w:name w:val="章标题"/>
    <w:next w:val="92"/>
    <w:qFormat/>
    <w:uiPriority w:val="0"/>
    <w:pPr>
      <w:spacing w:before="156" w:beforeLines="50" w:after="156" w:afterLines="50"/>
      <w:jc w:val="both"/>
      <w:outlineLvl w:val="1"/>
    </w:pPr>
    <w:rPr>
      <w:rFonts w:ascii="黑体" w:hAnsi="Times New Roman" w:eastAsia="黑体" w:cs="Times New Roman"/>
      <w:sz w:val="21"/>
      <w:szCs w:val="22"/>
      <w:lang w:val="en-US" w:eastAsia="zh-CN" w:bidi="ar-SA"/>
    </w:rPr>
  </w:style>
  <w:style w:type="paragraph" w:customStyle="1" w:styleId="108">
    <w:name w:val="书表题"/>
    <w:basedOn w:val="1"/>
    <w:qFormat/>
    <w:uiPriority w:val="0"/>
    <w:pPr>
      <w:jc w:val="center"/>
    </w:pPr>
    <w:rPr>
      <w:b/>
      <w:sz w:val="24"/>
    </w:rPr>
  </w:style>
  <w:style w:type="paragraph" w:customStyle="1" w:styleId="109">
    <w:name w:val="报告书"/>
    <w:basedOn w:val="1"/>
    <w:qFormat/>
    <w:uiPriority w:val="0"/>
    <w:pPr>
      <w:suppressAutoHyphens w:val="0"/>
      <w:wordWrap/>
      <w:topLinePunct w:val="0"/>
      <w:spacing w:line="300" w:lineRule="auto"/>
      <w:ind w:firstLine="480"/>
      <w:jc w:val="both"/>
    </w:pPr>
    <w:rPr>
      <w:szCs w:val="20"/>
    </w:rPr>
  </w:style>
  <w:style w:type="paragraph" w:customStyle="1" w:styleId="110">
    <w:name w:val="reader-word-layer"/>
    <w:basedOn w:val="1"/>
    <w:qFormat/>
    <w:uiPriority w:val="0"/>
    <w:pPr>
      <w:widowControl/>
      <w:suppressAutoHyphens w:val="0"/>
      <w:wordWrap/>
      <w:topLinePunct w:val="0"/>
      <w:spacing w:before="100" w:beforeAutospacing="1" w:after="100" w:afterAutospacing="1" w:line="240" w:lineRule="auto"/>
      <w:ind w:firstLine="0" w:firstLineChars="0"/>
    </w:pPr>
    <w:rPr>
      <w:rFonts w:ascii="宋体" w:hAnsi="宋体" w:cs="宋体"/>
      <w:kern w:val="0"/>
    </w:rPr>
  </w:style>
  <w:style w:type="paragraph" w:customStyle="1" w:styleId="111">
    <w:name w:val="正文 New New New New New New New New New New New New New New New New New New New New New"/>
    <w:qFormat/>
    <w:uiPriority w:val="0"/>
    <w:pPr>
      <w:widowControl w:val="0"/>
      <w:spacing w:line="360" w:lineRule="auto"/>
      <w:jc w:val="both"/>
    </w:pPr>
    <w:rPr>
      <w:rFonts w:ascii="Times New Roman" w:hAnsi="Times New Roman" w:eastAsia="宋体" w:cs="Times New Roman"/>
      <w:szCs w:val="24"/>
      <w:lang w:val="en-US" w:eastAsia="zh-CN" w:bidi="ar-SA"/>
    </w:rPr>
  </w:style>
  <w:style w:type="paragraph" w:customStyle="1" w:styleId="112">
    <w:name w:val=" Char Char Char Char Char Char Char Char Char Char"/>
    <w:basedOn w:val="1"/>
    <w:qFormat/>
    <w:uiPriority w:val="0"/>
    <w:pPr>
      <w:widowControl/>
      <w:suppressAutoHyphens w:val="0"/>
      <w:wordWrap/>
      <w:topLinePunct w:val="0"/>
      <w:spacing w:after="160" w:line="240" w:lineRule="exact"/>
      <w:ind w:firstLine="0" w:firstLineChars="0"/>
    </w:pPr>
    <w:rPr>
      <w:rFonts w:ascii="Verdana" w:hAnsi="Verdana"/>
      <w:kern w:val="0"/>
      <w:sz w:val="20"/>
      <w:szCs w:val="20"/>
      <w:lang w:eastAsia="en-US"/>
    </w:rPr>
  </w:style>
  <w:style w:type="paragraph" w:customStyle="1" w:styleId="113">
    <w:name w:val="表内文字"/>
    <w:basedOn w:val="1"/>
    <w:qFormat/>
    <w:uiPriority w:val="0"/>
    <w:pPr>
      <w:widowControl/>
      <w:jc w:val="center"/>
      <w:textAlignment w:val="center"/>
    </w:pPr>
    <w:rPr>
      <w:rFonts w:hint="default" w:ascii="Times New Roman" w:hAnsi="Times New Roman" w:eastAsia="宋体" w:cs="宋体"/>
      <w:color w:val="000000"/>
      <w:kern w:val="0"/>
      <w:sz w:val="21"/>
      <w:szCs w:val="22"/>
      <w:u w:val="none"/>
      <w:lang w:bidi="ar"/>
    </w:rPr>
  </w:style>
  <w:style w:type="paragraph" w:customStyle="1" w:styleId="114">
    <w:name w:val="市环科院正文"/>
    <w:basedOn w:val="1"/>
    <w:qFormat/>
    <w:uiPriority w:val="0"/>
    <w:pPr>
      <w:suppressAutoHyphens w:val="0"/>
      <w:wordWrap/>
      <w:topLinePunct w:val="0"/>
      <w:spacing w:line="300" w:lineRule="auto"/>
      <w:ind w:firstLine="480"/>
      <w:jc w:val="both"/>
    </w:pPr>
    <w:rPr>
      <w:rFonts w:ascii="Calibri" w:hAnsi="Calibri"/>
      <w:kern w:val="0"/>
    </w:rPr>
  </w:style>
  <w:style w:type="paragraph" w:customStyle="1" w:styleId="115">
    <w:name w:val="A正文"/>
    <w:basedOn w:val="1"/>
    <w:qFormat/>
    <w:uiPriority w:val="0"/>
    <w:pPr>
      <w:widowControl/>
      <w:suppressAutoHyphens w:val="0"/>
      <w:wordWrap/>
      <w:topLinePunct w:val="0"/>
      <w:jc w:val="both"/>
    </w:pPr>
    <w:rPr>
      <w:rFonts w:ascii="Calibri" w:hAnsi="Calibri"/>
      <w:kern w:val="0"/>
      <w:szCs w:val="22"/>
    </w:rPr>
  </w:style>
  <w:style w:type="paragraph" w:customStyle="1" w:styleId="116">
    <w:name w:val="Char1"/>
    <w:basedOn w:val="1"/>
    <w:qFormat/>
    <w:uiPriority w:val="0"/>
    <w:pPr>
      <w:suppressAutoHyphens w:val="0"/>
      <w:wordWrap/>
      <w:topLinePunct w:val="0"/>
      <w:jc w:val="both"/>
    </w:pPr>
    <w:rPr>
      <w:rFonts w:ascii="宋体" w:hAnsi="宋体"/>
      <w:kern w:val="0"/>
      <w:szCs w:val="20"/>
    </w:rPr>
  </w:style>
  <w:style w:type="paragraph" w:customStyle="1" w:styleId="117">
    <w:name w:val="大表内容"/>
    <w:qFormat/>
    <w:uiPriority w:val="0"/>
    <w:pPr>
      <w:snapToGrid w:val="0"/>
      <w:spacing w:line="360" w:lineRule="auto"/>
      <w:jc w:val="center"/>
    </w:pPr>
    <w:rPr>
      <w:rFonts w:ascii="Times New Roman" w:hAnsi="Times New Roman" w:eastAsia="宋体" w:cs="Times New Roman"/>
      <w:sz w:val="21"/>
      <w:lang w:val="en-US" w:eastAsia="zh-CN" w:bidi="ar-SA"/>
    </w:rPr>
  </w:style>
  <w:style w:type="paragraph" w:customStyle="1" w:styleId="118">
    <w:name w:val="样式 正文首行缩进:  2 字符 + 首行缩进:  2 字符"/>
    <w:basedOn w:val="1"/>
    <w:qFormat/>
    <w:uiPriority w:val="0"/>
    <w:pPr>
      <w:widowControl w:val="0"/>
      <w:ind w:firstLine="480"/>
      <w:jc w:val="both"/>
    </w:pPr>
    <w:rPr>
      <w:rFonts w:cs="宋体"/>
      <w:szCs w:val="20"/>
    </w:rPr>
  </w:style>
  <w:style w:type="paragraph" w:customStyle="1" w:styleId="119">
    <w:name w:val="表体"/>
    <w:basedOn w:val="16"/>
    <w:qFormat/>
    <w:uiPriority w:val="0"/>
    <w:pPr>
      <w:autoSpaceDE/>
      <w:autoSpaceDN/>
      <w:spacing w:line="280" w:lineRule="exact"/>
      <w:ind w:left="0"/>
      <w:jc w:val="center"/>
    </w:pPr>
    <w:rPr>
      <w:rFonts w:cs="Times New Roman"/>
      <w:kern w:val="2"/>
      <w:sz w:val="18"/>
      <w:szCs w:val="20"/>
      <w:lang w:eastAsia="zh-CN"/>
    </w:rPr>
  </w:style>
  <w:style w:type="paragraph" w:customStyle="1" w:styleId="120">
    <w:name w:val=" Char1"/>
    <w:basedOn w:val="1"/>
    <w:qFormat/>
    <w:uiPriority w:val="0"/>
    <w:pPr>
      <w:spacing w:line="360" w:lineRule="auto"/>
      <w:ind w:firstLine="200" w:firstLineChars="200"/>
    </w:pPr>
    <w:rPr>
      <w:rFonts w:ascii="宋体" w:hAnsi="宋体"/>
      <w:kern w:val="0"/>
      <w:sz w:val="24"/>
      <w:szCs w:val="20"/>
    </w:rPr>
  </w:style>
  <w:style w:type="paragraph" w:customStyle="1" w:styleId="121">
    <w:name w:val="表格表头"/>
    <w:basedOn w:val="1"/>
    <w:qFormat/>
    <w:uiPriority w:val="0"/>
    <w:pPr>
      <w:snapToGrid w:val="0"/>
      <w:spacing w:line="360" w:lineRule="auto"/>
      <w:jc w:val="center"/>
    </w:pPr>
    <w:rPr>
      <w:b/>
      <w:sz w:val="24"/>
      <w:szCs w:val="21"/>
    </w:rPr>
  </w:style>
  <w:style w:type="paragraph" w:customStyle="1" w:styleId="122">
    <w:name w:val="表文(G)"/>
    <w:basedOn w:val="1"/>
    <w:qFormat/>
    <w:uiPriority w:val="0"/>
    <w:pPr>
      <w:tabs>
        <w:tab w:val="left" w:pos="1021"/>
      </w:tabs>
      <w:jc w:val="center"/>
    </w:pPr>
    <w:rPr>
      <w:rFonts w:hAnsi="宋体"/>
      <w:kern w:val="0"/>
      <w:position w:val="-24"/>
      <w:szCs w:val="21"/>
    </w:rPr>
  </w:style>
  <w:style w:type="paragraph" w:customStyle="1" w:styleId="123">
    <w:name w:val="表格文字   5号"/>
    <w:qFormat/>
    <w:uiPriority w:val="0"/>
    <w:pPr>
      <w:jc w:val="center"/>
    </w:pPr>
    <w:rPr>
      <w:rFonts w:ascii="Times New Roman" w:hAnsi="Times New Roman" w:eastAsia="宋体" w:cs="Times New Roman"/>
      <w:color w:val="000000"/>
      <w:kern w:val="2"/>
      <w:sz w:val="21"/>
      <w:szCs w:val="24"/>
      <w:lang w:val="en-US" w:eastAsia="zh-CN" w:bidi="ar-SA"/>
    </w:rPr>
  </w:style>
  <w:style w:type="paragraph" w:customStyle="1" w:styleId="124">
    <w:name w:val="1正文"/>
    <w:qFormat/>
    <w:uiPriority w:val="0"/>
    <w:pPr>
      <w:spacing w:line="480" w:lineRule="exact"/>
      <w:ind w:firstLine="200" w:firstLineChars="200"/>
      <w:jc w:val="both"/>
    </w:pPr>
    <w:rPr>
      <w:rFonts w:ascii="Calibri" w:hAnsi="Calibri" w:eastAsia="宋体" w:cs="Times New Roman"/>
      <w:kern w:val="2"/>
      <w:sz w:val="24"/>
      <w:szCs w:val="28"/>
      <w:lang w:val="en-US" w:eastAsia="zh-CN" w:bidi="ar-SA"/>
    </w:rPr>
  </w:style>
  <w:style w:type="paragraph" w:customStyle="1" w:styleId="125">
    <w:name w:val="书表格文字"/>
    <w:basedOn w:val="1"/>
    <w:qFormat/>
    <w:uiPriority w:val="0"/>
    <w:pPr>
      <w:widowControl/>
      <w:jc w:val="center"/>
    </w:pPr>
    <w:rPr>
      <w:kern w:val="0"/>
    </w:rPr>
  </w:style>
  <w:style w:type="paragraph" w:customStyle="1" w:styleId="126">
    <w:name w:val="样式 表格 32 + 首行缩进:  2 字符"/>
    <w:basedOn w:val="1"/>
    <w:qFormat/>
    <w:uiPriority w:val="0"/>
    <w:pPr>
      <w:suppressAutoHyphens w:val="0"/>
      <w:wordWrap/>
      <w:topLinePunct w:val="0"/>
      <w:autoSpaceDE w:val="0"/>
      <w:autoSpaceDN w:val="0"/>
      <w:spacing w:line="0" w:lineRule="atLeast"/>
      <w:ind w:firstLine="0" w:firstLineChars="0"/>
      <w:jc w:val="center"/>
    </w:pPr>
    <w:rPr>
      <w:rFonts w:cs="宋体"/>
      <w:sz w:val="21"/>
      <w:szCs w:val="21"/>
    </w:rPr>
  </w:style>
  <w:style w:type="paragraph" w:customStyle="1" w:styleId="127">
    <w:name w:val="四级条标题"/>
    <w:basedOn w:val="128"/>
    <w:next w:val="92"/>
    <w:qFormat/>
    <w:uiPriority w:val="0"/>
    <w:pPr>
      <w:widowControl/>
      <w:numPr>
        <w:ilvl w:val="3"/>
        <w:numId w:val="0"/>
      </w:numPr>
      <w:tabs>
        <w:tab w:val="left" w:pos="1260"/>
        <w:tab w:val="left" w:pos="1680"/>
      </w:tabs>
      <w:outlineLvl w:val="5"/>
    </w:pPr>
    <w:rPr>
      <w:rFonts w:ascii="黑体" w:eastAsia="黑体"/>
      <w:kern w:val="0"/>
      <w:szCs w:val="20"/>
    </w:rPr>
  </w:style>
  <w:style w:type="paragraph" w:customStyle="1" w:styleId="128">
    <w:name w:val="三级条标题"/>
    <w:basedOn w:val="105"/>
    <w:next w:val="92"/>
    <w:qFormat/>
    <w:uiPriority w:val="0"/>
    <w:pPr>
      <w:numPr>
        <w:ilvl w:val="3"/>
        <w:numId w:val="0"/>
      </w:numPr>
      <w:outlineLvl w:val="4"/>
    </w:pPr>
  </w:style>
  <w:style w:type="paragraph" w:customStyle="1" w:styleId="129">
    <w:name w:val="图表标题"/>
    <w:next w:val="12"/>
    <w:qFormat/>
    <w:uiPriority w:val="0"/>
    <w:pPr>
      <w:spacing w:before="120" w:after="120"/>
      <w:jc w:val="center"/>
    </w:pPr>
    <w:rPr>
      <w:rFonts w:ascii="Calibri" w:hAnsi="Calibri" w:eastAsia="宋体" w:cs="Times New Roman"/>
      <w:b/>
      <w:kern w:val="2"/>
      <w:sz w:val="21"/>
      <w:szCs w:val="24"/>
      <w:lang w:val="en-US" w:eastAsia="zh-CN" w:bidi="ar-SA"/>
    </w:rPr>
  </w:style>
  <w:style w:type="paragraph" w:customStyle="1" w:styleId="130">
    <w:name w:val="表字居中"/>
    <w:basedOn w:val="1"/>
    <w:qFormat/>
    <w:uiPriority w:val="0"/>
    <w:pPr>
      <w:tabs>
        <w:tab w:val="left" w:pos="3626"/>
      </w:tabs>
      <w:spacing w:line="240" w:lineRule="exact"/>
      <w:jc w:val="center"/>
    </w:pPr>
    <w:rPr>
      <w:szCs w:val="21"/>
    </w:rPr>
  </w:style>
  <w:style w:type="paragraph" w:styleId="131">
    <w:name w:val="List Paragraph"/>
    <w:basedOn w:val="1"/>
    <w:qFormat/>
    <w:uiPriority w:val="1"/>
    <w:pPr>
      <w:suppressAutoHyphens w:val="0"/>
      <w:wordWrap/>
      <w:topLinePunct w:val="0"/>
      <w:autoSpaceDE w:val="0"/>
      <w:autoSpaceDN w:val="0"/>
      <w:spacing w:line="240" w:lineRule="auto"/>
      <w:ind w:left="906" w:hanging="840" w:firstLineChars="0"/>
      <w:jc w:val="left"/>
    </w:pPr>
    <w:rPr>
      <w:rFonts w:ascii="宋体" w:hAnsi="宋体" w:cs="宋体"/>
      <w:kern w:val="0"/>
      <w:sz w:val="22"/>
      <w:szCs w:val="22"/>
      <w:lang w:eastAsia="en-US"/>
    </w:rPr>
  </w:style>
  <w:style w:type="paragraph" w:customStyle="1" w:styleId="132">
    <w:name w:val="表格正文1"/>
    <w:basedOn w:val="1"/>
    <w:next w:val="1"/>
    <w:qFormat/>
    <w:uiPriority w:val="0"/>
    <w:pPr>
      <w:keepNext/>
      <w:keepLines/>
      <w:widowControl/>
      <w:tabs>
        <w:tab w:val="left" w:pos="2976"/>
        <w:tab w:val="left" w:pos="8820"/>
        <w:tab w:val="left" w:pos="9000"/>
      </w:tabs>
      <w:suppressAutoHyphens w:val="0"/>
      <w:wordWrap/>
      <w:topLinePunct w:val="0"/>
      <w:adjustRightInd w:val="0"/>
      <w:snapToGrid w:val="0"/>
      <w:spacing w:line="240" w:lineRule="auto"/>
      <w:ind w:firstLine="0" w:firstLineChars="0"/>
      <w:jc w:val="center"/>
      <w:outlineLvl w:val="4"/>
    </w:pPr>
    <w:rPr>
      <w:color w:val="000000"/>
      <w:kern w:val="0"/>
      <w:sz w:val="21"/>
      <w:szCs w:val="20"/>
    </w:rPr>
  </w:style>
  <w:style w:type="table" w:customStyle="1" w:styleId="133">
    <w:name w:val="网格型21"/>
    <w:basedOn w:val="3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4">
    <w:name w:val="yp格式"/>
    <w:basedOn w:val="37"/>
    <w:qFormat/>
    <w:uiPriority w:val="0"/>
    <w:pPr>
      <w:adjustRightInd w:val="0"/>
      <w:snapToGrid w:val="0"/>
      <w:jc w:val="center"/>
    </w:pPr>
    <w:tblPr>
      <w:tblBorders>
        <w:top w:val="single" w:color="000000" w:sz="12" w:space="0"/>
        <w:bottom w:val="single" w:color="000000" w:sz="12" w:space="0"/>
        <w:insideH w:val="single" w:color="000000" w:sz="6" w:space="0"/>
        <w:insideV w:val="single" w:color="000000" w:sz="6" w:space="0"/>
      </w:tblBorders>
      <w:tblCellMar>
        <w:top w:w="0" w:type="dxa"/>
        <w:left w:w="108" w:type="dxa"/>
        <w:bottom w:w="0" w:type="dxa"/>
        <w:right w:w="108" w:type="dxa"/>
      </w:tblCellMar>
    </w:tblPr>
    <w:tcPr>
      <w:tcMar>
        <w:left w:w="28" w:type="dxa"/>
        <w:right w:w="28" w:type="dxa"/>
      </w:tcMar>
      <w:vAlign w:val="center"/>
    </w:tcPr>
    <w:tblStylePr w:type="firstRow">
      <w:tcPr>
        <w:tcBorders>
          <w:top w:val="single" w:color="000000" w:sz="12" w:space="0"/>
          <w:left w:val="nil"/>
          <w:bottom w:val="single" w:color="000000" w:sz="2" w:space="0"/>
          <w:right w:val="nil"/>
          <w:insideH w:val="nil"/>
          <w:insideV w:val="single" w:sz="2" w:space="0"/>
          <w:tl2br w:val="nil"/>
          <w:tr2bl w:val="nil"/>
        </w:tcBorders>
      </w:tcPr>
    </w:tblStylePr>
  </w:style>
  <w:style w:type="table" w:customStyle="1" w:styleId="135">
    <w:name w:val="网格型11"/>
    <w:basedOn w:val="3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
    <w:name w:val="Table Normal"/>
    <w:unhideWhenUsed/>
    <w:qFormat/>
    <w:uiPriority w:val="2"/>
    <w:pPr>
      <w:widowControl w:val="0"/>
      <w:autoSpaceDE w:val="0"/>
      <w:autoSpaceDN w:val="0"/>
      <w:spacing w:line="360" w:lineRule="auto"/>
    </w:pPr>
    <w:rPr>
      <w:sz w:val="22"/>
      <w:szCs w:val="22"/>
      <w:lang w:val="en-US" w:eastAsia="en-US" w:bidi="ar-SA"/>
    </w:rPr>
    <w:tblPr>
      <w:tblCellMar>
        <w:top w:w="0" w:type="dxa"/>
        <w:left w:w="0" w:type="dxa"/>
        <w:bottom w:w="0" w:type="dxa"/>
        <w:right w:w="0" w:type="dxa"/>
      </w:tblCellMar>
    </w:tblPr>
  </w:style>
  <w:style w:type="table" w:customStyle="1" w:styleId="137">
    <w:name w:val="网格型1"/>
    <w:basedOn w:val="3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8">
    <w:name w:val="网格型3"/>
    <w:basedOn w:val="3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9">
    <w:name w:val="Table Normal1"/>
    <w:unhideWhenUsed/>
    <w:qFormat/>
    <w:uiPriority w:val="2"/>
    <w:pPr>
      <w:widowControl w:val="0"/>
      <w:autoSpaceDE w:val="0"/>
      <w:autoSpaceDN w:val="0"/>
      <w:spacing w:line="360" w:lineRule="auto"/>
    </w:pPr>
    <w:rPr>
      <w:sz w:val="22"/>
      <w:szCs w:val="22"/>
      <w:lang w:val="en-US" w:eastAsia="en-US" w:bidi="ar-SA"/>
    </w:rPr>
    <w:tblPr>
      <w:tblCellMar>
        <w:top w:w="0" w:type="dxa"/>
        <w:left w:w="0" w:type="dxa"/>
        <w:bottom w:w="0" w:type="dxa"/>
        <w:right w:w="0" w:type="dxa"/>
      </w:tblCellMar>
    </w:tblPr>
  </w:style>
  <w:style w:type="table" w:customStyle="1" w:styleId="140">
    <w:name w:val="网格型2"/>
    <w:basedOn w:val="37"/>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1">
    <w:name w:val="表格名称"/>
    <w:basedOn w:val="1"/>
    <w:qFormat/>
    <w:uiPriority w:val="0"/>
    <w:pPr>
      <w:spacing w:before="40" w:beforeLines="40" w:after="40" w:afterLines="40" w:line="240" w:lineRule="auto"/>
      <w:ind w:firstLine="0" w:firstLineChars="0"/>
      <w:jc w:val="center"/>
    </w:pPr>
    <w:rPr>
      <w:b/>
      <w:snapToGrid w:val="0"/>
      <w:kern w:val="18"/>
      <w:sz w:val="21"/>
    </w:rPr>
  </w:style>
  <w:style w:type="paragraph" w:customStyle="1" w:styleId="142">
    <w:name w:val="表格格式"/>
    <w:next w:val="1"/>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paragraph" w:customStyle="1" w:styleId="143">
    <w:name w:val="表格正文1111"/>
    <w:basedOn w:val="1"/>
    <w:qFormat/>
    <w:uiPriority w:val="0"/>
    <w:pPr>
      <w:snapToGrid w:val="0"/>
      <w:spacing w:before="100" w:after="100" w:line="240" w:lineRule="auto"/>
      <w:ind w:firstLine="0" w:firstLineChars="0"/>
      <w:jc w:val="center"/>
    </w:pPr>
    <w:rPr>
      <w:rFonts w:ascii="Times New Roman" w:hAnsi="Times New Roman"/>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0" Type="http://schemas.openxmlformats.org/officeDocument/2006/relationships/fontTable" Target="fontTable.xml"/><Relationship Id="rId7" Type="http://schemas.openxmlformats.org/officeDocument/2006/relationships/header" Target="header3.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30.png"/><Relationship Id="rId66" Type="http://schemas.openxmlformats.org/officeDocument/2006/relationships/image" Target="media/image29.png"/><Relationship Id="rId65" Type="http://schemas.openxmlformats.org/officeDocument/2006/relationships/image" Target="media/image28.wmf"/><Relationship Id="rId64" Type="http://schemas.openxmlformats.org/officeDocument/2006/relationships/oleObject" Target="embeddings/oleObject14.bin"/><Relationship Id="rId63" Type="http://schemas.openxmlformats.org/officeDocument/2006/relationships/image" Target="media/image27.wmf"/><Relationship Id="rId62" Type="http://schemas.openxmlformats.org/officeDocument/2006/relationships/oleObject" Target="embeddings/oleObject13.bin"/><Relationship Id="rId61" Type="http://schemas.openxmlformats.org/officeDocument/2006/relationships/image" Target="media/image26.wmf"/><Relationship Id="rId60" Type="http://schemas.openxmlformats.org/officeDocument/2006/relationships/oleObject" Target="embeddings/oleObject12.bin"/><Relationship Id="rId6" Type="http://schemas.openxmlformats.org/officeDocument/2006/relationships/header" Target="header2.xml"/><Relationship Id="rId59" Type="http://schemas.openxmlformats.org/officeDocument/2006/relationships/image" Target="media/image25.wmf"/><Relationship Id="rId58" Type="http://schemas.openxmlformats.org/officeDocument/2006/relationships/oleObject" Target="embeddings/oleObject11.bin"/><Relationship Id="rId57" Type="http://schemas.openxmlformats.org/officeDocument/2006/relationships/image" Target="media/image24.wmf"/><Relationship Id="rId56" Type="http://schemas.openxmlformats.org/officeDocument/2006/relationships/oleObject" Target="embeddings/oleObject10.bin"/><Relationship Id="rId55" Type="http://schemas.openxmlformats.org/officeDocument/2006/relationships/image" Target="media/image23.wmf"/><Relationship Id="rId54" Type="http://schemas.openxmlformats.org/officeDocument/2006/relationships/oleObject" Target="embeddings/oleObject9.bin"/><Relationship Id="rId53" Type="http://schemas.openxmlformats.org/officeDocument/2006/relationships/image" Target="media/image22.wmf"/><Relationship Id="rId52" Type="http://schemas.openxmlformats.org/officeDocument/2006/relationships/oleObject" Target="embeddings/oleObject8.bin"/><Relationship Id="rId51" Type="http://schemas.openxmlformats.org/officeDocument/2006/relationships/image" Target="media/image21.wmf"/><Relationship Id="rId50" Type="http://schemas.openxmlformats.org/officeDocument/2006/relationships/oleObject" Target="embeddings/oleObject7.bin"/><Relationship Id="rId5" Type="http://schemas.openxmlformats.org/officeDocument/2006/relationships/header" Target="header1.xml"/><Relationship Id="rId49" Type="http://schemas.openxmlformats.org/officeDocument/2006/relationships/image" Target="media/image20.wmf"/><Relationship Id="rId48" Type="http://schemas.openxmlformats.org/officeDocument/2006/relationships/oleObject" Target="embeddings/oleObject6.bin"/><Relationship Id="rId47" Type="http://schemas.openxmlformats.org/officeDocument/2006/relationships/image" Target="media/image19.wmf"/><Relationship Id="rId46" Type="http://schemas.openxmlformats.org/officeDocument/2006/relationships/oleObject" Target="embeddings/oleObject5.bin"/><Relationship Id="rId45" Type="http://schemas.openxmlformats.org/officeDocument/2006/relationships/image" Target="media/image18.wmf"/><Relationship Id="rId44" Type="http://schemas.openxmlformats.org/officeDocument/2006/relationships/oleObject" Target="embeddings/oleObject4.bin"/><Relationship Id="rId43" Type="http://schemas.openxmlformats.org/officeDocument/2006/relationships/image" Target="media/image17.wmf"/><Relationship Id="rId42" Type="http://schemas.openxmlformats.org/officeDocument/2006/relationships/oleObject" Target="embeddings/oleObject3.bin"/><Relationship Id="rId41" Type="http://schemas.openxmlformats.org/officeDocument/2006/relationships/image" Target="media/image16.wmf"/><Relationship Id="rId40" Type="http://schemas.openxmlformats.org/officeDocument/2006/relationships/oleObject" Target="embeddings/oleObject2.bin"/><Relationship Id="rId4" Type="http://schemas.openxmlformats.org/officeDocument/2006/relationships/endnotes" Target="endnotes.xml"/><Relationship Id="rId39" Type="http://schemas.openxmlformats.org/officeDocument/2006/relationships/image" Target="media/image15.wmf"/><Relationship Id="rId38" Type="http://schemas.openxmlformats.org/officeDocument/2006/relationships/oleObject" Target="embeddings/oleObject1.bin"/><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emf"/><Relationship Id="rId30" Type="http://schemas.openxmlformats.org/officeDocument/2006/relationships/image" Target="media/image7.jpeg"/><Relationship Id="rId3" Type="http://schemas.openxmlformats.org/officeDocument/2006/relationships/footnotes" Target="footnotes.xml"/><Relationship Id="rId29" Type="http://schemas.openxmlformats.org/officeDocument/2006/relationships/image" Target="media/image6.jpeg"/><Relationship Id="rId28" Type="http://schemas.openxmlformats.org/officeDocument/2006/relationships/image" Target="media/image5.jpeg"/><Relationship Id="rId27" Type="http://schemas.openxmlformats.org/officeDocument/2006/relationships/image" Target="media/image4.jpeg"/><Relationship Id="rId26" Type="http://schemas.openxmlformats.org/officeDocument/2006/relationships/image" Target="media/image3.jpeg"/><Relationship Id="rId25" Type="http://schemas.openxmlformats.org/officeDocument/2006/relationships/image" Target="media/image2.jpeg"/><Relationship Id="rId24" Type="http://schemas.openxmlformats.org/officeDocument/2006/relationships/image" Target="media/image1.jpeg"/><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213</Pages>
  <Words>124643</Words>
  <Characters>143244</Characters>
  <Lines>1389</Lines>
  <Paragraphs>391</Paragraphs>
  <TotalTime>76</TotalTime>
  <ScaleCrop>false</ScaleCrop>
  <LinksUpToDate>false</LinksUpToDate>
  <CharactersWithSpaces>145059</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2017-07-06T14:43:00Z</dcterms:created>
  <dc:creator>Administrator</dc:creator>
  <cp:lastModifiedBy>陈安顺</cp:lastModifiedBy>
  <cp:lastPrinted>2021-12-17T15:19:00Z</cp:lastPrinted>
  <dcterms:modified xsi:type="dcterms:W3CDTF">2024-09-14T12:13:36Z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52AABCF42A764906A3911281392EB992</vt:lpwstr>
  </property>
</Properties>
</file>