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48"/>
          <w:lang w:val="en-US" w:eastAsia="zh-CN"/>
        </w:rPr>
      </w:pPr>
      <w:bookmarkStart w:id="26" w:name="_GoBack"/>
      <w:bookmarkEnd w:id="26"/>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val="en-US" w:eastAsia="zh-CN"/>
        </w:rPr>
        <w:t>湘西土家族苗族自治州生态环境局    2020</w:t>
      </w:r>
      <w:r>
        <w:rPr>
          <w:rFonts w:hint="eastAsia" w:ascii="方正小标宋简体" w:hAnsi="方正小标宋简体" w:eastAsia="方正小标宋简体" w:cs="方正小标宋简体"/>
          <w:sz w:val="48"/>
          <w:szCs w:val="48"/>
        </w:rPr>
        <w:t>年度部门整体支出</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绩效自评报告</w:t>
      </w:r>
    </w:p>
    <w:p>
      <w:pPr>
        <w:jc w:val="center"/>
        <w:rPr>
          <w:rFonts w:hint="eastAsia" w:eastAsia="黑体"/>
          <w:sz w:val="32"/>
          <w:szCs w:val="32"/>
          <w:lang w:val="en-US" w:eastAsia="zh-CN"/>
        </w:rPr>
      </w:pPr>
      <w:r>
        <w:rPr>
          <w:rFonts w:hint="eastAsia" w:eastAsia="黑体"/>
          <w:sz w:val="32"/>
          <w:szCs w:val="32"/>
          <w:lang w:val="en-US" w:eastAsia="zh-CN"/>
        </w:rPr>
        <w:t xml:space="preserve"> </w:t>
      </w:r>
    </w:p>
    <w:p>
      <w:pPr>
        <w:jc w:val="center"/>
        <w:rPr>
          <w:rFonts w:hint="eastAsia" w:eastAsia="黑体"/>
          <w:sz w:val="32"/>
          <w:szCs w:val="32"/>
          <w:lang w:val="en-US" w:eastAsia="zh-CN"/>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700" w:lineRule="exact"/>
        <w:ind w:firstLine="614" w:firstLineChars="192"/>
        <w:rPr>
          <w:rFonts w:hint="eastAsia" w:ascii="楷体_GB2312" w:hAnsi="Times New Roman" w:eastAsia="楷体_GB2312" w:cs="Times New Roman"/>
          <w:sz w:val="32"/>
          <w:szCs w:val="32"/>
        </w:rPr>
      </w:pPr>
    </w:p>
    <w:p>
      <w:pPr>
        <w:spacing w:line="700" w:lineRule="exact"/>
        <w:rPr>
          <w:rFonts w:hint="eastAsia" w:ascii="黑体" w:hAnsi="黑体" w:eastAsia="黑体" w:cs="黑体"/>
          <w:sz w:val="32"/>
          <w:szCs w:val="32"/>
        </w:rPr>
      </w:pPr>
      <w:r>
        <w:rPr>
          <w:rFonts w:hint="eastAsia" w:ascii="黑体" w:hAnsi="黑体" w:eastAsia="黑体" w:cs="黑体"/>
          <w:sz w:val="32"/>
          <w:szCs w:val="32"/>
        </w:rPr>
        <w:t>部门（单位）名称（盖章）：湘西土家族苗族自治州生态环境局</w:t>
      </w:r>
    </w:p>
    <w:p>
      <w:pPr>
        <w:spacing w:line="700" w:lineRule="exact"/>
        <w:rPr>
          <w:rFonts w:hint="eastAsia" w:ascii="黑体" w:hAnsi="黑体" w:eastAsia="黑体" w:cs="黑体"/>
          <w:sz w:val="32"/>
          <w:szCs w:val="32"/>
          <w:lang w:val="en-US" w:eastAsia="zh-CN"/>
        </w:rPr>
      </w:pPr>
      <w:r>
        <w:rPr>
          <w:rFonts w:hint="eastAsia" w:ascii="黑体" w:hAnsi="黑体" w:eastAsia="黑体" w:cs="黑体"/>
          <w:sz w:val="32"/>
          <w:szCs w:val="32"/>
        </w:rPr>
        <w:t>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算</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编</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码：</w:t>
      </w:r>
      <w:r>
        <w:rPr>
          <w:rFonts w:hint="eastAsia" w:ascii="黑体" w:hAnsi="黑体" w:eastAsia="黑体" w:cs="黑体"/>
          <w:sz w:val="32"/>
          <w:szCs w:val="32"/>
          <w:lang w:val="en-US" w:eastAsia="zh-CN"/>
        </w:rPr>
        <w:t>306001</w:t>
      </w:r>
    </w:p>
    <w:p>
      <w:pPr>
        <w:spacing w:line="700" w:lineRule="exact"/>
        <w:ind w:firstLine="614" w:firstLineChars="192"/>
        <w:rPr>
          <w:rFonts w:hint="eastAsia" w:ascii="楷体_GB2312" w:hAnsi="Times New Roman" w:eastAsia="楷体_GB2312" w:cs="Times New Roman"/>
          <w:sz w:val="32"/>
          <w:szCs w:val="32"/>
        </w:rPr>
      </w:pPr>
    </w:p>
    <w:p>
      <w:pPr>
        <w:spacing w:line="700" w:lineRule="exact"/>
        <w:rPr>
          <w:rFonts w:hint="eastAsia" w:ascii="仿宋" w:hAnsi="仿宋" w:eastAsia="仿宋" w:cs="仿宋"/>
          <w:sz w:val="32"/>
          <w:szCs w:val="32"/>
        </w:rPr>
      </w:pPr>
      <w:r>
        <w:rPr>
          <w:rFonts w:hint="eastAsia" w:ascii="仿宋" w:hAnsi="仿宋" w:eastAsia="仿宋" w:cs="仿宋"/>
          <w:sz w:val="32"/>
          <w:szCs w:val="32"/>
        </w:rPr>
        <w:t>评价方式：湘西土家族苗族自治州生态环境局绩效自评</w:t>
      </w:r>
    </w:p>
    <w:p>
      <w:pPr>
        <w:spacing w:line="700" w:lineRule="exact"/>
        <w:rPr>
          <w:rFonts w:hint="eastAsia" w:ascii="仿宋" w:hAnsi="仿宋" w:eastAsia="仿宋" w:cs="仿宋"/>
          <w:sz w:val="32"/>
          <w:szCs w:val="32"/>
        </w:rPr>
      </w:pPr>
      <w:r>
        <w:rPr>
          <w:rFonts w:hint="eastAsia" w:ascii="仿宋" w:hAnsi="仿宋" w:eastAsia="仿宋" w:cs="仿宋"/>
          <w:sz w:val="32"/>
          <w:szCs w:val="32"/>
        </w:rPr>
        <w:t xml:space="preserve">评价机构：湘西土家族苗族自治州生态环境局评价组 </w:t>
      </w:r>
    </w:p>
    <w:p>
      <w:pPr>
        <w:ind w:firstLine="420" w:firstLineChars="150"/>
        <w:jc w:val="left"/>
        <w:rPr>
          <w:rFonts w:hint="eastAsia" w:eastAsia="仿宋_GB2312" w:cs="Arial"/>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ind w:firstLine="2240" w:firstLineChars="8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2021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6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2"/>
        <w:gridCol w:w="123"/>
        <w:gridCol w:w="1103"/>
        <w:gridCol w:w="575"/>
        <w:gridCol w:w="601"/>
        <w:gridCol w:w="351"/>
        <w:gridCol w:w="810"/>
        <w:gridCol w:w="1215"/>
        <w:gridCol w:w="240"/>
        <w:gridCol w:w="444"/>
        <w:gridCol w:w="576"/>
        <w:gridCol w:w="516"/>
        <w:gridCol w:w="653"/>
        <w:gridCol w:w="7"/>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联系人</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陈蓉</w:t>
            </w:r>
          </w:p>
        </w:tc>
        <w:tc>
          <w:tcPr>
            <w:tcW w:w="1899"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联系电话</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0743-8262075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人员编制</w:t>
            </w:r>
          </w:p>
        </w:tc>
        <w:tc>
          <w:tcPr>
            <w:tcW w:w="3563" w:type="dxa"/>
            <w:gridSpan w:val="6"/>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501</w:t>
            </w:r>
          </w:p>
        </w:tc>
        <w:tc>
          <w:tcPr>
            <w:tcW w:w="1899"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实有人数</w:t>
            </w:r>
          </w:p>
        </w:tc>
        <w:tc>
          <w:tcPr>
            <w:tcW w:w="2686" w:type="dxa"/>
            <w:gridSpan w:val="5"/>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职能职责概述</w:t>
            </w:r>
          </w:p>
        </w:tc>
        <w:tc>
          <w:tcPr>
            <w:tcW w:w="8148" w:type="dxa"/>
            <w:gridSpan w:val="14"/>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（一）贯彻执行国家、省生态环境基本制度。</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（二）负责较大生态环境问题的统筹协调和监督管理。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（三）负责监督管理减排目标的落实。</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四）负责提出生态环境领域固定资产投资规模和方向、生态环境部管理的中央专项资金和省生态环境厅管理的省级专项资金、州财政性资金安排的意见，按规定权限审批、核准规划内和年度计划规模内生态环境领域固定资产投资项目，配合有关部门做好组织实施和监督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（五）负责环境污染防治的监督管理。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（六）指导协调和监督生态保护修复工作。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（七）负责核与辐射安全的监督管理。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（八）负责生态环境准入的监督管理。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（九）负责生态环境监测工作。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（十）负责应对气候变化工作。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（十一）统一负责生态环境监督执法。</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（十二）组织指导和协调生态环境宣传教育工作，贯彻实施生态环境保护宣传教育纲要，推动社会组织和公众参与生态环境保护。</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（十三）完成州委、州政府交办的其他任务。</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（十四）职能转变。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80"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工作内容</w:t>
            </w:r>
          </w:p>
        </w:tc>
        <w:tc>
          <w:tcPr>
            <w:tcW w:w="8148" w:type="dxa"/>
            <w:gridSpan w:val="14"/>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任务1</w:t>
            </w:r>
            <w:r>
              <w:rPr>
                <w:rFonts w:hint="eastAsia" w:eastAsia="仿宋_GB2312" w:cs="仿宋_GB2312"/>
                <w:sz w:val="24"/>
                <w:lang w:eastAsia="zh-CN"/>
              </w:rPr>
              <w:t>：</w:t>
            </w:r>
            <w:r>
              <w:rPr>
                <w:rFonts w:hint="eastAsia" w:eastAsia="仿宋_GB2312" w:cs="仿宋_GB2312"/>
                <w:sz w:val="24"/>
              </w:rPr>
              <w:t>城市环境空气质量优良率达到90%以上，地表水监测断面水质优良率达到93.3%以上，集中饮用水水源水质达到或优于Ⅲ类比例高于96.4％；全面完成主要污染物总量减排目标；防止较大及以上环境污染事件。</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任务3：持续抓好突出环境问题整改。抓紧抓好中央、省环保督察交办反馈问题。</w:t>
            </w:r>
          </w:p>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 xml:space="preserve">任务4：服务经济高质量发展，完成全州“三线一单”成果编制，科学编制“十四五”规划。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年度部门（单位）总体运行情况及取得的成绩</w:t>
            </w:r>
          </w:p>
        </w:tc>
        <w:tc>
          <w:tcPr>
            <w:tcW w:w="8148" w:type="dxa"/>
            <w:gridSpan w:val="14"/>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1、城市环境空气质量优良率达到99.5%；地表水监测断面水质达标率97.1%，集中式饮用水水质达标率100%；实施重点减排项目6个、水污染防治项目11个、土壤污染治理项目7个；未发生较大及以上环境污染事件。                                                          2、完成2个地级、12个县级、20个“千吨万人”、163个“千人以上”饮用水水源地保护区划分工作，实施农村污水治理153个村，淘汰老旧柴油货车35辆，全面调查排查涉危险废物单位779家、111个尾矿库，完成“夏季攻势”任务清单43项，已建空气环境自动站10座、地表水环境自动站16座，安装重点污染源废水、废气在线监控设施91套。                                                               3、完成中央、省环保督察交办问题357个，省生态环保督察“回头看”工作已办结31件。                                          </w:t>
            </w:r>
            <w:r>
              <w:rPr>
                <w:rFonts w:hint="eastAsia" w:eastAsia="仿宋_GB2312" w:cs="仿宋_GB2312"/>
                <w:sz w:val="24"/>
                <w:lang w:val="en-US" w:eastAsia="zh-CN"/>
              </w:rPr>
              <w:t xml:space="preserve">                </w:t>
            </w:r>
            <w:r>
              <w:rPr>
                <w:rFonts w:hint="eastAsia" w:eastAsia="仿宋_GB2312" w:cs="仿宋_GB2312"/>
                <w:sz w:val="24"/>
              </w:rPr>
              <w:t xml:space="preserve">  4、已形成湘西州“三线一单”成果，数据应用平台开发基本完成，科学编制“十四五”生态环境保护规划，纳入重点项目116个。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7"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77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收入合计</w:t>
            </w:r>
          </w:p>
        </w:tc>
        <w:tc>
          <w:tcPr>
            <w:tcW w:w="6922" w:type="dxa"/>
            <w:gridSpan w:val="1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77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上年结转</w:t>
            </w:r>
          </w:p>
        </w:tc>
        <w:tc>
          <w:tcPr>
            <w:tcW w:w="1161"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政拨款</w:t>
            </w:r>
          </w:p>
        </w:tc>
        <w:tc>
          <w:tcPr>
            <w:tcW w:w="145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政府基金拨款</w:t>
            </w:r>
          </w:p>
        </w:tc>
        <w:tc>
          <w:tcPr>
            <w:tcW w:w="1536"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纳入专户管理的非税收入拨款</w:t>
            </w:r>
          </w:p>
        </w:tc>
        <w:tc>
          <w:tcPr>
            <w:tcW w:w="1594"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6" w:hRule="atLeast"/>
          <w:jc w:val="center"/>
        </w:trPr>
        <w:tc>
          <w:tcPr>
            <w:tcW w:w="1775" w:type="dxa"/>
            <w:gridSpan w:val="2"/>
            <w:noWrap w:val="0"/>
            <w:vAlign w:val="center"/>
          </w:tcPr>
          <w:p>
            <w:pPr>
              <w:autoSpaceDN w:val="0"/>
              <w:spacing w:line="320" w:lineRule="exact"/>
              <w:jc w:val="center"/>
              <w:textAlignment w:val="center"/>
              <w:rPr>
                <w:rFonts w:hint="eastAsia" w:eastAsia="仿宋_GB2312" w:cs="仿宋_GB2312"/>
                <w:sz w:val="22"/>
                <w:szCs w:val="22"/>
              </w:rPr>
            </w:pPr>
            <w:bookmarkStart w:id="0" w:name="OLE_LINK3" w:colFirst="3" w:colLast="6"/>
            <w:bookmarkStart w:id="1" w:name="OLE_LINK8" w:colFirst="1" w:colLast="2"/>
            <w:bookmarkStart w:id="2" w:name="OLE_LINK9" w:colFirst="1" w:colLast="1"/>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34,536.92 </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default" w:eastAsia="仿宋_GB2312" w:cs="仿宋_GB2312"/>
                <w:sz w:val="22"/>
                <w:szCs w:val="22"/>
                <w:lang w:val="en-US" w:eastAsia="zh-CN"/>
              </w:rPr>
              <w:t xml:space="preserve">12,510.72 </w:t>
            </w:r>
          </w:p>
        </w:tc>
        <w:tc>
          <w:tcPr>
            <w:tcW w:w="1161" w:type="dxa"/>
            <w:gridSpan w:val="2"/>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18,440.54 </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297.03 </w:t>
            </w: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3,288.63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2"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bookmarkStart w:id="3" w:name="OLE_LINK1" w:colFirst="1" w:colLast="6"/>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3,873.88</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2,027.73</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1,761.00</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85.15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253.89</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39.26</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214.63</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1,544.97</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2"/>
                <w:szCs w:val="22"/>
              </w:rPr>
            </w:pP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931.90</w:t>
            </w:r>
          </w:p>
        </w:tc>
        <w:tc>
          <w:tcPr>
            <w:tcW w:w="1455"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277.03</w:t>
            </w: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336.04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2,973.12</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1,802.11</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1,171.01</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8,458.19</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4,562.10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3,396.02</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2,387.63</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1,643.90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743.73</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10,303.39</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1,864.35</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6,669.86</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1,769.18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1,481.53</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462.47</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873.11</w:t>
            </w:r>
          </w:p>
        </w:tc>
        <w:tc>
          <w:tcPr>
            <w:tcW w:w="1455"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20.00</w:t>
            </w: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1,278.12</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12.80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1,230.65</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1,982.20</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96.00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1,448.63</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437.57</w:t>
            </w:r>
          </w:p>
        </w:tc>
      </w:tr>
      <w:bookmarkEnd w:id="0"/>
      <w:bookmarkEnd w:id="1"/>
      <w:bookmarkEnd w:id="2"/>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775" w:type="dxa"/>
            <w:gridSpan w:val="2"/>
            <w:vMerge w:val="restart"/>
            <w:noWrap w:val="0"/>
            <w:vAlign w:val="center"/>
          </w:tcPr>
          <w:p>
            <w:pPr>
              <w:snapToGrid w:val="0"/>
              <w:spacing w:line="320" w:lineRule="exact"/>
              <w:jc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支出合计</w:t>
            </w:r>
          </w:p>
        </w:tc>
        <w:tc>
          <w:tcPr>
            <w:tcW w:w="4812"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2110"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基本支出</w:t>
            </w:r>
          </w:p>
        </w:tc>
        <w:tc>
          <w:tcPr>
            <w:tcW w:w="2376" w:type="dxa"/>
            <w:gridSpan w:val="3"/>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260" w:type="dxa"/>
            <w:gridSpan w:val="3"/>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项目支出</w:t>
            </w:r>
          </w:p>
        </w:tc>
        <w:tc>
          <w:tcPr>
            <w:tcW w:w="1176"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当年结余</w:t>
            </w:r>
          </w:p>
        </w:tc>
        <w:tc>
          <w:tcPr>
            <w:tcW w:w="934"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61"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人员支出</w:t>
            </w:r>
          </w:p>
        </w:tc>
        <w:tc>
          <w:tcPr>
            <w:tcW w:w="1215"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公用支出</w:t>
            </w:r>
          </w:p>
        </w:tc>
        <w:tc>
          <w:tcPr>
            <w:tcW w:w="1260" w:type="dxa"/>
            <w:gridSpan w:val="3"/>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934" w:type="dxa"/>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75" w:type="dxa"/>
            <w:gridSpan w:val="2"/>
            <w:noWrap w:val="0"/>
            <w:vAlign w:val="center"/>
          </w:tcPr>
          <w:p>
            <w:pPr>
              <w:spacing w:line="320" w:lineRule="exact"/>
              <w:jc w:val="left"/>
              <w:rPr>
                <w:rFonts w:hint="eastAsia" w:eastAsia="仿宋_GB2312" w:cs="仿宋_GB2312"/>
                <w:sz w:val="22"/>
                <w:szCs w:val="22"/>
              </w:rPr>
            </w:pPr>
            <w:bookmarkStart w:id="4" w:name="OLE_LINK6" w:colFirst="6" w:colLast="7"/>
            <w:bookmarkStart w:id="5" w:name="OLE_LINK7" w:colFirst="1" w:colLast="1"/>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19,844.50</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7,056.33</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5,647.00</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1,409.33</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12,788.17</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rPr>
            </w:pPr>
            <w:r>
              <w:rPr>
                <w:rFonts w:hint="default" w:ascii="Times New Roman" w:hAnsi="Times New Roman" w:eastAsia="宋体" w:cs="Times New Roman"/>
                <w:i w:val="0"/>
                <w:iCs w:val="0"/>
                <w:color w:val="000000"/>
                <w:kern w:val="0"/>
                <w:sz w:val="21"/>
                <w:szCs w:val="21"/>
                <w:u w:val="none"/>
                <w:lang w:val="en-US" w:eastAsia="zh-CN" w:bidi="ar"/>
              </w:rPr>
              <w:t>2,181.</w:t>
            </w:r>
            <w:r>
              <w:rPr>
                <w:rFonts w:hint="eastAsia" w:cs="Times New Roman"/>
                <w:i w:val="0"/>
                <w:iCs w:val="0"/>
                <w:color w:val="000000"/>
                <w:kern w:val="0"/>
                <w:sz w:val="21"/>
                <w:szCs w:val="21"/>
                <w:u w:val="none"/>
                <w:lang w:val="en-US" w:eastAsia="zh-CN" w:bidi="ar"/>
              </w:rPr>
              <w:t>70</w:t>
            </w:r>
          </w:p>
        </w:tc>
        <w:tc>
          <w:tcPr>
            <w:tcW w:w="934"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14</w:t>
            </w:r>
            <w:r>
              <w:rPr>
                <w:rFonts w:hint="eastAsia" w:eastAsia="仿宋_GB2312" w:cs="仿宋_GB2312"/>
                <w:sz w:val="22"/>
                <w:szCs w:val="22"/>
                <w:lang w:val="en-US" w:eastAsia="zh-CN"/>
              </w:rPr>
              <w:t>,</w:t>
            </w:r>
            <w:r>
              <w:rPr>
                <w:rFonts w:hint="eastAsia" w:eastAsia="仿宋_GB2312" w:cs="仿宋_GB2312"/>
                <w:sz w:val="22"/>
                <w:szCs w:val="22"/>
              </w:rPr>
              <w:t>692.42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bookmarkStart w:id="6" w:name="OLE_LINK2" w:colFirst="1" w:colLast="7"/>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2,535.62</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968.67</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836.30</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132.37</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1,566.95</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-689.47</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338.26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184.59</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93.94</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78.82</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15.12</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90.65</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30.04</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1,520.42</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861.10</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812.69</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48.41</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659.32</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24.55</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1,825.92</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570.01</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448.02</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121.99</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1,255.91</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-654.91</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2,113.95</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728.48</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496.63</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231.85</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1,385.47</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1782.14</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344.24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1,287.48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455.57</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305.65</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149.92</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831.91</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-543.75</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5,953.58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1,405.53</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1,001.72</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403.81</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4,548.05</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2485.46</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349.81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1,273.87</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536.50</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469.20</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67.30</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737.37</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-254.81</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1,170.98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595.17</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519.61</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75.56</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575.81</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94.34</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1,978.09</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841.36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678.36</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163.00</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1,136.73</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-91.89</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4.11</w:t>
            </w:r>
          </w:p>
        </w:tc>
      </w:tr>
      <w:bookmarkEnd w:id="4"/>
      <w:bookmarkEnd w:id="5"/>
      <w:bookmarkEnd w:id="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775" w:type="dxa"/>
            <w:gridSpan w:val="2"/>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922" w:type="dxa"/>
            <w:gridSpan w:val="1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公务接待费</w:t>
            </w:r>
          </w:p>
        </w:tc>
        <w:tc>
          <w:tcPr>
            <w:tcW w:w="1161"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公务用车运行维护费</w:t>
            </w:r>
          </w:p>
        </w:tc>
        <w:tc>
          <w:tcPr>
            <w:tcW w:w="1215"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公务用车购置费</w:t>
            </w: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75" w:type="dxa"/>
            <w:gridSpan w:val="2"/>
            <w:noWrap w:val="0"/>
            <w:vAlign w:val="center"/>
          </w:tcPr>
          <w:p>
            <w:pPr>
              <w:spacing w:line="320" w:lineRule="exact"/>
              <w:jc w:val="left"/>
              <w:rPr>
                <w:rFonts w:hint="eastAsia"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121.27</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41.76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79.51</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75" w:type="dxa"/>
            <w:gridSpan w:val="2"/>
            <w:noWrap w:val="0"/>
            <w:vAlign w:val="center"/>
          </w:tcPr>
          <w:p>
            <w:pPr>
              <w:spacing w:line="320" w:lineRule="exact"/>
              <w:rPr>
                <w:rFonts w:hint="eastAsia" w:eastAsia="仿宋_GB2312" w:cs="仿宋_GB2312"/>
                <w:sz w:val="22"/>
                <w:szCs w:val="22"/>
              </w:rPr>
            </w:pPr>
            <w:bookmarkStart w:id="7" w:name="OLE_LINK4" w:colFirst="1" w:colLast="3"/>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19.58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3.99</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15.59</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w:t>
            </w:r>
          </w:p>
        </w:tc>
        <w:tc>
          <w:tcPr>
            <w:tcW w:w="1176" w:type="dxa"/>
            <w:gridSpan w:val="2"/>
            <w:tcBorders>
              <w:lef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7.60</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0.12</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7.48</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8.93</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3.67</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14.53</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4.95</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9.58</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10.76</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4.66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6.10</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10.84</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9.76</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10.07</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10.07</w:t>
            </w:r>
          </w:p>
        </w:tc>
        <w:tc>
          <w:tcPr>
            <w:tcW w:w="1161" w:type="dxa"/>
            <w:gridSpan w:val="2"/>
            <w:noWrap w:val="0"/>
            <w:vAlign w:val="center"/>
          </w:tcPr>
          <w:p>
            <w:pPr>
              <w:jc w:val="center"/>
              <w:rPr>
                <w:rFonts w:hint="default" w:ascii="Times New Roman" w:hAnsi="Times New Roman" w:eastAsia="仿宋_GB2312" w:cs="Times New Roman"/>
                <w:sz w:val="22"/>
                <w:szCs w:val="22"/>
              </w:rPr>
            </w:pP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12.96</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3.82</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9.14</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22.80</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7.81</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14.99</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bookmarkEnd w:id="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6" w:hRule="atLeast"/>
          <w:jc w:val="center"/>
        </w:trPr>
        <w:tc>
          <w:tcPr>
            <w:tcW w:w="1775" w:type="dxa"/>
            <w:gridSpan w:val="2"/>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922" w:type="dxa"/>
            <w:gridSpan w:val="12"/>
            <w:tcBorders>
              <w:left w:val="single" w:color="auto" w:sz="4" w:space="0"/>
            </w:tcBorders>
            <w:noWrap w:val="0"/>
            <w:vAlign w:val="center"/>
          </w:tcPr>
          <w:p>
            <w:pPr>
              <w:autoSpaceDN w:val="0"/>
              <w:spacing w:line="320" w:lineRule="exact"/>
              <w:ind w:firstLine="2160" w:firstLineChars="900"/>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5"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3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在用固定资产</w:t>
            </w:r>
          </w:p>
        </w:tc>
        <w:tc>
          <w:tcPr>
            <w:tcW w:w="3644" w:type="dxa"/>
            <w:gridSpan w:val="6"/>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75" w:type="dxa"/>
            <w:gridSpan w:val="2"/>
            <w:noWrap w:val="0"/>
            <w:vAlign w:val="center"/>
          </w:tcPr>
          <w:p>
            <w:pPr>
              <w:spacing w:line="320" w:lineRule="exact"/>
              <w:jc w:val="left"/>
              <w:rPr>
                <w:rFonts w:hint="eastAsia"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4,143.20</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4,143.20</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bookmarkStart w:id="8" w:name="OLE_LINK5" w:colFirst="1" w:colLast="1"/>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673.83</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673.83</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38.55</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38.55</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260.89</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260.89</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353.23</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353.23</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224.92</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224.92</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353.35</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353.35</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499.84</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499.84</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70"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617.66</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617.66</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588.11</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588.11</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532.82</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532.82</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bookmarkEnd w:id="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3"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1" w:hRule="atLeast"/>
          <w:jc w:val="center"/>
        </w:trPr>
        <w:tc>
          <w:tcPr>
            <w:tcW w:w="177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整体支出绩效定性目标及实施计划完成情况</w:t>
            </w:r>
          </w:p>
        </w:tc>
        <w:tc>
          <w:tcPr>
            <w:tcW w:w="3440"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预期目标</w:t>
            </w:r>
          </w:p>
        </w:tc>
        <w:tc>
          <w:tcPr>
            <w:tcW w:w="4585"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32"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3440" w:type="dxa"/>
            <w:gridSpan w:val="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目标1：城市环境空气质量优良率达到90%以上，地表水监测断面水质优良率达到93.3%以上，集中饮用水水源水质达到或优于Ⅲ类比例高于96.4％；全面完成主要污染物总量减排目标；防止较大及以上环境污染事件。                                                                      目标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                                  目标3：持续抓好突出环境问题整改。抓紧抓好中央、省环保督察交办反馈问题。                                                                目标4：服务经济高质量发展，完成全州“三线一单”成果编制，科学编制“十四五”规划。</w:t>
            </w:r>
          </w:p>
        </w:tc>
        <w:tc>
          <w:tcPr>
            <w:tcW w:w="4585" w:type="dxa"/>
            <w:gridSpan w:val="8"/>
            <w:noWrap w:val="0"/>
            <w:vAlign w:val="center"/>
          </w:tcPr>
          <w:p>
            <w:pPr>
              <w:autoSpaceDN w:val="0"/>
              <w:spacing w:line="320" w:lineRule="exact"/>
              <w:jc w:val="both"/>
              <w:textAlignment w:val="center"/>
              <w:rPr>
                <w:rFonts w:hint="eastAsia" w:eastAsia="仿宋_GB2312" w:cs="仿宋_GB2312"/>
                <w:sz w:val="24"/>
              </w:rPr>
            </w:pPr>
            <w:r>
              <w:rPr>
                <w:rFonts w:hint="eastAsia" w:eastAsia="仿宋_GB2312" w:cs="仿宋_GB2312"/>
                <w:sz w:val="24"/>
              </w:rPr>
              <w:t>1、城市环境空气质量优良率达到99.5%；地表水监测断面水质达标率97.1%，集中式饮用水水质达标率100%；实施重点减排项目6个、水污染防治项目11个、土壤污染治理项目7个；未发生较大及以上环境污染事件。                                                          2、完成2个地级、12个县级、20个“千吨万人”、163个“千人以上”饮用水水源地保护区划分工作，实施农村污水治理153个村，淘汰老旧柴油货车35辆，全面调查排查涉危险废物单位779家、111个尾矿库，完成“夏季攻势”任务清单43项，已建空气环境自动站10座、地表水环境自动站16座，安装重</w:t>
            </w:r>
            <w:r>
              <w:rPr>
                <w:rFonts w:hint="eastAsia" w:eastAsia="仿宋_GB2312" w:cs="仿宋_GB2312"/>
                <w:sz w:val="24"/>
                <w:lang w:val="en-US" w:eastAsia="zh-CN"/>
              </w:rPr>
              <w:t>点</w:t>
            </w:r>
            <w:r>
              <w:rPr>
                <w:rFonts w:hint="eastAsia" w:eastAsia="仿宋_GB2312" w:cs="仿宋_GB2312"/>
                <w:sz w:val="24"/>
              </w:rPr>
              <w:t>污染源废水、废气在线监控设施91套。                                                               3、完成中央、省环保督察交办问题357个，省生态环保督察“回头看”工作已办结31件。                                            4、已形成湘西州“三线一单”成果，数据应用平台开发基本完成，科学编制“十四五”生态环境保护规划，纳入重点项目116个。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3" w:hRule="atLeast"/>
          <w:jc w:val="center"/>
        </w:trPr>
        <w:tc>
          <w:tcPr>
            <w:tcW w:w="177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绩效定量目标及实施计划完成情况</w:t>
            </w:r>
          </w:p>
        </w:tc>
        <w:tc>
          <w:tcPr>
            <w:tcW w:w="263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评价内容</w:t>
            </w:r>
          </w:p>
        </w:tc>
        <w:tc>
          <w:tcPr>
            <w:tcW w:w="81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绩效目标</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92"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noWrap w:val="0"/>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完成“千吨万人”集中式饮用水水源问题清单20个、完成农村生活污水治理村3个、淘汰老旧柴油货车35辆</w:t>
            </w:r>
          </w:p>
        </w:tc>
        <w:tc>
          <w:tcPr>
            <w:tcW w:w="2686" w:type="dxa"/>
            <w:gridSpan w:val="5"/>
            <w:noWrap w:val="0"/>
            <w:vAlign w:val="center"/>
          </w:tcPr>
          <w:p>
            <w:pPr>
              <w:autoSpaceDN w:val="0"/>
              <w:spacing w:line="320" w:lineRule="exact"/>
              <w:jc w:val="center"/>
              <w:textAlignment w:val="center"/>
              <w:rPr>
                <w:rFonts w:hint="eastAsia" w:eastAsia="仿宋_GB2312" w:cs="仿宋_GB2312"/>
                <w:b/>
                <w:sz w:val="24"/>
              </w:rPr>
            </w:pPr>
            <w:r>
              <w:rPr>
                <w:rFonts w:hint="eastAsia" w:eastAsia="仿宋_GB2312" w:cs="仿宋_GB2312"/>
                <w:b w:val="0"/>
                <w:bCs/>
                <w:sz w:val="24"/>
              </w:rPr>
              <w:t>完成2个地级、12个县级、20个“千吨万人”、163个“千人以上”饮用水水源地保护区划分工作；实施农村污水治理153个村；淘汰老旧柴油货车35辆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9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完成“夏季攻势”任务清单44项，完成中央、省环保督察交办问题362个，省生态环保督察“回头看”工作37件</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完成“夏季攻势”任务清单43项、中央、省环保督察交办问题357个、省生态环保督察“回头看”工作31件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空气质量优良率达到90%以上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空气质量优良率99.5%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指标4：</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地表水监测断面水质优良率达到93.3%以上，集中饮用水水源水质达到或优于Ⅲ类比例高于96.4％</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地表水断面水质达标率97.1%，集中式饮用水水质达标率100%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指标5：</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完成全州“三线一单”成果编制，科学编制“十四五”规划</w:t>
            </w:r>
          </w:p>
        </w:tc>
        <w:tc>
          <w:tcPr>
            <w:tcW w:w="2686" w:type="dxa"/>
            <w:gridSpan w:val="5"/>
            <w:noWrap w:val="0"/>
            <w:vAlign w:val="center"/>
          </w:tcPr>
          <w:p>
            <w:pPr>
              <w:autoSpaceDN w:val="0"/>
              <w:spacing w:line="320" w:lineRule="exact"/>
              <w:jc w:val="center"/>
              <w:textAlignment w:val="center"/>
              <w:rPr>
                <w:rFonts w:hint="eastAsia" w:ascii="Times New Roman" w:hAnsi="Times New Roman" w:eastAsia="仿宋_GB2312" w:cs="仿宋_GB2312"/>
                <w:b w:val="0"/>
                <w:bCs/>
                <w:kern w:val="2"/>
                <w:sz w:val="24"/>
                <w:szCs w:val="24"/>
                <w:lang w:val="en-US" w:eastAsia="zh-CN" w:bidi="ar-SA"/>
              </w:rPr>
            </w:pPr>
            <w:r>
              <w:rPr>
                <w:rFonts w:hint="eastAsia" w:eastAsia="仿宋_GB2312" w:cs="仿宋_GB2312"/>
                <w:b w:val="0"/>
                <w:bCs/>
                <w:sz w:val="24"/>
              </w:rPr>
              <w:t>已形成湘西州“三线一单”成果，数据应用平台开发基本完成，科学编制“十四五”生态环境保护规划，纳入重点项目116个。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指标6：</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全面调查排查涉危险废物，加快补齐环境治理基础设施，持续改善水环境质量</w:t>
            </w:r>
          </w:p>
        </w:tc>
        <w:tc>
          <w:tcPr>
            <w:tcW w:w="2686" w:type="dxa"/>
            <w:gridSpan w:val="5"/>
            <w:noWrap w:val="0"/>
            <w:vAlign w:val="center"/>
          </w:tcPr>
          <w:p>
            <w:pPr>
              <w:autoSpaceDN w:val="0"/>
              <w:spacing w:line="320" w:lineRule="exact"/>
              <w:jc w:val="center"/>
              <w:textAlignment w:val="center"/>
              <w:rPr>
                <w:rFonts w:hint="eastAsia" w:ascii="Times New Roman" w:hAnsi="Times New Roman" w:eastAsia="仿宋_GB2312" w:cs="仿宋_GB2312"/>
                <w:b w:val="0"/>
                <w:bCs/>
                <w:kern w:val="2"/>
                <w:sz w:val="24"/>
                <w:szCs w:val="24"/>
                <w:lang w:val="en-US" w:eastAsia="zh-CN" w:bidi="ar-SA"/>
              </w:rPr>
            </w:pPr>
            <w:r>
              <w:rPr>
                <w:rFonts w:hint="eastAsia" w:eastAsia="仿宋_GB2312" w:cs="仿宋_GB2312"/>
                <w:b w:val="0"/>
                <w:bCs/>
                <w:sz w:val="24"/>
              </w:rPr>
              <w:t>全面调查排查涉危险废物单位779家、111个尾矿库；建空气环境自动站10座、地表水环境自动站16座，安装重点污染源废水、废气在线监控设施91套</w:t>
            </w:r>
            <w:r>
              <w:rPr>
                <w:rFonts w:hint="eastAsia" w:eastAsia="仿宋_GB2312" w:cs="仿宋_GB2312"/>
                <w:b w:val="0"/>
                <w:bCs/>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指标7：</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2020年12月31日前全面完成年度工作任务</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lang w:eastAsia="zh-CN"/>
              </w:rPr>
            </w:pPr>
            <w:r>
              <w:rPr>
                <w:rFonts w:hint="eastAsia" w:eastAsia="仿宋_GB2312" w:cs="仿宋_GB2312"/>
                <w:b w:val="0"/>
                <w:bCs/>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（预期实现的效益）</w:t>
            </w:r>
          </w:p>
        </w:tc>
        <w:tc>
          <w:tcPr>
            <w:tcW w:w="952"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社会、经济、生态效益</w:t>
            </w: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协同推进经济高质量发展</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提高了环评审批质量和效率，提升服务经济发展水平无较大及以上环境污染事件，保证群众环境权益和环境安全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环境质量达标、完成污染防治任务</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全面完成水、气、土环境治理目标，促进环境质量改善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促进生态环境持续改善</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lang w:eastAsia="zh-CN"/>
              </w:rPr>
            </w:pPr>
            <w:r>
              <w:rPr>
                <w:rFonts w:hint="eastAsia" w:eastAsia="仿宋_GB2312" w:cs="仿宋_GB2312"/>
                <w:b w:val="0"/>
                <w:bCs/>
                <w:sz w:val="24"/>
              </w:rPr>
              <w:t>通过严格执法、强化工作调度、强化环保宣传、提升全社会环保意识、促进生态环境质量持续改善</w:t>
            </w:r>
            <w:r>
              <w:rPr>
                <w:rFonts w:hint="eastAsia" w:eastAsia="仿宋_GB2312" w:cs="仿宋_GB2312"/>
                <w:b w:val="0"/>
                <w:bCs/>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社会公众或服务对象满意度</w:t>
            </w: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部门履行职责而影响到的部门内部员工满意度95%以上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部门履行职责而影响到的部门内部员工满意度95%以上。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5"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2"/>
                <w:szCs w:val="22"/>
              </w:rPr>
              <w:t>部门履行职责而影响到的社会群众满意度95%以上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部门履行职责而影响到的社会群众满意度95%以上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29"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2"/>
                <w:szCs w:val="22"/>
              </w:rPr>
              <w:t>部门履行职责而影响到的服务对象满意度95%以上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部门履行职责而影响到的服务对象满意度95%以上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p>
        </w:tc>
        <w:tc>
          <w:tcPr>
            <w:tcW w:w="6347" w:type="dxa"/>
            <w:gridSpan w:val="11"/>
            <w:noWrap w:val="0"/>
            <w:vAlign w:val="center"/>
          </w:tcPr>
          <w:p>
            <w:pPr>
              <w:spacing w:line="320" w:lineRule="exact"/>
              <w:ind w:firstLine="630" w:firstLineChars="300"/>
              <w:rPr>
                <w:rFonts w:hint="eastAsia" w:eastAsia="楷体_GB2312"/>
              </w:rPr>
            </w:pPr>
            <w:r>
              <w:rPr>
                <w:rFonts w:hint="eastAsia" w:eastAsia="楷体_GB2312"/>
              </w:rPr>
              <w:t>评分：</w:t>
            </w:r>
            <w:r>
              <w:rPr>
                <w:rFonts w:hint="eastAsia" w:ascii="楷体" w:hAnsi="楷体" w:eastAsia="楷体" w:cs="楷体"/>
                <w:lang w:val="en-US" w:eastAsia="zh-CN"/>
              </w:rPr>
              <w:t>87.31</w:t>
            </w:r>
            <w:r>
              <w:rPr>
                <w:rFonts w:hint="eastAsia" w:ascii="楷体" w:hAnsi="楷体" w:eastAsia="楷体" w:cs="楷体"/>
              </w:rPr>
              <w:t xml:space="preserve">  </w:t>
            </w:r>
            <w:r>
              <w:rPr>
                <w:rFonts w:hint="eastAsia" w:eastAsia="楷体_GB2312"/>
              </w:rPr>
              <w:t xml:space="preserve">                        等级：</w:t>
            </w:r>
            <w:r>
              <w:rPr>
                <w:rFonts w:hint="eastAsia" w:ascii="楷体" w:hAnsi="楷体" w:eastAsia="楷体" w:cs="楷体"/>
                <w:b w:val="0"/>
                <w:bCs w:val="0"/>
                <w:szCs w:val="21"/>
              </w:rPr>
              <w:t>良</w:t>
            </w:r>
          </w:p>
          <w:p>
            <w:pPr>
              <w:autoSpaceDN w:val="0"/>
              <w:spacing w:line="320" w:lineRule="exact"/>
              <w:jc w:val="left"/>
              <w:textAlignment w:val="center"/>
              <w:rPr>
                <w:rFonts w:hint="eastAsia" w:ascii="TimesNewRoman" w:hAnsi="TimesNewRoman"/>
                <w:szCs w:val="21"/>
              </w:rPr>
            </w:pPr>
          </w:p>
          <w:p>
            <w:pPr>
              <w:autoSpaceDN w:val="0"/>
              <w:spacing w:line="320" w:lineRule="exact"/>
              <w:jc w:val="left"/>
              <w:textAlignment w:val="center"/>
              <w:rPr>
                <w:rFonts w:hint="eastAsia"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姓  名</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职务/职称</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单  位</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向文富</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lang w:eastAsia="zh-CN"/>
              </w:rPr>
              <w:t>党组成员、</w:t>
            </w:r>
            <w:r>
              <w:rPr>
                <w:rFonts w:hint="eastAsia" w:ascii="楷体" w:hAnsi="楷体" w:eastAsia="楷体" w:cs="楷体"/>
                <w:sz w:val="22"/>
                <w:szCs w:val="22"/>
              </w:rPr>
              <w:t>副局长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张黎勇</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环评</w:t>
            </w:r>
            <w:r>
              <w:rPr>
                <w:rFonts w:hint="eastAsia" w:ascii="楷体" w:hAnsi="楷体" w:eastAsia="楷体" w:cs="楷体"/>
                <w:sz w:val="22"/>
                <w:szCs w:val="22"/>
                <w:lang w:eastAsia="zh-CN"/>
              </w:rPr>
              <w:t>服务</w:t>
            </w:r>
            <w:r>
              <w:rPr>
                <w:rFonts w:hint="eastAsia" w:ascii="楷体" w:hAnsi="楷体" w:eastAsia="楷体" w:cs="楷体"/>
                <w:sz w:val="22"/>
                <w:szCs w:val="22"/>
              </w:rPr>
              <w:t>中心主任</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万象</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办公室主任</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kern w:val="2"/>
                <w:sz w:val="22"/>
                <w:szCs w:val="22"/>
                <w:lang w:val="en-US" w:eastAsia="zh-CN" w:bidi="ar-SA"/>
              </w:rPr>
            </w:pPr>
            <w:r>
              <w:rPr>
                <w:rFonts w:hint="eastAsia" w:ascii="楷体" w:hAnsi="楷体" w:eastAsia="楷体" w:cs="楷体"/>
                <w:sz w:val="22"/>
                <w:szCs w:val="22"/>
              </w:rPr>
              <w:t>陈蓉</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kern w:val="2"/>
                <w:sz w:val="22"/>
                <w:szCs w:val="22"/>
                <w:lang w:val="en-US" w:eastAsia="zh-CN" w:bidi="ar-SA"/>
              </w:rPr>
            </w:pPr>
            <w:r>
              <w:rPr>
                <w:rFonts w:hint="eastAsia" w:ascii="楷体" w:hAnsi="楷体" w:eastAsia="楷体" w:cs="楷体"/>
                <w:sz w:val="22"/>
                <w:szCs w:val="22"/>
                <w:lang w:eastAsia="zh-CN"/>
              </w:rPr>
              <w:t>科技</w:t>
            </w:r>
            <w:r>
              <w:rPr>
                <w:rFonts w:hint="eastAsia" w:ascii="楷体" w:hAnsi="楷体" w:eastAsia="楷体" w:cs="楷体"/>
                <w:sz w:val="22"/>
                <w:szCs w:val="22"/>
              </w:rPr>
              <w:t>财务科科长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kern w:val="2"/>
                <w:sz w:val="22"/>
                <w:szCs w:val="22"/>
                <w:lang w:val="en-US" w:eastAsia="zh-CN" w:bidi="ar-SA"/>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向莉</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人事教育科科长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吴宽金</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综合协调科</w:t>
            </w:r>
            <w:r>
              <w:rPr>
                <w:rFonts w:hint="eastAsia" w:ascii="楷体" w:hAnsi="楷体" w:eastAsia="楷体" w:cs="楷体"/>
                <w:sz w:val="22"/>
                <w:szCs w:val="22"/>
                <w:lang w:eastAsia="zh-CN"/>
              </w:rPr>
              <w:t>副科长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王琛</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政策法规科</w:t>
            </w:r>
            <w:r>
              <w:rPr>
                <w:rFonts w:hint="eastAsia" w:ascii="楷体" w:hAnsi="楷体" w:eastAsia="楷体" w:cs="楷体"/>
                <w:sz w:val="22"/>
                <w:szCs w:val="22"/>
                <w:lang w:eastAsia="zh-CN"/>
              </w:rPr>
              <w:t>副</w:t>
            </w:r>
            <w:r>
              <w:rPr>
                <w:rFonts w:hint="eastAsia" w:ascii="楷体" w:hAnsi="楷体" w:eastAsia="楷体" w:cs="楷体"/>
                <w:sz w:val="22"/>
                <w:szCs w:val="22"/>
              </w:rPr>
              <w:t>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吕星浩</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土壤和自然生态环境科</w:t>
            </w:r>
            <w:r>
              <w:rPr>
                <w:rFonts w:hint="eastAsia" w:ascii="楷体" w:hAnsi="楷体" w:eastAsia="楷体" w:cs="楷体"/>
                <w:sz w:val="22"/>
                <w:szCs w:val="22"/>
                <w:lang w:eastAsia="zh-CN"/>
              </w:rPr>
              <w:t>负责人</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张光辉</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水生态环境科科长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石文军</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大气环境与应对气候变化科科长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陈佳</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固体废物与化学品科</w:t>
            </w:r>
            <w:r>
              <w:rPr>
                <w:rFonts w:hint="eastAsia" w:ascii="楷体" w:hAnsi="楷体" w:eastAsia="楷体" w:cs="楷体"/>
                <w:sz w:val="22"/>
                <w:szCs w:val="22"/>
                <w:lang w:eastAsia="zh-CN"/>
              </w:rPr>
              <w:t>负责人</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谭恒</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环境影响评价与排放管理科</w:t>
            </w:r>
            <w:r>
              <w:rPr>
                <w:rFonts w:hint="eastAsia" w:ascii="楷体" w:hAnsi="楷体" w:eastAsia="楷体" w:cs="楷体"/>
                <w:sz w:val="22"/>
                <w:szCs w:val="22"/>
                <w:lang w:eastAsia="zh-CN"/>
              </w:rPr>
              <w:t>负责人</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石金波</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lang w:eastAsia="zh-CN"/>
              </w:rPr>
              <w:t>环评服务中心九级职员（科技财务科）</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31" w:hRule="atLeast"/>
          <w:jc w:val="center"/>
        </w:trPr>
        <w:tc>
          <w:tcPr>
            <w:tcW w:w="9800"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ind w:firstLine="5760" w:firstLineChars="2400"/>
              <w:jc w:val="left"/>
              <w:textAlignment w:val="center"/>
              <w:rPr>
                <w:rFonts w:hint="eastAsia"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财政部门归口业务科室负责人（签字）：         财政部门归口业务科室（盖章）：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7680" w:firstLineChars="3200"/>
              <w:jc w:val="left"/>
              <w:textAlignment w:val="center"/>
              <w:rPr>
                <w:rFonts w:hint="eastAsia" w:eastAsia="仿宋_GB2312" w:cs="仿宋_GB2312"/>
                <w:sz w:val="24"/>
              </w:rPr>
            </w:pPr>
            <w:r>
              <w:rPr>
                <w:rFonts w:hint="eastAsia" w:eastAsia="仿宋_GB2312"/>
                <w:sz w:val="24"/>
              </w:rPr>
              <w:t>年    月   日</w:t>
            </w:r>
          </w:p>
        </w:tc>
      </w:tr>
    </w:tbl>
    <w:tbl>
      <w:tblPr>
        <w:tblStyle w:val="3"/>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noWrap w:val="0"/>
            <w:vAlign w:val="top"/>
          </w:tcPr>
          <w:p>
            <w:pPr>
              <w:spacing w:line="560" w:lineRule="exact"/>
              <w:jc w:val="center"/>
              <w:rPr>
                <w:rFonts w:hint="eastAsia" w:eastAsia="方正小标宋_GBK"/>
                <w:sz w:val="36"/>
                <w:szCs w:val="36"/>
              </w:rPr>
            </w:pPr>
          </w:p>
        </w:tc>
      </w:tr>
    </w:tbl>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val="en-US" w:eastAsia="zh-CN"/>
        </w:rPr>
        <w:t>湘西土家族苗族自治州生态环境局    2020</w:t>
      </w:r>
      <w:r>
        <w:rPr>
          <w:rFonts w:hint="eastAsia" w:ascii="方正小标宋简体" w:hAnsi="方正小标宋简体" w:eastAsia="方正小标宋简体" w:cs="方正小标宋简体"/>
          <w:sz w:val="48"/>
          <w:szCs w:val="48"/>
        </w:rPr>
        <w:t>年度部门整体支出</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绩效自评报告</w:t>
      </w:r>
    </w:p>
    <w:p>
      <w:pPr>
        <w:spacing w:line="600" w:lineRule="exact"/>
        <w:jc w:val="center"/>
        <w:rPr>
          <w:rFonts w:hint="eastAsia" w:eastAsia="楷体_GB2312"/>
          <w:sz w:val="32"/>
          <w:szCs w:val="32"/>
          <w:lang w:val="en-US" w:eastAsia="zh-CN"/>
        </w:rPr>
      </w:pPr>
      <w:r>
        <w:rPr>
          <w:rFonts w:hint="eastAsia" w:eastAsia="楷体_GB2312"/>
          <w:sz w:val="32"/>
          <w:szCs w:val="32"/>
          <w:lang w:val="en-US" w:eastAsia="zh-CN"/>
        </w:rPr>
        <w:t xml:space="preserve"> </w:t>
      </w:r>
    </w:p>
    <w:p>
      <w:pPr>
        <w:spacing w:line="500" w:lineRule="exact"/>
        <w:ind w:firstLine="562" w:firstLineChars="200"/>
        <w:outlineLvl w:val="0"/>
        <w:rPr>
          <w:rFonts w:hint="eastAsia" w:ascii="黑体" w:hAnsi="黑体" w:eastAsia="黑体" w:cs="黑体"/>
          <w:b/>
          <w:bCs/>
          <w:color w:val="auto"/>
          <w:sz w:val="28"/>
          <w:szCs w:val="28"/>
        </w:rPr>
      </w:pPr>
      <w:r>
        <w:rPr>
          <w:rFonts w:hint="eastAsia" w:ascii="黑体" w:hAnsi="黑体" w:eastAsia="黑体" w:cs="黑体"/>
          <w:b/>
          <w:bCs/>
          <w:color w:val="auto"/>
          <w:sz w:val="28"/>
          <w:szCs w:val="28"/>
        </w:rPr>
        <w:t>一、基本情况</w:t>
      </w: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r>
        <w:rPr>
          <w:rFonts w:hint="eastAsia" w:ascii="楷体_GB2312" w:hAnsi="仿宋_GB2312" w:eastAsia="楷体_GB2312" w:cs="仿宋_GB2312"/>
          <w:b/>
          <w:color w:val="auto"/>
          <w:spacing w:val="-2"/>
          <w:sz w:val="28"/>
          <w:szCs w:val="28"/>
          <w:lang w:eastAsia="zh-CN"/>
        </w:rPr>
        <w:t>（一）部门（单位）基本情况</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eastAsia="zh-CN"/>
        </w:rPr>
        <w:t>湘西土家族苗族自治州生态环境局为处级全额拨款（行政、参公管理、事业）单位。内设办公室（信访科）、科技财务科、人事教育科（老干科）、综合协调科、政策法规科、土壤和自然生态环境科、水生态环境科、大气环境与应对气候变化科、固体废物与化学品科（核与辐射管理科）、环境影响评价与排放管理科（行政审批服务科）、生态监测科等十一个职能科室；下设5个二级单位，8个派出机构。核定编制</w:t>
      </w:r>
      <w:r>
        <w:rPr>
          <w:rFonts w:hint="eastAsia" w:ascii="楷体_GB2312" w:hAnsi="仿宋_GB2312" w:eastAsia="楷体_GB2312" w:cs="仿宋_GB2312"/>
          <w:color w:val="auto"/>
          <w:spacing w:val="-4"/>
          <w:sz w:val="28"/>
          <w:szCs w:val="28"/>
          <w:lang w:val="en-US" w:eastAsia="zh-CN"/>
        </w:rPr>
        <w:t>501</w:t>
      </w:r>
      <w:r>
        <w:rPr>
          <w:rFonts w:hint="eastAsia" w:ascii="楷体_GB2312" w:hAnsi="仿宋_GB2312" w:eastAsia="楷体_GB2312" w:cs="仿宋_GB2312"/>
          <w:color w:val="auto"/>
          <w:spacing w:val="-4"/>
          <w:sz w:val="28"/>
          <w:szCs w:val="28"/>
          <w:lang w:eastAsia="zh-CN"/>
        </w:rPr>
        <w:t>人，其中：行政编</w:t>
      </w:r>
      <w:r>
        <w:rPr>
          <w:rFonts w:hint="eastAsia" w:ascii="楷体_GB2312" w:hAnsi="仿宋_GB2312" w:eastAsia="楷体_GB2312" w:cs="仿宋_GB2312"/>
          <w:color w:val="auto"/>
          <w:spacing w:val="-4"/>
          <w:sz w:val="28"/>
          <w:szCs w:val="28"/>
          <w:lang w:val="en-US" w:eastAsia="zh-CN"/>
        </w:rPr>
        <w:t>66</w:t>
      </w:r>
      <w:r>
        <w:rPr>
          <w:rFonts w:hint="eastAsia" w:ascii="楷体_GB2312" w:hAnsi="仿宋_GB2312" w:eastAsia="楷体_GB2312" w:cs="仿宋_GB2312"/>
          <w:color w:val="auto"/>
          <w:spacing w:val="-4"/>
          <w:sz w:val="28"/>
          <w:szCs w:val="28"/>
          <w:lang w:eastAsia="zh-CN"/>
        </w:rPr>
        <w:t>人，全额事业编</w:t>
      </w:r>
      <w:r>
        <w:rPr>
          <w:rFonts w:hint="eastAsia" w:ascii="楷体_GB2312" w:hAnsi="仿宋_GB2312" w:eastAsia="楷体_GB2312" w:cs="仿宋_GB2312"/>
          <w:color w:val="auto"/>
          <w:spacing w:val="-4"/>
          <w:sz w:val="28"/>
          <w:szCs w:val="28"/>
          <w:lang w:val="en-US" w:eastAsia="zh-CN"/>
        </w:rPr>
        <w:t>435</w:t>
      </w:r>
      <w:r>
        <w:rPr>
          <w:rFonts w:hint="eastAsia" w:ascii="楷体_GB2312" w:hAnsi="仿宋_GB2312" w:eastAsia="楷体_GB2312" w:cs="仿宋_GB2312"/>
          <w:color w:val="auto"/>
          <w:spacing w:val="-4"/>
          <w:sz w:val="28"/>
          <w:szCs w:val="28"/>
          <w:lang w:eastAsia="zh-CN"/>
        </w:rPr>
        <w:t>人。</w:t>
      </w:r>
      <w:r>
        <w:rPr>
          <w:rFonts w:hint="eastAsia" w:ascii="楷体_GB2312" w:hAnsi="仿宋_GB2312" w:eastAsia="楷体_GB2312" w:cs="仿宋_GB2312"/>
          <w:color w:val="auto"/>
          <w:spacing w:val="-4"/>
          <w:sz w:val="28"/>
          <w:szCs w:val="28"/>
          <w:lang w:val="en-US" w:eastAsia="zh-CN"/>
        </w:rPr>
        <w:t>主要职责如下：</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贯彻执行国家、省生态环境基本制度。会同有关部门拟订生态环境政策、规划并组织实施，起草有关地方性法规和政府规章草案；会同有关部门编制并监督实施重点区域、流域、饮用水水源地生态环境规划和水功能区划。</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负责较大生态环境问题的统筹协调和监督管理。牵头协调较大环境污染事故和生态破坏事件的调查处理，指导协调较大突发生态环境事件的应急、预警工作，牵头指导实施生态环境损害赔偿制度，协调解决环境污染纠纷，统筹协调重点区域、流域生态环境保护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3、负责监督管理减排目标的落实。组织拟订各类污染物排放总量控制、排污许可证制度并监督实施，确定大气、水等纳污能力，提出实施总量控制的污染物名称和控制指标，监督检查全州污染物减排任务完成情况，实施生态环境保护目标责任制。</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4、负责提出生态环境领域固定资产投资规模和方向、生态环境部管理的中央专项资金和省生态环境厅管理的省级专项资金、州财政性资金安排的意见，按规定权限审批、核准规划内和年度计划规模内生态环境领域固定资产投资项目，配合有关部门做好组织实施和监督工作。参与指导推动循环经济和生态环保产业发展。</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5、负责环境污染防治的监督管理。监督实施大气、水、土壤、噪声、光、恶臭、固体废物、化学品、机动车等污染防治制度。会同有关部门监督管理饮用水水源地生态环境保护工作，组织指导城乡生态环境综合整治工作，监督指导农业面源污染治理工作。监督指导区域大气环境保护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6、指导协调和监督生态保护修复工作。组织编制生态保护规划，监督对生态环境有影响的自然资源开发利用活动、重要生态环境建设和生态破坏恢复工作。组织实施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7、负责核与辐射安全的监督管理。贯彻实施国家和省核与辐射安全政策、规划、标准，负责辐射环境事故应急处理工作。监督管理放射源安全，监督管理核技术应用、电磁辐射、伴有放射性矿产资源开发利用中的污染防治。</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8、负责生态环境准入的监督管理。受州政府委托对重大经济和技术政策、发展规划以及重大经济开发计划进行环境影响评价。按规定审批或审查重大开发建设区域、规划、项目环境影响评价文件。拟订并组织实施生态环境准入清单。</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9、负责生态环境监测工作。承担污染源监测、执法监测、应急监测工作，配合实施生态环境质量监测。</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10、负责应对气候变化工作。组织实施应对气候变化及温室气体减排重大战略、规划和政策，组织协调履行国家、省应对气候变化州内相关义务。</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11、统一负责生态环境监督执法。组织开展生态环境保护执法检查活动。查处生态环境违法问题。统一管理全州生态环境保护综合执法队伍建设和业务工作。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12、组织指导和协调生态环境宣传教育工作，贯彻实施生态环境保护宣传教育纲要，推动社会组织和公众参与生态环境保护。开展生态环境科技工作，组织生态环境重大科学研究和技术工程示范，推动生态环境技术管理体系建设。</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13、完成州委、州政府交办的其他任务。</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14、职能转变。州生态环境局要统一行使生态和城乡各类污染排放监管与行政执法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保障全州生态安全，建设美丽开放幸福新湘西。</w:t>
      </w: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r>
        <w:rPr>
          <w:rFonts w:hint="eastAsia" w:ascii="楷体_GB2312" w:hAnsi="仿宋_GB2312" w:eastAsia="楷体_GB2312" w:cs="仿宋_GB2312"/>
          <w:b/>
          <w:color w:val="auto"/>
          <w:spacing w:val="-2"/>
          <w:sz w:val="28"/>
          <w:szCs w:val="28"/>
          <w:lang w:eastAsia="zh-CN"/>
        </w:rPr>
        <w:t>（</w:t>
      </w:r>
      <w:r>
        <w:rPr>
          <w:rFonts w:hint="eastAsia" w:ascii="楷体_GB2312" w:hAnsi="仿宋_GB2312" w:eastAsia="楷体_GB2312" w:cs="仿宋_GB2312"/>
          <w:b/>
          <w:color w:val="auto"/>
          <w:spacing w:val="-2"/>
          <w:sz w:val="28"/>
          <w:szCs w:val="28"/>
          <w:lang w:val="en-US" w:eastAsia="zh-CN"/>
        </w:rPr>
        <w:t>二</w:t>
      </w:r>
      <w:r>
        <w:rPr>
          <w:rFonts w:hint="eastAsia" w:ascii="楷体_GB2312" w:hAnsi="仿宋_GB2312" w:eastAsia="楷体_GB2312" w:cs="仿宋_GB2312"/>
          <w:b/>
          <w:color w:val="auto"/>
          <w:spacing w:val="-2"/>
          <w:sz w:val="28"/>
          <w:szCs w:val="28"/>
          <w:lang w:eastAsia="zh-CN"/>
        </w:rPr>
        <w:t>）部门（单位）年度整体支出绩效目标，州级专项资金绩效目标、其他项目支出（除州级专项资金以外）绩效目标</w:t>
      </w:r>
    </w:p>
    <w:p>
      <w:pPr>
        <w:numPr>
          <w:ilvl w:val="0"/>
          <w:numId w:val="0"/>
        </w:numPr>
        <w:spacing w:line="600" w:lineRule="exact"/>
        <w:ind w:firstLine="546" w:firstLineChars="200"/>
        <w:rPr>
          <w:rFonts w:hint="eastAsia"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1、部门（单位）年度整体绩效目标</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湘西州生态环境局根据湖南省生态保护委员会关于印发《湖南省 2020 年生态环境保护工作要点》的通知（湘生环委发[2020]2号）、湖南省生态保护委员会关于印发《湖南省污染防治攻坚战2020年度工作方案、“夏季攻势”清单、考核细则》的通知（湘生环委发[2020]3号）指出的工作要点和任务清单，结合本部门实际设计绩效目标：a、城市环境空气质量优良率达到90%以上，地表水监测断面水质优良率达到93.3%以上，集中饮用水水源水质达到或优于Ⅲ类比例高于96.4％；全面完成主要污染物总量减排目标；防止较大及以上环境污染事件。 b、</w:t>
      </w:r>
      <w:r>
        <w:rPr>
          <w:rFonts w:hint="default" w:ascii="楷体_GB2312" w:hAnsi="仿宋_GB2312" w:eastAsia="楷体_GB2312" w:cs="仿宋_GB2312"/>
          <w:color w:val="auto"/>
          <w:spacing w:val="-4"/>
          <w:sz w:val="28"/>
          <w:szCs w:val="28"/>
          <w:lang w:val="en-US" w:eastAsia="zh-CN"/>
        </w:rPr>
        <w:t>坚决打好污染防治攻坚战，全面调查排查涉危险废物</w:t>
      </w:r>
      <w:r>
        <w:rPr>
          <w:rFonts w:hint="eastAsia" w:ascii="楷体_GB2312" w:hAnsi="仿宋_GB2312" w:eastAsia="楷体_GB2312" w:cs="仿宋_GB2312"/>
          <w:color w:val="auto"/>
          <w:spacing w:val="-4"/>
          <w:sz w:val="28"/>
          <w:szCs w:val="28"/>
          <w:lang w:val="en-US" w:eastAsia="zh-CN"/>
        </w:rPr>
        <w:t>。</w:t>
      </w:r>
      <w:r>
        <w:rPr>
          <w:rFonts w:hint="default" w:ascii="楷体_GB2312" w:hAnsi="仿宋_GB2312" w:eastAsia="楷体_GB2312" w:cs="仿宋_GB2312"/>
          <w:color w:val="auto"/>
          <w:spacing w:val="-4"/>
          <w:sz w:val="28"/>
          <w:szCs w:val="28"/>
          <w:lang w:val="en-US" w:eastAsia="zh-CN"/>
        </w:rPr>
        <w:t>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w:t>
      </w:r>
      <w:r>
        <w:rPr>
          <w:rFonts w:hint="eastAsia" w:ascii="楷体_GB2312" w:hAnsi="仿宋_GB2312" w:eastAsia="楷体_GB2312" w:cs="仿宋_GB2312"/>
          <w:color w:val="auto"/>
          <w:spacing w:val="-4"/>
          <w:sz w:val="28"/>
          <w:szCs w:val="28"/>
          <w:lang w:val="en-US" w:eastAsia="zh-CN"/>
        </w:rPr>
        <w:t>c、</w:t>
      </w:r>
      <w:r>
        <w:rPr>
          <w:rFonts w:hint="default" w:ascii="楷体_GB2312" w:hAnsi="仿宋_GB2312" w:eastAsia="楷体_GB2312" w:cs="仿宋_GB2312"/>
          <w:color w:val="auto"/>
          <w:spacing w:val="-4"/>
          <w:sz w:val="28"/>
          <w:szCs w:val="28"/>
          <w:lang w:val="en-US" w:eastAsia="zh-CN"/>
        </w:rPr>
        <w:t>持续抓好突出环境问题整改。抓紧抓好中央、省环保督察交办反馈问题。</w:t>
      </w:r>
      <w:r>
        <w:rPr>
          <w:rFonts w:hint="eastAsia" w:ascii="楷体_GB2312" w:hAnsi="仿宋_GB2312" w:eastAsia="楷体_GB2312" w:cs="仿宋_GB2312"/>
          <w:color w:val="auto"/>
          <w:spacing w:val="-4"/>
          <w:sz w:val="28"/>
          <w:szCs w:val="28"/>
          <w:lang w:val="en-US" w:eastAsia="zh-CN"/>
        </w:rPr>
        <w:t>d、</w:t>
      </w:r>
      <w:r>
        <w:rPr>
          <w:rFonts w:hint="default" w:ascii="楷体_GB2312" w:hAnsi="仿宋_GB2312" w:eastAsia="楷体_GB2312" w:cs="仿宋_GB2312"/>
          <w:color w:val="auto"/>
          <w:spacing w:val="-4"/>
          <w:sz w:val="28"/>
          <w:szCs w:val="28"/>
          <w:lang w:val="en-US" w:eastAsia="zh-CN"/>
        </w:rPr>
        <w:t xml:space="preserve">服务经济高质量发展，完成全州“三线一单”成果编制，科学编制“十四五”规划。 </w:t>
      </w:r>
    </w:p>
    <w:p>
      <w:pPr>
        <w:numPr>
          <w:ilvl w:val="0"/>
          <w:numId w:val="0"/>
        </w:numPr>
        <w:spacing w:line="600" w:lineRule="exact"/>
        <w:ind w:firstLine="546" w:firstLineChars="200"/>
        <w:rPr>
          <w:rFonts w:hint="default"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2、州级专项资金绩效目标</w:t>
      </w:r>
      <w:r>
        <w:rPr>
          <w:rFonts w:hint="default" w:ascii="楷体_GB2312" w:hAnsi="仿宋_GB2312" w:eastAsia="楷体_GB2312" w:cs="仿宋_GB2312"/>
          <w:b/>
          <w:bCs/>
          <w:color w:val="auto"/>
          <w:spacing w:val="-4"/>
          <w:sz w:val="28"/>
          <w:szCs w:val="28"/>
          <w:lang w:val="en-US" w:eastAsia="zh-CN"/>
        </w:rPr>
        <w:t xml:space="preserve"> </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湘西州生态环境局2020年共有26个州级专项资金项目，具体如下：</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（1）建设类规划、建设项目的环境影响评价、评审等方面的支出经费项目年度绩效目标：</w:t>
      </w:r>
      <w:r>
        <w:rPr>
          <w:rFonts w:hint="default" w:ascii="楷体_GB2312" w:hAnsi="仿宋_GB2312" w:eastAsia="楷体_GB2312" w:cs="仿宋_GB2312"/>
          <w:color w:val="auto"/>
          <w:spacing w:val="-4"/>
          <w:sz w:val="28"/>
          <w:szCs w:val="28"/>
          <w:lang w:val="en-US" w:eastAsia="zh-CN"/>
        </w:rPr>
        <w:t xml:space="preserve"> </w:t>
      </w:r>
      <w:r>
        <w:rPr>
          <w:rFonts w:hint="eastAsia" w:ascii="楷体_GB2312" w:hAnsi="仿宋_GB2312" w:eastAsia="楷体_GB2312" w:cs="仿宋_GB2312"/>
          <w:color w:val="auto"/>
          <w:spacing w:val="-4"/>
          <w:sz w:val="28"/>
          <w:szCs w:val="28"/>
          <w:lang w:val="en-US" w:eastAsia="zh-CN"/>
        </w:rPr>
        <w:t>a</w:t>
      </w:r>
      <w:r>
        <w:rPr>
          <w:rFonts w:hint="default" w:ascii="楷体_GB2312" w:hAnsi="仿宋_GB2312" w:eastAsia="楷体_GB2312" w:cs="仿宋_GB2312"/>
          <w:color w:val="auto"/>
          <w:spacing w:val="-4"/>
          <w:sz w:val="28"/>
          <w:szCs w:val="28"/>
          <w:lang w:val="en-US" w:eastAsia="zh-CN"/>
        </w:rPr>
        <w:t>、按计划开展全州土壤污染防治、修复督察工作；</w:t>
      </w:r>
      <w:r>
        <w:rPr>
          <w:rFonts w:hint="eastAsia" w:ascii="楷体_GB2312" w:hAnsi="仿宋_GB2312" w:eastAsia="楷体_GB2312" w:cs="仿宋_GB2312"/>
          <w:color w:val="auto"/>
          <w:spacing w:val="-4"/>
          <w:sz w:val="28"/>
          <w:szCs w:val="28"/>
          <w:lang w:val="en-US" w:eastAsia="zh-CN"/>
        </w:rPr>
        <w:t>b</w:t>
      </w:r>
      <w:r>
        <w:rPr>
          <w:rFonts w:hint="default" w:ascii="楷体_GB2312" w:hAnsi="仿宋_GB2312" w:eastAsia="楷体_GB2312" w:cs="仿宋_GB2312"/>
          <w:color w:val="auto"/>
          <w:spacing w:val="-4"/>
          <w:sz w:val="28"/>
          <w:szCs w:val="28"/>
          <w:lang w:val="en-US" w:eastAsia="zh-CN"/>
        </w:rPr>
        <w:t>、按计划开展全州大气污染防治督察工作 ；</w:t>
      </w:r>
      <w:r>
        <w:rPr>
          <w:rFonts w:hint="eastAsia" w:ascii="楷体_GB2312" w:hAnsi="仿宋_GB2312" w:eastAsia="楷体_GB2312" w:cs="仿宋_GB2312"/>
          <w:color w:val="auto"/>
          <w:spacing w:val="-4"/>
          <w:sz w:val="28"/>
          <w:szCs w:val="28"/>
          <w:lang w:val="en-US" w:eastAsia="zh-CN"/>
        </w:rPr>
        <w:t>c</w:t>
      </w:r>
      <w:r>
        <w:rPr>
          <w:rFonts w:hint="default" w:ascii="楷体_GB2312" w:hAnsi="仿宋_GB2312" w:eastAsia="楷体_GB2312" w:cs="仿宋_GB2312"/>
          <w:color w:val="auto"/>
          <w:spacing w:val="-4"/>
          <w:sz w:val="28"/>
          <w:szCs w:val="28"/>
          <w:lang w:val="en-US" w:eastAsia="zh-CN"/>
        </w:rPr>
        <w:t>、按计划开展水污染防治督察工作等；</w:t>
      </w:r>
      <w:r>
        <w:rPr>
          <w:rFonts w:hint="eastAsia" w:ascii="楷体_GB2312" w:hAnsi="仿宋_GB2312" w:eastAsia="楷体_GB2312" w:cs="仿宋_GB2312"/>
          <w:color w:val="auto"/>
          <w:spacing w:val="-4"/>
          <w:sz w:val="28"/>
          <w:szCs w:val="28"/>
          <w:lang w:val="en-US" w:eastAsia="zh-CN"/>
        </w:rPr>
        <w:t>d</w:t>
      </w:r>
      <w:r>
        <w:rPr>
          <w:rFonts w:hint="default" w:ascii="楷体_GB2312" w:hAnsi="仿宋_GB2312" w:eastAsia="楷体_GB2312" w:cs="仿宋_GB2312"/>
          <w:color w:val="auto"/>
          <w:spacing w:val="-4"/>
          <w:sz w:val="28"/>
          <w:szCs w:val="28"/>
          <w:lang w:val="en-US" w:eastAsia="zh-CN"/>
        </w:rPr>
        <w:t>、完成建设项目环评审查与监督等工作。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环境保护与管理、环境监测与监察、环境执法等支出经费项目年度绩效目标：a、按计划完成全州环境污染防治的现场监督管理；b、依法开展自然生态保护的环境监察工作；c、依法开展生态环境监察工作；d、按计划完成较大的环境污染事故的查处工作；e、按计划完成对县、市环境监察行政执法情况进行简单、检查；f、按计划完成环境监察人员的业务培训和环境监督信息管理工作。</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（3）州医疗废物处置中心运转补贴等经费项目年度绩效目标：集中处置覆盖8县市城区医疗卫生机构（含城区个体诊所）和收运干道远途乡镇卫生医院的医疗废物，医疗废物相关重大公共卫生安全事故0起。</w:t>
      </w:r>
      <w:r>
        <w:rPr>
          <w:rFonts w:hint="default" w:ascii="楷体_GB2312" w:hAnsi="仿宋_GB2312" w:eastAsia="楷体_GB2312" w:cs="仿宋_GB2312"/>
          <w:color w:val="auto"/>
          <w:spacing w:val="-4"/>
          <w:sz w:val="28"/>
          <w:szCs w:val="28"/>
          <w:lang w:val="en-US" w:eastAsia="zh-CN"/>
        </w:rPr>
        <w:t xml:space="preserve"> </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（4）离退休人员管理经费绩效目标：加强离退休党员党组织建设，增进离退休人员党组织战斗力和凝聚力,开展党建活动。</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（5）环境监测与监察绩效目标：检查各类污染源企事业、掌握辖区内企业违法事实和污染隐患，对饮用水源和沱江河管理工作。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（6）环境监察执法工作绩效目标：完成企事业单位污染隐患整改，及时掌握水质状况，定期巡查，完成年度减排任务。</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（7）生态环境测评经费绩效目标：完成日常环境常规监测和国控断面监测工作，监控环境质量，及时采取防治措施。</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（8）国家重点生态功能区县级配套资金及环保能力建设资金绩效目标：全面完成生态环境质量考核各项工作，按照国家要求保质按时上报。</w:t>
      </w:r>
      <w:r>
        <w:rPr>
          <w:rFonts w:hint="default" w:ascii="楷体_GB2312" w:hAnsi="仿宋_GB2312" w:eastAsia="楷体_GB2312" w:cs="仿宋_GB2312"/>
          <w:color w:val="auto"/>
          <w:spacing w:val="-4"/>
          <w:sz w:val="28"/>
          <w:szCs w:val="28"/>
          <w:lang w:val="en-US" w:eastAsia="zh-CN"/>
        </w:rPr>
        <w:t xml:space="preserve"> </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（9）空气站自动维护绩效目标：全面完成空气环境质量监测工作，及时维护及更换监测仪器。</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（10）农村环境整治项目前期及间接费用绩效目标：完成2021年农村污水治理项目实施方案编制，并成功申报。</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（11）环境监测经费绩效目标：a、完成白腊池、仁溪河水库、树栖科采样分析；b、完成南方水泥厂、污水处理厂、垃圾填埋场的采样分析工作；c、完成污染源和其它污染纠纷监测。</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（12）</w:t>
      </w:r>
      <w:r>
        <w:rPr>
          <w:rFonts w:hint="default" w:ascii="楷体_GB2312" w:hAnsi="仿宋_GB2312" w:eastAsia="楷体_GB2312" w:cs="仿宋_GB2312"/>
          <w:color w:val="auto"/>
          <w:spacing w:val="-4"/>
          <w:sz w:val="28"/>
          <w:szCs w:val="28"/>
          <w:lang w:val="en-US" w:eastAsia="zh-CN"/>
        </w:rPr>
        <w:t>国家重点生态功能区县域生态环境质量考核资金</w:t>
      </w:r>
      <w:r>
        <w:rPr>
          <w:rFonts w:hint="eastAsia" w:ascii="楷体_GB2312" w:hAnsi="仿宋_GB2312" w:eastAsia="楷体_GB2312" w:cs="仿宋_GB2312"/>
          <w:color w:val="auto"/>
          <w:spacing w:val="-4"/>
          <w:sz w:val="28"/>
          <w:szCs w:val="28"/>
          <w:lang w:val="en-US" w:eastAsia="zh-CN"/>
        </w:rPr>
        <w:t>绩效目标：完成2020年度地表水、饮用水、城区环境空气、污染源监测任务，完成生态功能区县域生态环境质量考核自查工作。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（13）县域生态质量考核工作经费绩效目标：及时完成县域生态环境质量调查30批次，完成县域生态环境质量调查资料汇总与考核，为政府决策提供依据，确保生态转移支付资金及时足额到位。</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（14）芙蓉镇地质公园空气自动站建设绩效目标：做好环境空气自动监测，为提升景区的空气质量提供参考数据，另一方面通过LED大屏直观的显示数据，服务游客，暂定在芙蓉镇油坊堡山顶新建一座空气自动站。</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15）环境空气自动站运行经费绩效目标：该专项资金全部用于环境空气自动站所有专用实验设备74台、空气自动站专用设备一套维护等，为区域国家重点生态质量考核和小康社会考核提供准确监测数据，日益改善人民的居住环境。</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16）环境监察大队专项工作经费绩效目标：a、环境监察次数不少于50次；b、区域环境监察覆盖面达到100%；c、案件查处大于10起；d.保障信访件办结率100%，群众满意度90%以上；e、保障较大以上环境污染事故发生数低于2起；f、保障中央（省、州）环保督查交办任务顺利完成。</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17）永顺县第二次污染源普查工作经费绩效目标：按照国家、省、州第二次全国污染源普查工作要求，完成第二次全国污染源普查档案验收、归档、数据库建设和成果汇编，并通过评估验收，2020年12月前总结表彰、公布普查结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18）环境监测站工作经费绩效目标：专项资金全部用于监测站所有专用实验设备74台、专用监测车一辆的正常运行、维护，监测药品购置及聘用人员的工资，为监督全县排污企业，第三产业“三废”达标排放状况提供准确数据，指导企业科学运行，改善人民的居住环境。</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19）县城饮用水源保护及乡镇集中饮水划定工作经费绩效目标：主要用于水源保护宣传标志牌更新、环境整治执法、保洁员工资等，调查全县生态环境质量现状，确保了生态转移支付资金及时足额到位，为政府决策提供科学数据。</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（20）租车费绩效目标：主要用于环境执法监管、污染纠纷调处、环境安全隐患排查等交通费支出。</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21）本级三线一单编制经费绩效目标：编制完成“生态保护红线、环境质量底线、资源利用上线和生态环境准入清单”，建立数据共享平台，形成全州空间、总量、准入的分区环境管控体系，12月上旬前完成发布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22）污普专项工作经费绩效目标：完成湘西州第二次全国污染普查总结发布阶段的工作任务：建立污染普查数据库，进行档案整理。编写第二次全国污染普查工作总结和技术报告。开展省级、州级评估验收工作。对湘西州污普工作开展工作表彰等。</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（23）矿区扬尘监测站建设项目绩效目标：完成矿区扬尘监测建设与联网工作。制定临近矿山道路的村民集中点扬尘监测方案，建设扬尘监测站，重点分析 1.2m-1.5m 高度空气中粉尘、铅、砷、镉等重金属的含量，完成监测设备联网”。</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（24）尾矿库渗滤液收集池建设项目绩效目标：96个尾矿库设置安全警示牌，32个尾矿库完善和建设收集池及收集沟。</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（25）尾矿库渗滤液监测井建设项目绩效目标：完成全县96座尾矿库共计172个尾矿库地下水监测井建设并完成验收，确保废水达标排放，有效改善区域生态环境质量，保障居民身体健康。</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（26）锰矿山污水处理厂提质改造工程绩效目标：完成建设项目所有前期工作，稳抓项目施工进度、质量和安全。12月底前完成三个扩建污水处理厂的基础建设。</w:t>
      </w:r>
    </w:p>
    <w:p>
      <w:pPr>
        <w:numPr>
          <w:ilvl w:val="0"/>
          <w:numId w:val="0"/>
        </w:numPr>
        <w:spacing w:line="600" w:lineRule="exact"/>
        <w:ind w:firstLine="546" w:firstLineChars="200"/>
        <w:rPr>
          <w:rFonts w:hint="eastAsia"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3、其他项目支出绩效目标</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湘西州生态环境局2020年共有47个其他项目支出，大多为经费支出和上级拨入或追加的资金无绩效目标。</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二、一般公共预算支出情况</w:t>
      </w:r>
    </w:p>
    <w:p>
      <w:pPr>
        <w:spacing w:line="600" w:lineRule="exact"/>
        <w:ind w:firstLine="643"/>
        <w:rPr>
          <w:rFonts w:hint="eastAsia" w:cs="宋体"/>
          <w:b/>
          <w:bCs/>
          <w:sz w:val="28"/>
          <w:szCs w:val="28"/>
        </w:rPr>
      </w:pPr>
      <w:r>
        <w:rPr>
          <w:rFonts w:eastAsia="楷体_GB2312"/>
          <w:b/>
          <w:bCs/>
          <w:sz w:val="28"/>
          <w:szCs w:val="28"/>
        </w:rPr>
        <w:t>（一）基本支出情</w:t>
      </w:r>
      <w:r>
        <w:rPr>
          <w:rFonts w:hint="eastAsia" w:cs="宋体"/>
          <w:b/>
          <w:bCs/>
          <w:sz w:val="28"/>
          <w:szCs w:val="28"/>
        </w:rPr>
        <w:t>况</w:t>
      </w:r>
    </w:p>
    <w:p>
      <w:pPr>
        <w:spacing w:line="600" w:lineRule="exact"/>
        <w:ind w:firstLine="643"/>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我局2020年度基本支出合计7,056.33万元，其中人员经费支出5,646.99万元，日常公用经费支出1,409.33万元。基本支出详细情况如下表：</w:t>
      </w:r>
    </w:p>
    <w:tbl>
      <w:tblPr>
        <w:tblStyle w:val="3"/>
        <w:tblW w:w="5634" w:type="pct"/>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3497"/>
        <w:gridCol w:w="1228"/>
        <w:gridCol w:w="1050"/>
        <w:gridCol w:w="1079"/>
        <w:gridCol w:w="112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656" w:type="pct"/>
            <w:shd w:val="clear" w:color="auto" w:fill="auto"/>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支出功能分类</w:t>
            </w:r>
          </w:p>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科目编码</w:t>
            </w:r>
          </w:p>
        </w:tc>
        <w:tc>
          <w:tcPr>
            <w:tcW w:w="1712" w:type="pct"/>
            <w:shd w:val="clear" w:color="auto" w:fill="auto"/>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科目名称</w:t>
            </w:r>
          </w:p>
        </w:tc>
        <w:tc>
          <w:tcPr>
            <w:tcW w:w="601" w:type="pct"/>
            <w:shd w:val="clear" w:color="auto" w:fill="auto"/>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基本支出合计</w:t>
            </w:r>
          </w:p>
        </w:tc>
        <w:tc>
          <w:tcPr>
            <w:tcW w:w="514"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工资福利支出</w:t>
            </w:r>
          </w:p>
        </w:tc>
        <w:tc>
          <w:tcPr>
            <w:tcW w:w="528"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商品和服务支出</w:t>
            </w:r>
          </w:p>
        </w:tc>
        <w:tc>
          <w:tcPr>
            <w:tcW w:w="550"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对个人和家</w:t>
            </w:r>
          </w:p>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庭的补助</w:t>
            </w:r>
          </w:p>
        </w:tc>
        <w:tc>
          <w:tcPr>
            <w:tcW w:w="435"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资本性支出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56" w:type="pct"/>
            <w:shd w:val="clear" w:color="auto" w:fill="auto"/>
            <w:noWrap/>
            <w:vAlign w:val="bottom"/>
          </w:tcPr>
          <w:p>
            <w:pPr>
              <w:widowControl/>
              <w:spacing w:line="260" w:lineRule="exact"/>
              <w:jc w:val="center"/>
              <w:rPr>
                <w:rFonts w:hint="default" w:ascii="Arial Narrow" w:hAnsi="Arial Narrow" w:eastAsia="仿宋" w:cs="Arial Narrow"/>
                <w:color w:val="000000"/>
                <w:kern w:val="0"/>
                <w:sz w:val="18"/>
                <w:szCs w:val="18"/>
              </w:rPr>
            </w:pPr>
            <w:bookmarkStart w:id="9" w:name="OLE_LINK15" w:colFirst="2" w:colLast="6"/>
          </w:p>
        </w:tc>
        <w:tc>
          <w:tcPr>
            <w:tcW w:w="1712" w:type="pct"/>
            <w:shd w:val="clear" w:color="auto" w:fill="auto"/>
            <w:noWrap/>
            <w:vAlign w:val="bottom"/>
          </w:tcPr>
          <w:p>
            <w:pPr>
              <w:widowControl/>
              <w:spacing w:line="26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合计</w:t>
            </w:r>
          </w:p>
        </w:tc>
        <w:tc>
          <w:tcPr>
            <w:tcW w:w="601"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7,056.33</w:t>
            </w:r>
          </w:p>
        </w:tc>
        <w:tc>
          <w:tcPr>
            <w:tcW w:w="514"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5,090.32</w:t>
            </w:r>
          </w:p>
        </w:tc>
        <w:tc>
          <w:tcPr>
            <w:tcW w:w="528"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1,404.34</w:t>
            </w:r>
          </w:p>
        </w:tc>
        <w:tc>
          <w:tcPr>
            <w:tcW w:w="550"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556.68</w:t>
            </w:r>
          </w:p>
        </w:tc>
        <w:tc>
          <w:tcPr>
            <w:tcW w:w="435"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4.99</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一般公共服务支出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171.63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149.91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19.22</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0.40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政府办公厅（室）及相关机构事务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86.41</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86.41</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2010301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81.13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81.13</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2010350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事业运行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5.28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5.28</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20106</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财政事务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2010650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事业运行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2010699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其他财政事务支出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eastAsia="zh-CN"/>
              </w:rPr>
            </w:pPr>
            <w:r>
              <w:rPr>
                <w:rFonts w:hint="default" w:ascii="Arial Narrow" w:hAnsi="Arial Narrow" w:eastAsia="宋体" w:cs="Arial Narrow"/>
                <w:i w:val="0"/>
                <w:iCs w:val="0"/>
                <w:color w:val="000000"/>
                <w:kern w:val="0"/>
                <w:sz w:val="18"/>
                <w:szCs w:val="18"/>
                <w:u w:val="none"/>
                <w:lang w:val="en-US" w:eastAsia="zh-CN" w:bidi="ar"/>
              </w:rPr>
              <w:t>20111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纪检监察事务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13.15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0.92</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12.23</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2011101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13.15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0.92</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12.23</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其他一般公共服务支出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70.07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62.58</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4.99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0.40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2019999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其他一般公共服务支出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70.07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62.58</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4.99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0.40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207</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文化旅游体育与传媒支出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35.00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20799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其他文化旅游体育与传媒支出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35.00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2079999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其他文化旅游体育与传媒支出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35.00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社会保障和就业支出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628.10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554.98</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14.09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59.04</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人力资源和社会保障管理事务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2080109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社会保险经办机构</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行政事业单位养老支出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582.45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529.61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14.09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38.75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行政单位离退休</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52.84</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0.00</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14.09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38.75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2080505</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机关事业单位基本养老保险缴费支出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369.94</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369.94</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2080506</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机关事业单位职业年金缴费支出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159.67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159.67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20808</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抚恤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20.29</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20.29</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2080801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死亡抚恤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19.24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19.24</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2080802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伤残抚恤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1.05</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退役安置</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退役士兵安置</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其他社会保障和就业支出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14.35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14.35</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其他社会保障和就业支出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14.35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14.35</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卫生健康支出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194.70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194.70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行政事业单位医疗</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194.70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194.70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行政单位医疗</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149.08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149.08</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事业单位医疗</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43.35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43.35</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其他行政事业单位医疗支出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节能环保支出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5,650.69</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3,954.83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1,268.49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424.48</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环境保护管理事务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4,978.73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3,739.90</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912.33</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325.31</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4,507.08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3,509.00</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711.27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286.71</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2110103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机关服务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108.28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92.47</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15.82</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其他环境保护管理事务支出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363.37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138.43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185.24</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38.60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环境监测与监察</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281.17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103.43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173.48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2.57</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2110299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其他环境监测与监察支出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281.17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103.43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173.48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2.57</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污染防治</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175.03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17.11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149.95</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7.98</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2110302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水体</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29.73</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21.79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7.95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2110399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其他污染防治支出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145.30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17.11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128.16</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0.03</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21104</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自然生态保护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139.46</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76.73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32.73</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30.00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2110402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农村环境保护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139.46</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76.73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32.73</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30.00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其他节能环保支出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76.30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17.67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58.63</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其他节能环保支出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76.30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17.67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58.63</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城乡社区支出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15.20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14.83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0.37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21208</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国有土地使用权出让收入安排的支出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0.37</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0.37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2120899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其他国有土地使用权出让收入安排的支出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0.37</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0.37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其他城乡社区支出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14.83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14.83</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其他城乡社区支出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14.83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14.83</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农林水支出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18.94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11.76</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21305</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扶贫</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18.94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11.76</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2130599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其他扶贫支出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18.94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11.76</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自然资源海洋气象等支出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61.00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61.00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22001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自然资源事务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61.00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61.00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2200101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61.00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61.00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住房保障支出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221.07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住房改革支出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221.07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2210201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住房公积金</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221.07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60.00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22999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60.00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2299901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60.00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bl>
    <w:p>
      <w:pPr>
        <w:numPr>
          <w:ilvl w:val="0"/>
          <w:numId w:val="0"/>
        </w:numPr>
        <w:spacing w:line="520" w:lineRule="exact"/>
        <w:ind w:firstLine="562" w:firstLineChars="200"/>
        <w:outlineLvl w:val="1"/>
        <w:rPr>
          <w:rFonts w:hint="eastAsia" w:ascii="楷体_GB2312" w:hAnsi="Times New Roman" w:eastAsia="楷体_GB2312" w:cs="Times New Roman"/>
          <w:b/>
          <w:bCs/>
          <w:color w:val="auto"/>
          <w:sz w:val="28"/>
          <w:szCs w:val="28"/>
          <w:lang w:val="en-US" w:eastAsia="zh-CN"/>
        </w:rPr>
      </w:pPr>
      <w:r>
        <w:rPr>
          <w:rFonts w:hint="eastAsia" w:ascii="楷体_GB2312" w:hAnsi="Times New Roman" w:eastAsia="楷体_GB2312" w:cs="Times New Roman"/>
          <w:b/>
          <w:bCs/>
          <w:color w:val="auto"/>
          <w:sz w:val="28"/>
          <w:szCs w:val="28"/>
          <w:lang w:val="en-US" w:eastAsia="zh-CN"/>
        </w:rPr>
        <w:t>（二）项目支出情况</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rPr>
        <w:t>20</w:t>
      </w:r>
      <w:r>
        <w:rPr>
          <w:rFonts w:hint="eastAsia" w:ascii="楷体_GB2312" w:hAnsi="Times New Roman" w:eastAsia="楷体_GB2312" w:cs="Times New Roman"/>
          <w:bCs/>
          <w:color w:val="auto"/>
          <w:sz w:val="28"/>
          <w:szCs w:val="28"/>
          <w:lang w:val="en-US" w:eastAsia="zh-CN"/>
        </w:rPr>
        <w:t>20</w:t>
      </w:r>
      <w:r>
        <w:rPr>
          <w:rFonts w:hint="eastAsia" w:ascii="楷体_GB2312" w:hAnsi="Times New Roman" w:eastAsia="楷体_GB2312" w:cs="Times New Roman"/>
          <w:bCs/>
          <w:color w:val="auto"/>
          <w:sz w:val="28"/>
          <w:szCs w:val="28"/>
        </w:rPr>
        <w:t>年</w:t>
      </w:r>
      <w:r>
        <w:rPr>
          <w:rFonts w:hint="eastAsia" w:ascii="楷体_GB2312" w:hAnsi="Times New Roman" w:eastAsia="楷体_GB2312" w:cs="Times New Roman"/>
          <w:bCs/>
          <w:color w:val="auto"/>
          <w:sz w:val="28"/>
          <w:szCs w:val="28"/>
          <w:lang w:val="en-US" w:eastAsia="zh-CN"/>
        </w:rPr>
        <w:t>我局</w:t>
      </w:r>
      <w:r>
        <w:rPr>
          <w:rFonts w:hint="eastAsia" w:ascii="楷体_GB2312" w:hAnsi="Times New Roman" w:eastAsia="楷体_GB2312" w:cs="Times New Roman"/>
          <w:bCs/>
          <w:color w:val="auto"/>
          <w:sz w:val="28"/>
          <w:szCs w:val="28"/>
        </w:rPr>
        <w:t>项目支出年初结转结余</w:t>
      </w:r>
      <w:bookmarkStart w:id="10" w:name="OLE_LINK23"/>
      <w:r>
        <w:rPr>
          <w:rFonts w:hint="eastAsia" w:ascii="楷体_GB2312" w:hAnsi="Times New Roman" w:eastAsia="楷体_GB2312" w:cs="Times New Roman"/>
          <w:bCs/>
          <w:color w:val="auto"/>
          <w:sz w:val="28"/>
          <w:szCs w:val="28"/>
          <w:lang w:val="en-US" w:eastAsia="zh-CN"/>
        </w:rPr>
        <w:t>12,247.26</w:t>
      </w:r>
      <w:bookmarkEnd w:id="10"/>
      <w:r>
        <w:rPr>
          <w:rFonts w:hint="eastAsia" w:ascii="楷体_GB2312" w:hAnsi="Times New Roman" w:eastAsia="楷体_GB2312" w:cs="Times New Roman"/>
          <w:bCs/>
          <w:color w:val="auto"/>
          <w:sz w:val="28"/>
          <w:szCs w:val="28"/>
          <w:lang w:val="en-US" w:eastAsia="zh-CN"/>
        </w:rPr>
        <w:t>万元，2020年年初预算1,002.20万元，</w:t>
      </w:r>
      <w:bookmarkStart w:id="11" w:name="OLE_LINK20"/>
      <w:r>
        <w:rPr>
          <w:rFonts w:hint="eastAsia" w:ascii="楷体_GB2312" w:hAnsi="Times New Roman" w:eastAsia="楷体_GB2312" w:cs="Times New Roman"/>
          <w:bCs/>
          <w:color w:val="auto"/>
          <w:sz w:val="28"/>
          <w:szCs w:val="28"/>
          <w:lang w:val="en-US" w:eastAsia="zh-CN"/>
        </w:rPr>
        <w:t>实际项目收入</w:t>
      </w:r>
      <w:bookmarkEnd w:id="11"/>
      <w:bookmarkStart w:id="12" w:name="OLE_LINK22"/>
      <w:r>
        <w:rPr>
          <w:rFonts w:hint="eastAsia" w:ascii="楷体_GB2312" w:hAnsi="Times New Roman" w:eastAsia="楷体_GB2312" w:cs="Times New Roman"/>
          <w:bCs/>
          <w:color w:val="auto"/>
          <w:sz w:val="28"/>
          <w:szCs w:val="28"/>
          <w:lang w:val="en-US" w:eastAsia="zh-CN"/>
        </w:rPr>
        <w:t>14,727.97</w:t>
      </w:r>
      <w:bookmarkEnd w:id="12"/>
      <w:r>
        <w:rPr>
          <w:rFonts w:hint="eastAsia" w:ascii="楷体_GB2312" w:hAnsi="Times New Roman" w:eastAsia="楷体_GB2312" w:cs="Times New Roman"/>
          <w:bCs/>
          <w:color w:val="auto"/>
          <w:sz w:val="28"/>
          <w:szCs w:val="28"/>
          <w:lang w:val="en-US" w:eastAsia="zh-CN"/>
        </w:rPr>
        <w:t>万元，上级和本级追加资金13,725.77万元，实际支出12,491.12万元，年末结转结余14,484.10万元，其中：</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州级专项资金年初结转结余</w:t>
      </w:r>
      <w:bookmarkStart w:id="13" w:name="OLE_LINK24"/>
      <w:r>
        <w:rPr>
          <w:rFonts w:hint="eastAsia" w:ascii="楷体_GB2312" w:hAnsi="Times New Roman" w:eastAsia="楷体_GB2312" w:cs="Times New Roman"/>
          <w:bCs/>
          <w:color w:val="auto"/>
          <w:sz w:val="28"/>
          <w:szCs w:val="28"/>
          <w:lang w:val="en-US" w:eastAsia="zh-CN"/>
        </w:rPr>
        <w:t>121.10</w:t>
      </w:r>
      <w:bookmarkEnd w:id="13"/>
      <w:r>
        <w:rPr>
          <w:rFonts w:hint="eastAsia" w:ascii="楷体_GB2312" w:hAnsi="Times New Roman" w:eastAsia="楷体_GB2312" w:cs="Times New Roman"/>
          <w:bCs/>
          <w:color w:val="auto"/>
          <w:sz w:val="28"/>
          <w:szCs w:val="28"/>
          <w:lang w:val="en-US" w:eastAsia="zh-CN"/>
        </w:rPr>
        <w:t>万元，年初预算为1,002.20万元，实际到位资2,589.08万元，实际支出</w:t>
      </w:r>
      <w:bookmarkStart w:id="14" w:name="OLE_LINK18"/>
      <w:r>
        <w:rPr>
          <w:rFonts w:hint="eastAsia" w:ascii="楷体_GB2312" w:hAnsi="Times New Roman" w:eastAsia="楷体_GB2312" w:cs="Times New Roman"/>
          <w:bCs/>
          <w:color w:val="auto"/>
          <w:sz w:val="28"/>
          <w:szCs w:val="28"/>
          <w:lang w:val="en-US" w:eastAsia="zh-CN"/>
        </w:rPr>
        <w:t>1,168.90</w:t>
      </w:r>
      <w:bookmarkEnd w:id="14"/>
      <w:r>
        <w:rPr>
          <w:rFonts w:hint="eastAsia" w:ascii="楷体_GB2312" w:hAnsi="Times New Roman" w:eastAsia="楷体_GB2312" w:cs="Times New Roman"/>
          <w:bCs/>
          <w:color w:val="auto"/>
          <w:sz w:val="28"/>
          <w:szCs w:val="28"/>
          <w:lang w:val="en-US" w:eastAsia="zh-CN"/>
        </w:rPr>
        <w:t>万元，年末结转结余</w:t>
      </w:r>
      <w:bookmarkStart w:id="15" w:name="OLE_LINK25"/>
      <w:r>
        <w:rPr>
          <w:rFonts w:hint="eastAsia" w:ascii="楷体_GB2312" w:hAnsi="Times New Roman" w:eastAsia="楷体_GB2312" w:cs="Times New Roman"/>
          <w:bCs/>
          <w:color w:val="auto"/>
          <w:sz w:val="28"/>
          <w:szCs w:val="28"/>
          <w:lang w:val="en-US" w:eastAsia="zh-CN"/>
        </w:rPr>
        <w:t>1,541.28</w:t>
      </w:r>
      <w:bookmarkEnd w:id="15"/>
      <w:r>
        <w:rPr>
          <w:rFonts w:hint="eastAsia" w:ascii="楷体_GB2312" w:hAnsi="Times New Roman" w:eastAsia="楷体_GB2312" w:cs="Times New Roman"/>
          <w:bCs/>
          <w:color w:val="auto"/>
          <w:sz w:val="28"/>
          <w:szCs w:val="28"/>
          <w:lang w:val="en-US" w:eastAsia="zh-CN"/>
        </w:rPr>
        <w:t>万元，主要为：</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（1）建设类规划、建设项目的环境影响评价、评审等方面的支出经费年初无结转结余，2020年年初预算为30万元，实际到位资金30万元，实际支出29.99万元，年末无结转结余。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环境保护与管理、环境监测与监察、环境执法等支出经费年初结转结余4.31万元，2020年年初预算为105万元，实际到位资金105万元，实际支出109.31万元，年末无结转结余，该专项资金主要用于日常环境监测监察、环境执法等经费支出。</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3）州医疗废物处置中心运转补贴等经费年初无结转结余，2020年年初预算为22.50万元，实际到位资金46.50万元，其中24万元为上级追加资金，实际支出46.50万元，该专项资金支出主要用于州医疗废物集中处置中心费用补贴。</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（4）离退休人员管理经费年初无结转结余，2020年年初预算为0.7万元，实际到位资金0.7万元，资金未使用，年末结转结余0.7万元。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（5）环境监测与监察年初结转结余115.44万元，2020年年初预算为100万元，实际到位资金0万元，实际支出115.44万元，年末无结转结余，专项资金主要用于污染隐患整改业务工作经费、日常公用经费支出。</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（6）</w:t>
      </w:r>
      <w:r>
        <w:rPr>
          <w:rFonts w:hint="default" w:ascii="楷体_GB2312" w:hAnsi="Times New Roman" w:eastAsia="楷体_GB2312" w:cs="Times New Roman"/>
          <w:bCs/>
          <w:color w:val="auto"/>
          <w:sz w:val="28"/>
          <w:szCs w:val="28"/>
          <w:lang w:val="en-US" w:eastAsia="zh-CN"/>
        </w:rPr>
        <w:t>环境监察执法工作</w:t>
      </w:r>
      <w:r>
        <w:rPr>
          <w:rFonts w:hint="eastAsia" w:ascii="楷体_GB2312" w:hAnsi="Times New Roman" w:eastAsia="楷体_GB2312" w:cs="Times New Roman"/>
          <w:bCs/>
          <w:color w:val="auto"/>
          <w:sz w:val="28"/>
          <w:szCs w:val="28"/>
          <w:lang w:val="en-US" w:eastAsia="zh-CN"/>
        </w:rPr>
        <w:t>年初无结转结余，2020年年初预算为68万元，实际到位资金65万元，实际支出65万元，年末无结转结余。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（7）生态环境测评经费年初无结转结余，2020年年初预算为4万元，实际到位资金4万元，实际支出4万元，年末无结转结余。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（8）国家重点生态功能区县级配套资金及环保能力建设资金年初无结转结余，2020年年初预算为50万元，实际到位资金50万元，实际支出45.23万元，年末结转结余4.77万元。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（9）空气站自动维护年初无结转结余，2020年年初预算为10万元，实际支出10万元，年末无结转结余。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（10）农村环境整治项目前期及间接费用年初无结转结余，2020年年初预算为10万元，实际到位资金10万元，年末无结转结余。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（11）环境监测经费年初无结转结余，2020年年初预算为6万元，实际到位资金6万元，年末无结转结余。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（12）国家重点生态功能区县域生态环境质量考核资金年初无结转结余，2020年年初预算为100万元，实际到位资金80万元，其中20万元为政府性基金拨款，实际支出76.61万元，年末结转结余3.39万元。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（13）县域生态质量考核工作经费年初结转结余1.35万元，2020年年初预算20万元，实际到位资金25.64万元，实际支出26.99万元，年末无结转结余。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（14）芙蓉镇地质公园空气自动站建设年初无结转结余，2020年年初预算180万元，实际到位资金0万元，年末无结转结余。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（15）环境空气自动站运行经费年初无结转结余，2020年年初预算110万元，实际到位资金83.56万元，实际支出83.56万元，年末无结转结余。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（16）环境监察大队专项工作经费年初无结转结余，2020年年初预算30万元，实际到位资金28万元，实际支出28万元，年末无结转结余。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（17）永顺县第二次污染源普查工作经费年初无结转结余，2020年年初预算50万元，实际到位资金151.63万元，实际支出151.63万元，年末无结转结余。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（18）环境监测站工作经费年初无结转结余，2020年年初预算63万元，实际到位资金43.05万元，实际支出43.05万元，年末无结转结余。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（19）县城饮用水源保护及乡镇集中饮水划定工作经费年初无结转结余，2020年年初预算40万元，实际到位资金0万元，年末无结转结余。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（20）租车费年初无结转结余，2020年年初预算3万元，实际到位资金0万元，年末无结转结余。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（21）本级三线一单编制经费年初无结转结余，2020年年初无预算，实际到位资金120万元，实际支出49.28万元，年末结转结余70.72万元。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（22）污普专项工作经费年初无结转结余，2020年年初无预算，实际到位资金80万元，实际支出19.75万元，年末结转结余60.25万元。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（23）矿区扬尘监测站建设项目年初无结转结余，2020年年初无预算，实际到位资金800万元，实际支出70.76万元，年末结转结余729.24万元。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（24）尾矿库渗滤液收集池建设项目年初无结转结余，2020年年初无预算，实际到位资金150万元，实际支出0万元，年末结转结余150万元。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（25）尾矿库渗滤液监测井建设项目年初无结转结余，2020年年初无预算，实际到位资金200万元，实际支出177.80万元，年末结转结余22.20万元。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（26）锰矿山污水处理厂提质改造工程年初无结转结余，2020年年初无预算，实际到位资金500万元，实际支出0万元，年末结转结余500万元。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2、其他项目支出年初结转结余12,126.16 万元，2020年年初无预算，大多为上级和本级追加资金，实际到位12,138.88 万元，实际支出11,322.23 万元，年末结转结余</w:t>
      </w:r>
      <w:bookmarkStart w:id="16" w:name="OLE_LINK26"/>
      <w:r>
        <w:rPr>
          <w:rFonts w:hint="eastAsia" w:ascii="楷体_GB2312" w:hAnsi="Times New Roman" w:eastAsia="楷体_GB2312" w:cs="Times New Roman"/>
          <w:bCs/>
          <w:color w:val="auto"/>
          <w:sz w:val="28"/>
          <w:szCs w:val="28"/>
          <w:lang w:val="en-US" w:eastAsia="zh-CN"/>
        </w:rPr>
        <w:t>12,942.81</w:t>
      </w:r>
      <w:bookmarkEnd w:id="16"/>
      <w:r>
        <w:rPr>
          <w:rFonts w:hint="eastAsia" w:ascii="楷体_GB2312" w:hAnsi="Times New Roman" w:eastAsia="楷体_GB2312" w:cs="Times New Roman"/>
          <w:bCs/>
          <w:color w:val="auto"/>
          <w:sz w:val="28"/>
          <w:szCs w:val="28"/>
          <w:lang w:val="en-US" w:eastAsia="zh-CN"/>
        </w:rPr>
        <w:t>万元，其他项目收入支出情况见下表：</w:t>
      </w:r>
    </w:p>
    <w:tbl>
      <w:tblPr>
        <w:tblStyle w:val="4"/>
        <w:tblW w:w="10388" w:type="dxa"/>
        <w:tblInd w:w="-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4997"/>
        <w:gridCol w:w="1210"/>
        <w:gridCol w:w="1293"/>
        <w:gridCol w:w="1229"/>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431" w:type="dxa"/>
            <w:vAlign w:val="center"/>
          </w:tcPr>
          <w:p>
            <w:p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序号</w:t>
            </w:r>
          </w:p>
        </w:tc>
        <w:tc>
          <w:tcPr>
            <w:tcW w:w="4997"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项目名称</w:t>
            </w:r>
          </w:p>
        </w:tc>
        <w:tc>
          <w:tcPr>
            <w:tcW w:w="1210"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年初结    转结余</w:t>
            </w:r>
          </w:p>
        </w:tc>
        <w:tc>
          <w:tcPr>
            <w:tcW w:w="1293"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本年     收入</w:t>
            </w:r>
          </w:p>
        </w:tc>
        <w:tc>
          <w:tcPr>
            <w:tcW w:w="1229"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本年     支出</w:t>
            </w:r>
          </w:p>
        </w:tc>
        <w:tc>
          <w:tcPr>
            <w:tcW w:w="1228"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年末结   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十四五规划编制经费（州重点项目专项）、公务用车购置经费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35.51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州目标管理奖励资金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州财预【2018】132号</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州财建指【2019】130号</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重金属污染治理、尾矿库治理</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4,786.67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1,635.03</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1,860.67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4,561.03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重点工作经费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194.60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194.60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土壤污染防治项目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33.44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64.26</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85.70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水污染治理</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1,590.61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4,993.41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2,487.87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执法设备购置、富余排污权指标经费、太丰中锦公司调查经费、环保协会经费、环境规划编制经费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174.39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395.00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230.77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10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运维费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11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酉水河猛洞专项行动</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22.18</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22.18</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一般行政管理经费支出</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17.96</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8.39</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项目前期费用及县级拨付污染治理工作经费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14.35</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14.35</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污水处理厂应急改造</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79.03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79.03</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污染源整治项目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污染减排</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4.26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4.26</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污染防治支出</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1,176.57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304.87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871.70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污普专项工作经费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32.41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65.10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89.50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未达账项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bookmarkStart w:id="17" w:name="OLE_LINK13" w:colFirst="2" w:colLast="5"/>
            <w:r>
              <w:rPr>
                <w:rFonts w:hint="eastAsia" w:eastAsia="仿宋" w:cs="Times New Roman"/>
                <w:sz w:val="18"/>
                <w:szCs w:val="18"/>
                <w:vertAlign w:val="baseline"/>
                <w:lang w:val="en-US" w:eastAsia="zh-CN"/>
              </w:rPr>
              <w:t>20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尾矿库监测井等污染专项治理项目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1,315.00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864.89</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062.57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117.32</w:t>
            </w: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尾矿库风险评估</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王家棚煤矿污染生态修复</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182.51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182.51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水质站建设项目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0.79</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0.79</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水源保护报告编制</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44.00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44.00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省级环保专项资金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3.69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3.69</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省拨环境质量监测保障补助经费、省级水质自动站运营管理经费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省拨ABS项目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45.44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42.67</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26.46</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生物多样性宣传</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生态考核缺口资金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32.50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32.50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生态环境监测费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城市建设支出</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44.56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42.01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大气污染防治资金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1,697.00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249.89</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1,215.86</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全州生态保护工作会议费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2.47</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2.04</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其他节能环保支出工作经费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24.01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24.01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其他环境保护支出经费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农村环境整治项目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715.08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610.28</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587.24</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节能减排工作经费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监测站毒物津贴</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9.77</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9.77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环境监测监察</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61.61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花垣县山福矿业拆除补偿</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扶贫工作队生活费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8.10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8.10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第二批省级生态环境保护督察“回头看”专项经费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传统村落保护</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291.41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291.41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城区锅炉配套除尘设施</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茶田油麦湾尾矿库整治专项经费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4.85</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艾布鲁公司污水处理厂应运费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2016年重金属重点防控区综合防治项目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38.61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38.61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31" w:type="dxa"/>
            <w:vAlign w:val="center"/>
          </w:tcPr>
          <w:p>
            <w:pPr>
              <w:spacing w:line="240" w:lineRule="auto"/>
              <w:jc w:val="center"/>
              <w:rPr>
                <w:rFonts w:hint="eastAsia" w:eastAsia="仿宋" w:cs="Times New Roman"/>
                <w:sz w:val="18"/>
                <w:szCs w:val="18"/>
                <w:vertAlign w:val="baseline"/>
                <w:lang w:val="en-US" w:eastAsia="zh-CN"/>
              </w:rPr>
            </w:pPr>
            <w:bookmarkStart w:id="18" w:name="OLE_LINK21" w:colFirst="3" w:colLast="5"/>
          </w:p>
        </w:tc>
        <w:tc>
          <w:tcPr>
            <w:tcW w:w="4997" w:type="dxa"/>
            <w:vAlign w:val="center"/>
          </w:tcPr>
          <w:p>
            <w:p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合计</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12,126.16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138.88</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11</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322.23</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942.81</w:t>
            </w:r>
          </w:p>
        </w:tc>
      </w:tr>
      <w:bookmarkEnd w:id="18"/>
    </w:tbl>
    <w:p>
      <w:pPr>
        <w:spacing w:line="520" w:lineRule="exact"/>
        <w:ind w:firstLine="562" w:firstLineChars="200"/>
        <w:outlineLvl w:val="1"/>
        <w:rPr>
          <w:rFonts w:hint="eastAsia" w:ascii="黑体" w:hAnsi="黑体" w:eastAsia="黑体" w:cs="黑体"/>
          <w:b/>
          <w:bCs/>
          <w:color w:val="auto"/>
          <w:sz w:val="28"/>
          <w:szCs w:val="28"/>
          <w:lang w:val="en-US" w:eastAsia="zh-CN"/>
        </w:rPr>
      </w:pP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三、政府性基金预算支出情况</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我局政府性基金预算收入297.03万元，支出297.03万元，其中尾矿库抢险项目支出228.08万元，支出情况主要包括：安置补助81.63万元，基础设施建设146.45万元；生态环境保护项目支出48.95万元，主要为其他资本性支出48.95万元；国家重点生态功能区县域生态环境质量考核资金支出20万元，支出情况主要包括：办公费1.70万元，邮电费1万元，物业管理费2.3万元，差旅费6.07万元，维护（修）费2.50万元，会议费0.61万元，培训费0.48万元，劳务费0.22万元，其他商品和服务支出4.83万元，办公设备购置0.29万元。</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政府性基金支出年初无预算。</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四、国有资本经营预算支出情况</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我局2020年度无国有资本经营预算拨款收入与支出。</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五、社会保险基金预算支出情况</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我局2020年度无社会保险基金预算拨款收入与支出</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六、部门整体支出绩效情况</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我局认真贯彻落实习近平生态文明思想，结合“不忘初心、牢记使命”主题教育，牢牢扛起生态环境保护工作的政治责任，完成了大气、水、土壤污染防治目标，空气环境质量优良天数达到99.5%，34个地表水监测断面水质达标率97.1%，10个集中式饮用水水质达标率100%，未发生较大及以上环境污染事件；已形成湘西州“三线一单”成果，数据应用平台开发基本完成；中央、省环保督察交办问题完成98.6%，已办结31件2020年省生态环保督察“回头看”工作；已建空气环境自动站10座、地表水环境自动站16座，安装重点污染源废水、废气在线监控设施91套，实现重点污染源在线监控全覆盖；推动污染治理市场化改革，开展排污权交易15笔金额125万余元，完成55家省级企业环境信用评价，全州所有固定源1658家企业清理发证登记完成。具体产出和效益完成情况如下：</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（一）污染防治攻坚战成效明显</w:t>
      </w:r>
      <w:r>
        <w:rPr>
          <w:rFonts w:hint="eastAsia" w:ascii="楷体_GB2312" w:hAnsi="Times New Roman" w:eastAsia="楷体_GB2312" w:cs="Times New Roman"/>
          <w:bCs/>
          <w:color w:val="auto"/>
          <w:sz w:val="28"/>
          <w:szCs w:val="28"/>
          <w:lang w:val="en-US" w:eastAsia="zh-CN"/>
        </w:rPr>
        <w:t>。紧扣环境质量目标，综合实施大气、水、土壤污染防治，深入推进工业园区、工业炉窑和燃煤锅炉、小水电清理等专项整治，扎实推进“气化湘西”建设、饮用水源保护区规范化建设，实施重点减排项目6个、水污染防治项目11个、土壤污染治理项目7个，完成2个地级、12个县级、20个“千吨万人”、163个“千人以上”饮用水水源地保护区划分工作，实施农村污水治理153个村，淘汰老旧柴油货车35辆，全面调查排查涉危险废物单位779家、111个尾矿库。2020年1-12月，空气环境质量优良天数99.5%，34个地表水监测断面水质达标率97.1%，10个集中式饮用水水质达标率100%，未发生较大及以上环境污染事件。</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（二）突出环境问题整改深入推进。</w:t>
      </w:r>
      <w:r>
        <w:rPr>
          <w:rFonts w:hint="eastAsia" w:ascii="楷体_GB2312" w:hAnsi="Times New Roman" w:eastAsia="楷体_GB2312" w:cs="Times New Roman"/>
          <w:bCs/>
          <w:color w:val="auto"/>
          <w:sz w:val="28"/>
          <w:szCs w:val="28"/>
          <w:lang w:val="en-US" w:eastAsia="zh-CN"/>
        </w:rPr>
        <w:t>高度重视突出环境问题整改，实行“一月一调度、一季一督查”，中央、省环保督察交办问题362个，已完成整改357个，完成率98.6%。高效配合完成2020年省生态环保督察“回头看”工作，交办我州的37件问题已办结31件。审计署指出的花垣县太丰冶炼公司危废超期贮存问题，提前一个月完成15.86万吨现场转移处置任务，正在按程序销号。长江经济带披露的花垣县文华锰业渣库渗滤液出现渗漏和外排问题，已启动搬迁治理预计12月底整改完成。“夏季攻势”任务清单44项完成43项，延期整改1项。</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（三）环境基础能力建设进一步加强。</w:t>
      </w:r>
      <w:r>
        <w:rPr>
          <w:rFonts w:hint="eastAsia" w:ascii="楷体_GB2312" w:hAnsi="Times New Roman" w:eastAsia="楷体_GB2312" w:cs="Times New Roman"/>
          <w:bCs/>
          <w:color w:val="auto"/>
          <w:sz w:val="28"/>
          <w:szCs w:val="28"/>
          <w:lang w:val="en-US" w:eastAsia="zh-CN"/>
        </w:rPr>
        <w:t>已建空气环境自动站10座、地表水环境自动站16座，安装重点污染源废水、废气在线监控设施91套，实现重点污染源在线监控全覆盖。启动空气自动监测系统改造升级、“天地车人”一体化移动源排放监控体系、大气网格化监测等项目建设。</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（四）协同推进经济高质量发展。</w:t>
      </w:r>
      <w:r>
        <w:rPr>
          <w:rFonts w:hint="eastAsia" w:ascii="楷体_GB2312" w:hAnsi="Times New Roman" w:eastAsia="楷体_GB2312" w:cs="Times New Roman"/>
          <w:bCs/>
          <w:color w:val="auto"/>
          <w:sz w:val="28"/>
          <w:szCs w:val="28"/>
          <w:lang w:val="en-US" w:eastAsia="zh-CN"/>
        </w:rPr>
        <w:t>一是已形成湘西州“三线一单”成果，数据应用平台开发基本完成；科学编制“十四五”生态环境保护规划，纳入重点项目116个；出台生态环境损害赔偿制度改革实施方案，启动赔偿案例10件；在全国市州级层面率先发布《湘西自治州生物多样性保护条例》。二是推动污染治理市场化改革，开展排污权交易15笔金额125万余元，完成55家省级企业环境信用评价，全州所有固定源1658家企业清理发证登记完成。三是推进跨流域生态补偿机制，州级层面与怀化市签订了跨区域生态保护补偿协议，8县市之间签订了跨流域生态保护补偿协议。四是深化“放管服”改革，持续推进简政放权，环评审批时限压减60%，实施建设项目“告知承诺”环评审批54类，79项服务事项全部纳入“互联网＋政务服务”一体化平台，实现“一件事一次办”、网上办。</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七、综合评价情况及评价结论</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2020年度我局积极履职，强化管理，较好的完成了2020年度工作目标任务，根据部门整体支出绩效评价指标体系，我局2020年度评价得分为87.31分,评价结果等次为“良”，具体评分如下：</w:t>
      </w:r>
    </w:p>
    <w:p>
      <w:pPr>
        <w:numPr>
          <w:ilvl w:val="0"/>
          <w:numId w:val="0"/>
        </w:numPr>
        <w:spacing w:line="600" w:lineRule="exact"/>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（一）投入</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1、绩效目标合理性（3分）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我局根据《湖南省 2020 年生态环境保护工作要点》的通知（湘生环委发[2020]2号）、《湖南省污染防治攻坚战2020年度工作方案、“夏季攻势”清单、考核细则》的通知（湘生环委发[2020]3号）设立目标并制定中长期计划，按照部门“三定”方案确定职责。故本次绩效目标合理性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2、绩效指标明确性（3分）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我局绩效指标是根据《湖南省 2020 年生态环境保护工作要点》的通知（湘生环委发[2020]2号）、《湖南省污染防治攻坚战2020年度工作方案、“夏季攻势”清单、考核细则》的通知（湘生环委发[2020]3号）中指出的工作方案和每年需完成的任务量设定的，绩效目标细化为具体的工作任务，例如空气质量优良率达到90%以上、地表水监测断面水质优良率达到93.3%以上、集中饮用水水源水质达到96.4％、完成“千吨万人”集中式饮用水水源问题清单20个、完成农村生活污水治理村3个、淘汰老旧柴油货车35辆等。故本次绩效目标明确性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3、在职人员控制率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根据湘西自治州人民政府及湘西自治州机构编制委员会办公室，设定湘西土家族苗族自治州生态环境局人员编制共501名。</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详细清单如下：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3"/>
        <w:gridCol w:w="1428"/>
        <w:gridCol w:w="1500"/>
        <w:gridCol w:w="1332"/>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3133" w:type="dxa"/>
            <w:vAlign w:val="center"/>
          </w:tcPr>
          <w:p>
            <w:pPr>
              <w:numPr>
                <w:ilvl w:val="0"/>
                <w:numId w:val="0"/>
              </w:numPr>
              <w:spacing w:line="240" w:lineRule="auto"/>
              <w:jc w:val="center"/>
              <w:rPr>
                <w:rFonts w:hint="default"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核算单位</w:t>
            </w:r>
          </w:p>
        </w:tc>
        <w:tc>
          <w:tcPr>
            <w:tcW w:w="1428" w:type="dxa"/>
            <w:vAlign w:val="center"/>
          </w:tcPr>
          <w:p>
            <w:pPr>
              <w:keepNext w:val="0"/>
              <w:keepLines w:val="0"/>
              <w:widowControl/>
              <w:suppressLineNumbers w:val="0"/>
              <w:jc w:val="center"/>
              <w:textAlignment w:val="center"/>
              <w:rPr>
                <w:rFonts w:hint="default" w:ascii="仿宋" w:hAnsi="仿宋" w:eastAsia="仿宋" w:cs="仿宋"/>
                <w:b w:val="0"/>
                <w:bCs w:val="0"/>
                <w:sz w:val="20"/>
                <w:szCs w:val="20"/>
                <w:vertAlign w:val="baseline"/>
                <w:lang w:val="en-US" w:eastAsia="zh-CN"/>
              </w:rPr>
            </w:pPr>
            <w:r>
              <w:rPr>
                <w:rFonts w:hint="default" w:ascii="Arial Narrow" w:hAnsi="Arial Narrow" w:eastAsia="Arial Narrow" w:cs="Arial Narrow"/>
                <w:b w:val="0"/>
                <w:bCs w:val="0"/>
                <w:i w:val="0"/>
                <w:iCs w:val="0"/>
                <w:color w:val="000000"/>
                <w:kern w:val="0"/>
                <w:sz w:val="20"/>
                <w:szCs w:val="20"/>
                <w:u w:val="none"/>
                <w:lang w:val="en-US" w:eastAsia="zh-CN" w:bidi="ar"/>
              </w:rPr>
              <w:t>2020</w:t>
            </w:r>
            <w:r>
              <w:rPr>
                <w:rFonts w:ascii="仿宋_GB2312" w:hAnsi="Arial Narrow" w:eastAsia="仿宋_GB2312" w:cs="仿宋_GB2312"/>
                <w:b w:val="0"/>
                <w:bCs w:val="0"/>
                <w:i w:val="0"/>
                <w:iCs w:val="0"/>
                <w:color w:val="000000"/>
                <w:kern w:val="0"/>
                <w:sz w:val="20"/>
                <w:szCs w:val="20"/>
                <w:u w:val="none"/>
                <w:lang w:val="en-US" w:eastAsia="zh-CN" w:bidi="ar"/>
              </w:rPr>
              <w:t>年末编制数</w:t>
            </w:r>
          </w:p>
        </w:tc>
        <w:tc>
          <w:tcPr>
            <w:tcW w:w="1500" w:type="dxa"/>
            <w:vAlign w:val="center"/>
          </w:tcPr>
          <w:p>
            <w:pPr>
              <w:keepNext w:val="0"/>
              <w:keepLines w:val="0"/>
              <w:widowControl/>
              <w:suppressLineNumbers w:val="0"/>
              <w:jc w:val="center"/>
              <w:textAlignment w:val="center"/>
              <w:rPr>
                <w:rFonts w:hint="eastAsia" w:ascii="仿宋" w:hAnsi="仿宋" w:eastAsia="仿宋" w:cs="仿宋"/>
                <w:b w:val="0"/>
                <w:bCs w:val="0"/>
                <w:sz w:val="20"/>
                <w:szCs w:val="20"/>
                <w:vertAlign w:val="baseline"/>
                <w:lang w:val="en-US" w:eastAsia="zh-CN"/>
              </w:rPr>
            </w:pPr>
            <w:r>
              <w:rPr>
                <w:rFonts w:hint="default" w:ascii="Arial Narrow" w:hAnsi="Arial Narrow" w:eastAsia="Arial Narrow" w:cs="Arial Narrow"/>
                <w:b w:val="0"/>
                <w:bCs w:val="0"/>
                <w:i w:val="0"/>
                <w:iCs w:val="0"/>
                <w:color w:val="000000"/>
                <w:kern w:val="0"/>
                <w:sz w:val="20"/>
                <w:szCs w:val="20"/>
                <w:u w:val="none"/>
                <w:lang w:val="en-US" w:eastAsia="zh-CN" w:bidi="ar"/>
              </w:rPr>
              <w:t>2020</w:t>
            </w:r>
            <w:r>
              <w:rPr>
                <w:rFonts w:ascii="仿宋_GB2312" w:hAnsi="Arial Narrow" w:eastAsia="仿宋_GB2312" w:cs="仿宋_GB2312"/>
                <w:b w:val="0"/>
                <w:bCs w:val="0"/>
                <w:i w:val="0"/>
                <w:iCs w:val="0"/>
                <w:color w:val="000000"/>
                <w:kern w:val="0"/>
                <w:sz w:val="20"/>
                <w:szCs w:val="20"/>
                <w:u w:val="none"/>
                <w:lang w:val="en-US" w:eastAsia="zh-CN" w:bidi="ar"/>
              </w:rPr>
              <w:t>年末实际在职人数</w:t>
            </w:r>
          </w:p>
        </w:tc>
        <w:tc>
          <w:tcPr>
            <w:tcW w:w="1332" w:type="dxa"/>
            <w:vAlign w:val="center"/>
          </w:tcPr>
          <w:p>
            <w:pPr>
              <w:keepNext w:val="0"/>
              <w:keepLines w:val="0"/>
              <w:widowControl/>
              <w:suppressLineNumbers w:val="0"/>
              <w:jc w:val="center"/>
              <w:textAlignment w:val="center"/>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控制率</w:t>
            </w:r>
          </w:p>
        </w:tc>
        <w:tc>
          <w:tcPr>
            <w:tcW w:w="1667" w:type="dxa"/>
            <w:vAlign w:val="center"/>
          </w:tcPr>
          <w:p>
            <w:pPr>
              <w:numPr>
                <w:ilvl w:val="0"/>
                <w:numId w:val="0"/>
              </w:numPr>
              <w:spacing w:line="240" w:lineRule="auto"/>
              <w:jc w:val="center"/>
              <w:rPr>
                <w:rFonts w:hint="default"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湘西州生态环境局本级</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65</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70.77%</w:t>
            </w:r>
          </w:p>
        </w:tc>
        <w:tc>
          <w:tcPr>
            <w:tcW w:w="1667"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湘西州环境保护科学研究所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湘西州生态环境局泸溪分局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37</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37</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湘西州生态环境局凤凰分局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51</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47</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92.16%</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湘西州生态环境局古丈分局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35</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34</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97.14%</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湘西州生态环境局花垣分局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87</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91</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104.60%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湘西州生态环境局保靖分局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46</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91.30%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湘西州生态环境局吉首分局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51</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48</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94.12%</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湘西州生态环境局永顺分局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60</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83.33%</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湘西州生态环境局龙山分局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64</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59</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92.19%</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合计</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sum(B2:B11)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501</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sum(C2:C11)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455</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91.62%</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bl>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在职人员控制率=（在职人员数/编制数）×100%</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=（455/502）×100%=91.62%</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default" w:ascii="楷体_GB2312" w:hAnsi="Times New Roman" w:eastAsia="楷体_GB2312" w:cs="Times New Roman"/>
          <w:bCs/>
          <w:color w:val="auto"/>
          <w:sz w:val="28"/>
          <w:szCs w:val="28"/>
          <w:lang w:val="en-US" w:eastAsia="zh-CN"/>
        </w:rPr>
        <w:t>湘西土家族苗族自治州生态环境局</w:t>
      </w:r>
      <w:r>
        <w:rPr>
          <w:rFonts w:hint="eastAsia" w:ascii="楷体_GB2312" w:hAnsi="Times New Roman" w:eastAsia="楷体_GB2312" w:cs="Times New Roman"/>
          <w:bCs/>
          <w:color w:val="auto"/>
          <w:sz w:val="28"/>
          <w:szCs w:val="28"/>
          <w:lang w:val="en-US" w:eastAsia="zh-CN"/>
        </w:rPr>
        <w:t>总编制人数未超编，但湘西州生态环境局花垣分局存在超标情况，超标原因是由于2020年垂直改革上划，实际上划人数92人，11月份退休一人，到2020年年底实有人数91人，湘西自治州机构编制委员会办公室上划时只核定87个编制。根据在职人员控制率评价标准：以100%为标准，湘西州生态环境局花垣分局应扣（1-104.6%）*3=0.14分，按所有单位权重比例来计算，本次在职人员控制率=3/（3*10）*（3*9+2.86）=2.99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4、“三公经费”变动率（4分）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2019年 “三公经费”预算共计195.44万元，其中公务接待费91.06万元、公务用车购置及运行费104.38万元、因公出国费0万元。</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2020年“三公经费”预算共计182.87万元，其中公务接待费78.34万元、公务用车购置及运行费104.53万元、因公出国费0万元。</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详细情况见下表：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6"/>
        <w:gridCol w:w="978"/>
        <w:gridCol w:w="1192"/>
        <w:gridCol w:w="1039"/>
        <w:gridCol w:w="1049"/>
        <w:gridCol w:w="1157"/>
        <w:gridCol w:w="981"/>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Merge w:val="restart"/>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核算单位</w:t>
            </w:r>
          </w:p>
        </w:tc>
        <w:tc>
          <w:tcPr>
            <w:tcW w:w="3228" w:type="dxa"/>
            <w:gridSpan w:val="3"/>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2019年“三公经费”预算数</w:t>
            </w:r>
          </w:p>
        </w:tc>
        <w:tc>
          <w:tcPr>
            <w:tcW w:w="3204" w:type="dxa"/>
            <w:gridSpan w:val="3"/>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2020年“三公经费”预算数</w:t>
            </w:r>
          </w:p>
        </w:tc>
        <w:tc>
          <w:tcPr>
            <w:tcW w:w="827" w:type="dxa"/>
            <w:vMerge w:val="restart"/>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1" w:type="dxa"/>
            <w:vMerge w:val="continue"/>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p>
        </w:tc>
        <w:tc>
          <w:tcPr>
            <w:tcW w:w="984" w:type="dxa"/>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公务接待费</w:t>
            </w:r>
          </w:p>
        </w:tc>
        <w:tc>
          <w:tcPr>
            <w:tcW w:w="1200" w:type="dxa"/>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公务用车购置及运行费</w:t>
            </w:r>
          </w:p>
        </w:tc>
        <w:tc>
          <w:tcPr>
            <w:tcW w:w="1044" w:type="dxa"/>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合计</w:t>
            </w:r>
          </w:p>
        </w:tc>
        <w:tc>
          <w:tcPr>
            <w:tcW w:w="1056"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公务接待费</w:t>
            </w:r>
          </w:p>
        </w:tc>
        <w:tc>
          <w:tcPr>
            <w:tcW w:w="1164"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公务用车购置及运行费</w:t>
            </w:r>
          </w:p>
        </w:tc>
        <w:tc>
          <w:tcPr>
            <w:tcW w:w="984"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合计</w:t>
            </w:r>
          </w:p>
        </w:tc>
        <w:tc>
          <w:tcPr>
            <w:tcW w:w="827" w:type="dxa"/>
            <w:vMerge w:val="continue"/>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湘西州生态环境局本级</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16.2</w:t>
            </w:r>
            <w:r>
              <w:rPr>
                <w:rFonts w:hint="eastAsia" w:ascii="Arial Narrow" w:hAnsi="Arial Narrow" w:eastAsia="Arial Narrow" w:cs="Arial Narrow"/>
                <w:i w:val="0"/>
                <w:iCs w:val="0"/>
                <w:color w:val="000000"/>
                <w:kern w:val="0"/>
                <w:sz w:val="18"/>
                <w:szCs w:val="18"/>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23.20 </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16.2</w:t>
            </w:r>
            <w:r>
              <w:rPr>
                <w:rFonts w:hint="eastAsia" w:ascii="Arial Narrow" w:hAnsi="Arial Narrow" w:eastAsia="Arial Narrow" w:cs="Arial Narrow"/>
                <w:i w:val="0"/>
                <w:iCs w:val="0"/>
                <w:color w:val="000000"/>
                <w:kern w:val="0"/>
                <w:sz w:val="18"/>
                <w:szCs w:val="18"/>
                <w:u w:val="none"/>
                <w:lang w:val="en-US" w:eastAsia="zh-CN" w:bidi="ar"/>
              </w:rPr>
              <w:t>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23.20 </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湘西州环境保护科学研究所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3.3</w:t>
            </w:r>
            <w:r>
              <w:rPr>
                <w:rFonts w:hint="eastAsia" w:ascii="Arial Narrow" w:hAnsi="Arial Narrow" w:eastAsia="Arial Narrow" w:cs="Arial Narrow"/>
                <w:i w:val="0"/>
                <w:iCs w:val="0"/>
                <w:color w:val="000000"/>
                <w:kern w:val="0"/>
                <w:sz w:val="18"/>
                <w:szCs w:val="18"/>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4.30 </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3.3</w:t>
            </w:r>
            <w:r>
              <w:rPr>
                <w:rFonts w:hint="eastAsia" w:ascii="Arial Narrow" w:hAnsi="Arial Narrow" w:eastAsia="Arial Narrow" w:cs="Arial Narrow"/>
                <w:i w:val="0"/>
                <w:iCs w:val="0"/>
                <w:color w:val="000000"/>
                <w:kern w:val="0"/>
                <w:sz w:val="18"/>
                <w:szCs w:val="18"/>
                <w:u w:val="none"/>
                <w:lang w:val="en-US" w:eastAsia="zh-CN" w:bidi="ar"/>
              </w:rPr>
              <w:t>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4.30 </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湘西州生态环境局泸溪分局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6.50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w:t>
            </w:r>
            <w:r>
              <w:rPr>
                <w:rFonts w:hint="eastAsia" w:ascii="Arial Narrow" w:hAnsi="Arial Narrow" w:eastAsia="Arial Narrow" w:cs="Arial Narrow"/>
                <w:i w:val="0"/>
                <w:iCs w:val="0"/>
                <w:color w:val="000000"/>
                <w:kern w:val="0"/>
                <w:sz w:val="18"/>
                <w:szCs w:val="18"/>
                <w:u w:val="none"/>
                <w:lang w:val="en-US" w:eastAsia="zh-CN" w:bidi="ar"/>
              </w:rPr>
              <w:t>.00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sum(B5:C5)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10.5</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2.00</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2.00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4.00</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湘西州生态环境局凤凰分局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w:t>
            </w:r>
            <w:r>
              <w:rPr>
                <w:rFonts w:hint="eastAsia" w:ascii="Arial Narrow" w:hAnsi="Arial Narrow" w:eastAsia="Arial Narrow" w:cs="Arial Narrow"/>
                <w:i w:val="0"/>
                <w:iCs w:val="0"/>
                <w:color w:val="000000"/>
                <w:kern w:val="0"/>
                <w:sz w:val="18"/>
                <w:szCs w:val="18"/>
                <w:u w:val="none"/>
                <w:lang w:val="en-US" w:eastAsia="zh-CN" w:bidi="ar"/>
              </w:rPr>
              <w:t>.00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sum(B6:C6)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16</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6.00</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11.00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17.00</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湘西州生态环境局古丈分局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4.66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w:t>
            </w:r>
            <w:r>
              <w:rPr>
                <w:rFonts w:hint="eastAsia" w:ascii="Arial Narrow" w:hAnsi="Arial Narrow" w:eastAsia="Arial Narrow" w:cs="Arial Narrow"/>
                <w:i w:val="0"/>
                <w:iCs w:val="0"/>
                <w:color w:val="000000"/>
                <w:kern w:val="0"/>
                <w:sz w:val="18"/>
                <w:szCs w:val="18"/>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sum(B7:C7)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10.76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4.66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w:t>
            </w:r>
            <w:r>
              <w:rPr>
                <w:rFonts w:hint="eastAsia" w:ascii="Arial Narrow" w:hAnsi="Arial Narrow" w:eastAsia="Arial Narrow" w:cs="Arial Narrow"/>
                <w:i w:val="0"/>
                <w:iCs w:val="0"/>
                <w:color w:val="000000"/>
                <w:kern w:val="0"/>
                <w:sz w:val="18"/>
                <w:szCs w:val="18"/>
                <w:u w:val="none"/>
                <w:lang w:val="en-US" w:eastAsia="zh-CN" w:bidi="ar"/>
              </w:rPr>
              <w:t>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sum(B7:C7)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10.76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湘西州生态环境局花垣分局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29.59</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sum(B8:C8)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36.59</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5.47</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30.14</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sum(E8:F8)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35.61</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湘西州生态环境局保靖分局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sum(B9:C9)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20</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sum(B9:C9)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20</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.00</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湘西州生态环境局吉首分局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22.40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w:t>
            </w:r>
            <w:r>
              <w:rPr>
                <w:rFonts w:hint="eastAsia" w:ascii="Arial Narrow" w:hAnsi="Arial Narrow" w:eastAsia="Arial Narrow" w:cs="Arial Narrow"/>
                <w:i w:val="0"/>
                <w:iCs w:val="0"/>
                <w:color w:val="000000"/>
                <w:kern w:val="0"/>
                <w:sz w:val="18"/>
                <w:szCs w:val="18"/>
                <w:u w:val="none"/>
                <w:lang w:val="en-US" w:eastAsia="zh-CN" w:bidi="ar"/>
              </w:rPr>
              <w:t>.00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sum(B10:C10)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31.4</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20.16</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8.10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sum(E10:F10)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28.26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湘西州生态环境局永顺分局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15.2</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sum(B11:C11)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19.7</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4.05</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12.70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sum(E11:F11)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16.75</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湘西州生态环境局龙山分局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14.99</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sum(B12:C12)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22.99</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14.99</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sum(B12:C12)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22.99</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801" w:type="dxa"/>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总计</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sum(B3:B12)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91.06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sum(C3:C12)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104.38</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sum(D3:D12)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195.44</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sum(E3:E12)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78.34</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sum(F3:F12)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104.53</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sum(G3:G12)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182.87</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-6.43%</w:t>
            </w:r>
          </w:p>
        </w:tc>
      </w:tr>
    </w:tbl>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“三公经费”变动率=【（本年度“三公经费”预算数-上年度“三公经费”预算数）/上年度“三公经费”预算数】×100%=（182.87-195.44）/195.44×100%=-6.43%</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三公”经费预算与2019年比，减少了12.57万元，下降了6.43%，但湘西州生态环境局凤凰分局较2019年增加6.25%，主要是由于该单位新进人员18人，此处不扣分。总体上来看我局贯彻落实中央八项规定、省委九项规定、党政机关厉行节约反对浪费条例，大力推进节约型机关建设，严格控制了“三公”经费支出。根据“三公经费”评价标准：“三公经费”变动率≤0，计4分；“三公经费”变动率&gt;0，每超过一个百分点扣0.4分，扣完为止。故本次“三公经费”变动率计4分。</w:t>
      </w:r>
    </w:p>
    <w:p>
      <w:pPr>
        <w:widowControl/>
        <w:numPr>
          <w:ilvl w:val="0"/>
          <w:numId w:val="1"/>
        </w:numPr>
        <w:spacing w:line="500" w:lineRule="exact"/>
        <w:ind w:left="0" w:leftChars="0" w:firstLine="562" w:firstLineChars="200"/>
        <w:jc w:val="left"/>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过程</w:t>
      </w:r>
    </w:p>
    <w:p>
      <w:pPr>
        <w:widowControl/>
        <w:numPr>
          <w:ilvl w:val="0"/>
          <w:numId w:val="2"/>
        </w:numPr>
        <w:spacing w:line="500" w:lineRule="exact"/>
        <w:ind w:left="701" w:leftChars="0" w:firstLine="0" w:firstLineChars="0"/>
        <w:jc w:val="left"/>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预算执行率（5分）</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根据2020年财政局预算批复文件、2020年决算报表得出我局2020年年初预算数为5,899.09万元，本年度追加预算16,127.11万元，预算执行数为19,844.50万元。</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预算执行率=（预算执行数/（年初预算数+本年追加预算数））*100%</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=19,844.50/（5,899.09+16,127.11）*100%=90.09%</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根据预算执行率评价标准：100%计满分，每低于5%扣1分，扣完为止，故本次预算执行率计3分。</w:t>
      </w:r>
    </w:p>
    <w:p>
      <w:pPr>
        <w:spacing w:line="500" w:lineRule="exact"/>
        <w:ind w:firstLine="562" w:firstLineChars="200"/>
        <w:outlineLvl w:val="2"/>
        <w:rPr>
          <w:rFonts w:hint="default"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2、预算调整率（5分）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预算调整率=（本年追加预算/年初预算）*100%    </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=（16,127.11-14,022.80）/5,899.09*100%=35.67% </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由于本年下半年上级和本级追加项目支出14,022.80万元，造成本年预算调整率较大。根据预算调整率评价标准：0-10%（含），计5分；11-30%（含），计4分；31-60%（含），计3分；61-100%（含）计2分；大于100%不得分。故本次预算控制率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3、结转结余率（5分）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结转结余率=（结转结余总额/支出预算数）*100%</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=（14,692.43/19,844.50）*100%=74.04%</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根据预算调整率评价标准：0-10%（含），计5分；11-30%（含），计4分；31-60%（含），计3分；61-100%（含）计2分；大于100%不得分。故本次预算控制率计2分。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4、公用经费控制率（3分）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本年度公用经费预算数为1,005.23万元，实际公用经费支出数1,404.33万元，公用经费控制率=（实际支出公用经费/预算安排公用经费总额）*100%=（1,404.33/1,005.23）*100%=139.70%，根据公用经费控制率评价标准：100%以下（含）计满分，每超出1%扣1分，扣完为止。故本次公用经费控制率0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5、政府采购执行率（6分）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本年度政府采购支出金额为252.04万元。2020年度预算数270.03万元，政府采购执行率=（实际政府金额/政府采购预算数）*100%</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=（252.04/270.03）*100%=93.34%</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根据政府采购执行率评价标准：100%计满分，每超出（降低）5%扣2分，扣完为止。故本次政府采购执行率计3.4分。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6、新建楼堂馆所面积控制率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2020年度湘西土家族苗族自治州生态环境局无完工的新建楼堂馆所。故本次新建楼堂馆所面积控制率计满分(即：1分)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7、新建楼堂管所投资概算控制率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2020年度，湘西土家族苗族自治州生态环境局无完工的新建楼堂馆所。故本次新建楼堂管所投资预算控制率计满分(即:1分)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8、管理制度健全性（8分）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制定了《湘西州环境保护管理制度机关管理制度》、《机关公文管理制度》、《会议制度》、《机关考勤管理制度》等制度，制度包括：部门厉行节约制度、湘西州环境保护局管理制度、内部财务管理制度等。我局相关管理制度健全且相关制度得到有效执行。</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管理制度健全性评价标准：有内部财务管理制度、会计核算制度等管理制度，2分；有本部门厉行节约制度，2分；相关管理制度合法、合规、完整，2分；相关管理制度得到有效执行，2分。故管理制度健全性计8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9、资金使用合规（5分）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支出符合国家财政法规和财务管理制度规定以及有关专项资金管理办法的规定，资金的拨付有完整的审批过程和手续，项目支出按规定经过评估论证，支出符合部门预算批复的用途，资金使用无截留、挤占、挪用、虚列支出等情况，根据评分标准，我局该项指标得满分5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10、预决算信息公开性（5分）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湘西土家族苗族自治州生态环境局在州政府网站上按规定内容公开预算信息、按规定时限公开预算信息、基础数据信息和会计信息资料真实、基础数据信息和会计信息资料完整、基础数据信息和汇集信息资料准确；2019年度部门决算已进行信息公开。故本次预决算信息公开信计5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11、资产管理制度健全性（2分）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制定了《湘西州环境保护局管理制度》，制度包含资产采购、配置、使用管理以及处置等规定。资产管理制度较健全且相关制度得到有效执行。根据资产管理制度健全性评价标准：已制定或具有资产管理制度，且相关资产管理制度合法、合规、完整，1分；相关资产管理制度得到有效执行，1分。故我局管理制度健全性计2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12、资产管理安全性（3分）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资产管理按照国家财政法规和财务管理制度规定以及有关资产管理制度的规定执行，并且资产采购、配置、使用管理和处置等有完整的审批过程和手续，资产使用按照“谁使用、谁保管、谁负责”的原则执行，故资产管理安全性强。根据评分标准，我局该项指标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13、固定资产利用率（3分）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固定资产利用率=（实际在用固定资产总额/所有固定资产总额）×100%=4,143.20/4,143.20×100%=100%</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我局2019年固定资产账面原值4,143.20万元，实际在用固定资产账面原值4,143.20万元，固定资产使用率100%。根据评分标准，我局该项指标计3分。</w:t>
      </w:r>
    </w:p>
    <w:p>
      <w:pPr>
        <w:widowControl/>
        <w:spacing w:line="490" w:lineRule="exact"/>
        <w:ind w:firstLine="562" w:firstLineChars="200"/>
        <w:jc w:val="left"/>
        <w:rPr>
          <w:rFonts w:hint="default" w:ascii="楷体_GB2312" w:eastAsia="楷体_GB2312"/>
          <w:b/>
          <w:bCs/>
          <w:sz w:val="28"/>
          <w:szCs w:val="28"/>
          <w:lang w:val="en-US" w:eastAsia="zh-CN"/>
        </w:rPr>
      </w:pPr>
      <w:r>
        <w:rPr>
          <w:rFonts w:hint="eastAsia" w:ascii="楷体_GB2312" w:eastAsia="楷体_GB2312"/>
          <w:b/>
          <w:bCs/>
          <w:sz w:val="28"/>
          <w:szCs w:val="28"/>
          <w:lang w:eastAsia="zh-CN"/>
        </w:rPr>
        <w:t>（</w:t>
      </w:r>
      <w:r>
        <w:rPr>
          <w:rFonts w:hint="eastAsia" w:ascii="楷体_GB2312" w:eastAsia="楷体_GB2312"/>
          <w:b/>
          <w:bCs/>
          <w:sz w:val="28"/>
          <w:szCs w:val="28"/>
          <w:lang w:val="en-US" w:eastAsia="zh-CN"/>
        </w:rPr>
        <w:t>三</w:t>
      </w:r>
      <w:r>
        <w:rPr>
          <w:rFonts w:hint="eastAsia" w:ascii="楷体_GB2312" w:eastAsia="楷体_GB2312"/>
          <w:b/>
          <w:bCs/>
          <w:sz w:val="28"/>
          <w:szCs w:val="28"/>
          <w:lang w:eastAsia="zh-CN"/>
        </w:rPr>
        <w:t>）</w:t>
      </w:r>
      <w:r>
        <w:rPr>
          <w:rFonts w:hint="eastAsia" w:ascii="楷体_GB2312" w:eastAsia="楷体_GB2312"/>
          <w:b/>
          <w:bCs/>
          <w:sz w:val="28"/>
          <w:szCs w:val="28"/>
          <w:lang w:val="en-US" w:eastAsia="zh-CN"/>
        </w:rPr>
        <w:t>产出及效益</w:t>
      </w:r>
    </w:p>
    <w:p>
      <w:pPr>
        <w:widowControl/>
        <w:spacing w:line="500" w:lineRule="exact"/>
        <w:ind w:firstLine="562" w:firstLineChars="200"/>
        <w:jc w:val="left"/>
        <w:rPr>
          <w:rFonts w:hint="default" w:ascii="楷体_GB2312" w:eastAsia="楷体_GB2312"/>
          <w:b/>
          <w:bCs/>
          <w:sz w:val="28"/>
          <w:szCs w:val="28"/>
          <w:lang w:val="en-US" w:eastAsia="zh-CN"/>
        </w:rPr>
      </w:pPr>
      <w:r>
        <w:rPr>
          <w:rFonts w:hint="eastAsia" w:ascii="楷体_GB2312" w:eastAsia="楷体_GB2312"/>
          <w:b/>
          <w:bCs/>
          <w:sz w:val="28"/>
          <w:szCs w:val="28"/>
          <w:lang w:val="en-US" w:eastAsia="zh-CN"/>
        </w:rPr>
        <w:t xml:space="preserve"> 1、重点工作办结率（8分）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根据绩效办2020年对各部门五个文明建设绩效考核定等结果。</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绩效办湘西土家族苗族自治州生态环境局的考核结果为良好，分数为99.010分。(总分100分）</w:t>
      </w:r>
    </w:p>
    <w:p>
      <w:pPr>
        <w:numPr>
          <w:ilvl w:val="0"/>
          <w:numId w:val="0"/>
        </w:numPr>
        <w:spacing w:line="600" w:lineRule="exact"/>
        <w:ind w:left="0" w:leftChars="0" w:firstLine="560" w:firstLineChars="200"/>
        <w:rPr>
          <w:rFonts w:hint="eastAsia" w:ascii="楷体_GB2312" w:eastAsia="楷体_GB2312"/>
          <w:sz w:val="28"/>
          <w:szCs w:val="28"/>
          <w:lang w:val="en-US" w:eastAsia="zh-CN"/>
        </w:rPr>
      </w:pPr>
      <w:r>
        <w:rPr>
          <w:rFonts w:hint="eastAsia" w:ascii="楷体_GB2312" w:eastAsia="楷体_GB2312"/>
          <w:sz w:val="28"/>
          <w:szCs w:val="28"/>
          <w:lang w:val="en-US" w:eastAsia="zh-CN"/>
        </w:rPr>
        <w:t>重点工作实际完成率=99.010/100×8=7.92分</w:t>
      </w:r>
    </w:p>
    <w:p>
      <w:pPr>
        <w:numPr>
          <w:ilvl w:val="0"/>
          <w:numId w:val="2"/>
        </w:numPr>
        <w:spacing w:line="600" w:lineRule="exact"/>
        <w:ind w:left="701" w:leftChars="0" w:firstLine="0" w:firstLineChars="0"/>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社会效益（2分）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一是形成湘西州“三线一单”成果，数据应用平台开发基本完成；科学编制“十四五”生态环境保护规划，纳入重点项目116个；出台生态环境损害赔偿制度改革实施方案，启动赔偿案例10件；在全国市州级层面率先发布《湘西自治州生物多样性保护条例》。二是推动污染治理市场化改革，开展排污权交易15笔金额125万余元，完成55家省级企业环境信用评价，全州所有固定源1658家企业清理发证登记完成。三是推进跨流域生态补偿机制，州级层面与怀化市签订了跨区域生态保护补偿协议，8县市之间签订了跨流域生态保护补偿协议。四是深化“放管服”改革，持续推进简政放权，环评审批时限压减60%，实施建设项目“告知承诺”环评审批54类，79项服务事项全部纳入“互联网＋政务服务”一体化平台，实现“一件事一次办”、网上办。</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根据评分标准，故本次社会效益计2分。</w:t>
      </w:r>
    </w:p>
    <w:p>
      <w:pPr>
        <w:numPr>
          <w:ilvl w:val="0"/>
          <w:numId w:val="0"/>
        </w:numPr>
        <w:spacing w:line="600" w:lineRule="exact"/>
        <w:ind w:left="0" w:leftChars="0" w:firstLine="562" w:firstLineChars="200"/>
        <w:rPr>
          <w:rFonts w:hint="default" w:ascii="楷体_GB2312" w:eastAsia="楷体_GB2312"/>
          <w:b/>
          <w:bCs/>
          <w:sz w:val="28"/>
          <w:szCs w:val="28"/>
          <w:lang w:val="en-US" w:eastAsia="zh-CN"/>
        </w:rPr>
      </w:pPr>
      <w:r>
        <w:rPr>
          <w:rFonts w:hint="eastAsia" w:ascii="楷体_GB2312" w:eastAsia="楷体_GB2312"/>
          <w:b/>
          <w:bCs/>
          <w:sz w:val="28"/>
          <w:szCs w:val="28"/>
          <w:lang w:val="en-US" w:eastAsia="zh-CN"/>
        </w:rPr>
        <w:t>3、生态效益（2分）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紧扣环境质量目标，综合实施大气、水、土壤污染防治，深入推进工业园区、工业炉窑和燃煤锅炉、小水电清理等专项整治，扎实推进“气化湘西”建设、饮用水源保护区规范化建设，实施重点减排项目6个、水污染防治项目11个、土壤污染治理项目7个，完成2个地级、12个县级、20个“千吨万人”、163个“千人以上”饮用水水源地保护区划分工作，实施农村污水治理153个村，淘汰老旧柴油货车35辆，全面调查排查涉危险废物单位779家、111个尾矿库。2020年1-12月，空气环境质量优良天数99.5%，34个地表水监测断面水质达标率97.1%，10个集中式饮用水水质达标率100%，未发生较大及以上环境污染事件。</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根据评分标准，故本次社会效益计2分。</w:t>
      </w:r>
    </w:p>
    <w:p>
      <w:pPr>
        <w:numPr>
          <w:ilvl w:val="0"/>
          <w:numId w:val="0"/>
        </w:numPr>
        <w:spacing w:line="600" w:lineRule="exact"/>
        <w:ind w:left="701" w:leftChars="0"/>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4、可持续影响（2分）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default" w:ascii="楷体_GB2312" w:hAnsi="Times New Roman" w:eastAsia="楷体_GB2312" w:cs="Times New Roman"/>
          <w:bCs/>
          <w:color w:val="auto"/>
          <w:sz w:val="28"/>
          <w:szCs w:val="28"/>
          <w:lang w:val="en-US" w:eastAsia="zh-CN"/>
        </w:rPr>
        <w:t>通过严格执法、强化工作调度、强化环保宣传、提升全社会环保意识、促进生态环境质量持续改善</w:t>
      </w:r>
      <w:r>
        <w:rPr>
          <w:rFonts w:hint="eastAsia" w:ascii="楷体_GB2312" w:hAnsi="Times New Roman" w:eastAsia="楷体_GB2312" w:cs="Times New Roman"/>
          <w:bCs/>
          <w:color w:val="auto"/>
          <w:sz w:val="28"/>
          <w:szCs w:val="28"/>
          <w:lang w:val="en-US" w:eastAsia="zh-CN"/>
        </w:rPr>
        <w:t>。</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根据评分标准，故本次社会效益计2分。</w:t>
      </w:r>
    </w:p>
    <w:p>
      <w:pPr>
        <w:widowControl/>
        <w:spacing w:line="500" w:lineRule="exact"/>
        <w:ind w:firstLine="562" w:firstLineChars="200"/>
        <w:jc w:val="left"/>
        <w:rPr>
          <w:rFonts w:hint="eastAsia" w:ascii="楷体_GB2312" w:eastAsia="楷体_GB2312"/>
          <w:b/>
          <w:bCs/>
          <w:sz w:val="28"/>
          <w:szCs w:val="28"/>
        </w:rPr>
      </w:pPr>
      <w:r>
        <w:rPr>
          <w:rFonts w:hint="eastAsia" w:ascii="楷体_GB2312" w:eastAsia="楷体_GB2312"/>
          <w:b/>
          <w:bCs/>
          <w:sz w:val="28"/>
          <w:szCs w:val="28"/>
          <w:lang w:val="en-US" w:eastAsia="zh-CN"/>
        </w:rPr>
        <w:t>5、</w:t>
      </w:r>
      <w:r>
        <w:rPr>
          <w:rFonts w:hint="eastAsia" w:ascii="楷体_GB2312" w:eastAsia="楷体_GB2312"/>
          <w:b/>
          <w:bCs/>
          <w:sz w:val="28"/>
          <w:szCs w:val="28"/>
        </w:rPr>
        <w:t>行政效能（6分）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我局2020年度不断改善行政管理，加强制度体系建设，改进了会风、精简会议、文件，严格资产管理和经费使用，积极推动政务公开，行政效率提高，行政成本进一步降低。根据评分标准，故本次行政效能计6分。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eastAsia="楷体_GB2312" w:cs="Times New Roman"/>
          <w:b/>
          <w:bCs w:val="0"/>
          <w:color w:val="auto"/>
          <w:sz w:val="28"/>
          <w:szCs w:val="28"/>
          <w:lang w:val="en-US" w:eastAsia="zh-CN"/>
        </w:rPr>
        <w:t>6</w:t>
      </w:r>
      <w:r>
        <w:rPr>
          <w:rFonts w:hint="eastAsia" w:ascii="楷体_GB2312" w:hAnsi="Times New Roman" w:eastAsia="楷体_GB2312" w:cs="Times New Roman"/>
          <w:b/>
          <w:bCs w:val="0"/>
          <w:color w:val="auto"/>
          <w:sz w:val="28"/>
          <w:szCs w:val="28"/>
          <w:lang w:val="en-US" w:eastAsia="zh-CN"/>
        </w:rPr>
        <w:t>、社会公众或服务对象满意度（6分）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社会公众或服务对象满意度达到95%，故本次社会公众或服务对象满意度计6分。</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八、主要经验做法、存在的问题及原因分析</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专项资金绩效目标编制不规范，部分专项资金无绩效目标申报表。州级年初有预算的专项资金才设立绩效目标申报表，后期追加和上级拨入的专项资金都未设立绩效目标申报表，州级专项资金虽有绩效目标申报表，但内容没有细化到年度需完成的绩效目标，特别是延续性项目，绩效目标仍使用项目长期的绩效目标，没有按项目本年度实际可完成的指标值来设立，从绩效目标申报表上无法核实本年度该项目产出及效益，指标设立不够清晰、细化、可衡量，导致绩效目标匹配性较差。原因分析：州级专项资金以外的其他项目支出无绩效目标申报表是由于该部分资金未通过单位预算申请，后续也未进行补充。绩效目标不规范主要是相关人员缺乏专业培训。</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default" w:ascii="楷体_GB2312" w:hAnsi="Times New Roman" w:eastAsia="楷体_GB2312" w:cs="Times New Roman"/>
          <w:bCs/>
          <w:color w:val="auto"/>
          <w:sz w:val="28"/>
          <w:szCs w:val="28"/>
          <w:lang w:val="en-US" w:eastAsia="zh-CN"/>
        </w:rPr>
        <w:t>预算编制不够完善。年初开展预算编制工作时，不够准确完整，</w:t>
      </w:r>
      <w:r>
        <w:rPr>
          <w:rFonts w:hint="eastAsia" w:ascii="楷体_GB2312" w:hAnsi="Times New Roman" w:eastAsia="楷体_GB2312" w:cs="Times New Roman"/>
          <w:bCs/>
          <w:color w:val="auto"/>
          <w:sz w:val="28"/>
          <w:szCs w:val="28"/>
          <w:lang w:val="en-US" w:eastAsia="zh-CN"/>
        </w:rPr>
        <w:t>导致年内预算调整率大，使预算调整率、公用经费控制率、预算执行率、政府采购执行率、结转结余率等指标打分较低影响单位评分及评价等次。原因分析：预算调整率、预算执行率和结转结余率等指标打分较低是由于上级追加项目资金过多，大部分资金都是年末追加，资金来不及使用造成年末结转结余较大，影响本年度预算调整；公用经费和政府采购执行率较低是由于年初编制的预算不够精确。</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九、有关建议</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注重长短期绩效目标的衔接，合理设置年度绩效指标。项目主管部门应进一步加强绩效评价工作的管理，组织相关人员开展绩效评价工作专项培训，针对绩效目标设定提出统一要求，细化工作流程，促进绩效工作质量提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加强预算制定过程的科学性管理，提升预算方案的质量。加强预算编制的合理性及会计核算的规范性。进一步加强单位预算管理意识，严格按照预算编制的相关制度和要求，编制范围尽可能全面，不漏项，在预算编制时首先需满足固定性的、相对刚性的费用支出项目，尽量压缩变动性、有控制空间的费用项目，提高预算科学性、准确性。</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十、绩效自评结果拟应用和公开情况</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按照绩效评价指标表确定的评分细则，通过对各项指标逐一评价，本单位部门整体支出绩效评价得分是：投入绩效为13.99分，过程绩效为47.4分，产出及效率绩效为25.92分，总绩效为87.31分（各项得分明细详见部门整体支出绩效评价指标表）。评价结果等次为“良”。</w:t>
      </w:r>
    </w:p>
    <w:p>
      <w:pPr>
        <w:spacing w:line="500" w:lineRule="exact"/>
        <w:ind w:firstLine="280" w:firstLineChars="1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本单位2019年度绩效评价报告已于2019年6月在湘西土家族苗族自治州生态环境局门户网站上公示， 2020年度绩效评价报告将在绩效评价工作完成、结果递交财政后，于湘西土家族苗族自治州生态环境局门户网站上公开。</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十一、其他需要说明的问题</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本年度无其他需要说明的问题。</w:t>
      </w:r>
    </w:p>
    <w:p>
      <w:pPr>
        <w:spacing w:line="520" w:lineRule="exact"/>
        <w:ind w:firstLine="562" w:firstLineChars="200"/>
        <w:outlineLvl w:val="1"/>
        <w:rPr>
          <w:rFonts w:hint="default"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 xml:space="preserve">十二、报告附件  </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附件1：部门整体支出绩效评价指标表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附件2：州级预算部门整体支出绩效评价基础数据表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附件3：州级预算部门整体支出绩效自评表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附件4-2：州级预算部门项目支出绩效自评表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附件4-3：州级预算部门项目支出绩效自评表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附件4-4：州级预算部门项目支出绩效自评表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附件4-5：州级预算部门项目支出绩效自评表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附件4-6：州级预算部门项目支出绩效自评表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附件4-7：州级预算部门项目支出绩效自评表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附件4-8：州级预算部门项目支出绩效自评表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附件4-9：州级预算部门项目支出绩效自评表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附件4-10：州级预算部门项目支出绩效自评表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附件4-11：州级预算部门项目支出绩效自评表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附件4-12：州级预算部门项目支出绩效自评表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附件4-13：州级预算部门项目支出绩效自评表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附件4-14：州级预算部门项目支出绩效自评表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附件4-15：州级预算部门项目支出绩效自评表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附件4-16：州级预算部门项目支出绩效自评表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附件5：湘西土家族苗族自治州生态环境局关于开展2020年度部门整体支出绩效自评工作的通知</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sectPr>
          <w:pgSz w:w="11906" w:h="16838"/>
          <w:pgMar w:top="1417" w:right="1531" w:bottom="1984" w:left="1531" w:header="851" w:footer="992" w:gutter="0"/>
          <w:cols w:space="425" w:num="1"/>
          <w:docGrid w:type="lines" w:linePitch="312" w:charSpace="0"/>
        </w:sectPr>
      </w:pPr>
    </w:p>
    <w:p>
      <w:pPr>
        <w:widowControl/>
        <w:snapToGrid w:val="0"/>
        <w:spacing w:line="578" w:lineRule="atLeast"/>
        <w:jc w:val="left"/>
        <w:rPr>
          <w:rFonts w:hint="eastAsia" w:ascii="仿宋" w:hAnsi="仿宋" w:eastAsia="仿宋" w:cs="仿宋"/>
          <w:b w:val="0"/>
          <w:bCs w:val="0"/>
          <w:kern w:val="0"/>
          <w:sz w:val="32"/>
          <w:szCs w:val="32"/>
          <w:lang w:val="en-US" w:eastAsia="zh-CN"/>
        </w:rPr>
      </w:pPr>
      <w:r>
        <w:rPr>
          <w:rFonts w:hint="eastAsia" w:ascii="仿宋" w:hAnsi="仿宋" w:eastAsia="仿宋" w:cs="仿宋"/>
          <w:b/>
          <w:bCs/>
          <w:kern w:val="0"/>
          <w:sz w:val="32"/>
          <w:szCs w:val="32"/>
        </w:rPr>
        <w:t>附</w:t>
      </w:r>
      <w:r>
        <w:rPr>
          <w:rFonts w:hint="eastAsia" w:ascii="仿宋" w:hAnsi="仿宋" w:eastAsia="仿宋" w:cs="仿宋"/>
          <w:b/>
          <w:bCs/>
          <w:kern w:val="0"/>
          <w:sz w:val="32"/>
          <w:szCs w:val="32"/>
          <w:lang w:val="en-US" w:eastAsia="zh-CN"/>
        </w:rPr>
        <w:t>件</w:t>
      </w:r>
      <w:r>
        <w:rPr>
          <w:rFonts w:hint="eastAsia" w:ascii="仿宋" w:hAnsi="仿宋" w:eastAsia="仿宋" w:cs="仿宋"/>
          <w:b/>
          <w:bCs/>
          <w:kern w:val="0"/>
          <w:sz w:val="32"/>
          <w:szCs w:val="32"/>
        </w:rPr>
        <w:t>1</w:t>
      </w:r>
      <w:r>
        <w:rPr>
          <w:rFonts w:hint="eastAsia" w:ascii="仿宋" w:hAnsi="仿宋" w:eastAsia="仿宋" w:cs="仿宋"/>
          <w:b/>
          <w:bCs/>
          <w:kern w:val="0"/>
          <w:sz w:val="32"/>
          <w:szCs w:val="32"/>
          <w:lang w:val="en-US" w:eastAsia="zh-CN"/>
        </w:rPr>
        <w:t>:</w:t>
      </w:r>
    </w:p>
    <w:p>
      <w:pPr>
        <w:widowControl/>
        <w:snapToGrid w:val="0"/>
        <w:spacing w:line="360" w:lineRule="auto"/>
        <w:jc w:val="center"/>
        <w:rPr>
          <w:rFonts w:hint="eastAsia" w:ascii="仿宋" w:hAnsi="仿宋" w:eastAsia="仿宋" w:cs="仿宋"/>
          <w:b/>
          <w:bCs/>
          <w:kern w:val="0"/>
          <w:sz w:val="36"/>
          <w:szCs w:val="36"/>
        </w:rPr>
      </w:pPr>
      <w:r>
        <w:rPr>
          <w:rFonts w:hint="eastAsia" w:ascii="仿宋" w:hAnsi="仿宋" w:eastAsia="仿宋" w:cs="仿宋"/>
          <w:b/>
          <w:bCs/>
          <w:kern w:val="0"/>
          <w:sz w:val="36"/>
          <w:szCs w:val="36"/>
        </w:rPr>
        <w:t>部门整体支出绩效评价指标表</w:t>
      </w:r>
    </w:p>
    <w:tbl>
      <w:tblPr>
        <w:tblStyle w:val="3"/>
        <w:tblW w:w="51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692"/>
        <w:gridCol w:w="686"/>
        <w:gridCol w:w="651"/>
        <w:gridCol w:w="1097"/>
        <w:gridCol w:w="813"/>
        <w:gridCol w:w="4311"/>
        <w:gridCol w:w="4620"/>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267"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一级</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239"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237"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二级</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225"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379"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三级</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281" w:type="pct"/>
            <w:noWrap w:val="0"/>
            <w:vAlign w:val="center"/>
          </w:tcPr>
          <w:p>
            <w:pPr>
              <w:widowControl/>
              <w:spacing w:line="260" w:lineRule="exact"/>
              <w:ind w:left="6" w:leftChars="-31" w:hanging="71" w:hangingChars="34"/>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1489"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评价标准</w:t>
            </w:r>
          </w:p>
        </w:tc>
        <w:tc>
          <w:tcPr>
            <w:tcW w:w="1595"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指标说明</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26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投入</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4</w:t>
            </w: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目标</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设定</w:t>
            </w:r>
          </w:p>
        </w:tc>
        <w:tc>
          <w:tcPr>
            <w:tcW w:w="225" w:type="pct"/>
            <w:vMerge w:val="restar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7</w:t>
            </w:r>
          </w:p>
        </w:tc>
        <w:tc>
          <w:tcPr>
            <w:tcW w:w="379" w:type="pct"/>
            <w:noWrap w:val="0"/>
            <w:vAlign w:val="center"/>
          </w:tcPr>
          <w:p>
            <w:pPr>
              <w:spacing w:line="260" w:lineRule="exact"/>
              <w:ind w:right="-38" w:rightChars="-18"/>
              <w:jc w:val="left"/>
              <w:rPr>
                <w:rFonts w:hint="eastAsia" w:ascii="仿宋" w:hAnsi="仿宋" w:eastAsia="仿宋" w:cs="仿宋"/>
                <w:sz w:val="21"/>
                <w:szCs w:val="21"/>
              </w:rPr>
            </w:pPr>
            <w:r>
              <w:rPr>
                <w:rFonts w:hint="eastAsia" w:ascii="仿宋" w:hAnsi="仿宋" w:eastAsia="仿宋" w:cs="仿宋"/>
                <w:sz w:val="21"/>
                <w:szCs w:val="21"/>
              </w:rPr>
              <w:t>绩效目标</w:t>
            </w:r>
          </w:p>
          <w:p>
            <w:pPr>
              <w:spacing w:line="260" w:lineRule="exact"/>
              <w:rPr>
                <w:rFonts w:hint="eastAsia" w:ascii="仿宋" w:hAnsi="仿宋" w:eastAsia="仿宋" w:cs="仿宋"/>
                <w:sz w:val="21"/>
                <w:szCs w:val="21"/>
              </w:rPr>
            </w:pPr>
            <w:r>
              <w:rPr>
                <w:rFonts w:hint="eastAsia" w:ascii="仿宋" w:hAnsi="仿宋" w:eastAsia="仿宋" w:cs="仿宋"/>
                <w:sz w:val="21"/>
                <w:szCs w:val="21"/>
              </w:rPr>
              <w:t>合理性</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①符合国家法律法规、国民经济和社会发展总体规划；</w:t>
            </w:r>
            <w:r>
              <w:rPr>
                <w:rFonts w:hint="eastAsia" w:ascii="仿宋" w:hAnsi="仿宋" w:eastAsia="仿宋" w:cs="仿宋"/>
                <w:kern w:val="0"/>
                <w:sz w:val="21"/>
                <w:szCs w:val="21"/>
              </w:rPr>
              <w:br w:type="textWrapping"/>
            </w:r>
            <w:r>
              <w:rPr>
                <w:rFonts w:hint="eastAsia" w:ascii="仿宋" w:hAnsi="仿宋" w:eastAsia="仿宋" w:cs="仿宋"/>
                <w:kern w:val="0"/>
                <w:sz w:val="21"/>
                <w:szCs w:val="21"/>
              </w:rPr>
              <w:t>②符合部门“三定”方案确定的职责；</w:t>
            </w:r>
            <w:r>
              <w:rPr>
                <w:rFonts w:hint="eastAsia" w:ascii="仿宋" w:hAnsi="仿宋" w:eastAsia="仿宋" w:cs="仿宋"/>
                <w:kern w:val="0"/>
                <w:sz w:val="21"/>
                <w:szCs w:val="21"/>
              </w:rPr>
              <w:br w:type="textWrapping"/>
            </w:r>
            <w:r>
              <w:rPr>
                <w:rFonts w:hint="eastAsia" w:ascii="仿宋" w:hAnsi="仿宋" w:eastAsia="仿宋" w:cs="仿宋"/>
                <w:kern w:val="0"/>
                <w:sz w:val="21"/>
                <w:szCs w:val="21"/>
              </w:rPr>
              <w:t>③符合部门制定的中长期实施规划。以上情况每出现一例不符合要求的扣1分，扣完为止。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部门所设立的整体绩效目标依据是否充分，是否符合客观实际，用以反映和考核部门整体绩效目标与部门履职、年度工作任务的相符性情况。</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26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right="-38" w:rightChars="-18"/>
              <w:jc w:val="left"/>
              <w:rPr>
                <w:rFonts w:hint="eastAsia" w:ascii="仿宋" w:hAnsi="仿宋" w:eastAsia="仿宋" w:cs="仿宋"/>
                <w:sz w:val="21"/>
                <w:szCs w:val="21"/>
              </w:rPr>
            </w:pPr>
            <w:r>
              <w:rPr>
                <w:rFonts w:hint="eastAsia" w:ascii="仿宋" w:hAnsi="仿宋" w:eastAsia="仿宋" w:cs="仿宋"/>
                <w:sz w:val="21"/>
                <w:szCs w:val="21"/>
              </w:rPr>
              <w:t>绩效指标</w:t>
            </w:r>
          </w:p>
          <w:p>
            <w:pPr>
              <w:spacing w:line="260" w:lineRule="exact"/>
              <w:rPr>
                <w:rFonts w:hint="eastAsia" w:ascii="仿宋" w:hAnsi="仿宋" w:eastAsia="仿宋" w:cs="仿宋"/>
                <w:sz w:val="21"/>
                <w:szCs w:val="21"/>
              </w:rPr>
            </w:pPr>
            <w:r>
              <w:rPr>
                <w:rFonts w:hint="eastAsia" w:ascii="仿宋" w:hAnsi="仿宋" w:eastAsia="仿宋" w:cs="仿宋"/>
                <w:sz w:val="21"/>
                <w:szCs w:val="21"/>
              </w:rPr>
              <w:t>明确性</w:t>
            </w:r>
          </w:p>
        </w:tc>
        <w:tc>
          <w:tcPr>
            <w:tcW w:w="281" w:type="pc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①将部门整体的绩效目标细化分解为具体的工作任务；②通过清晰、可衡量的指标值予以体现。 ③与部门年度的任务数或计划数相对应；④与本年度部门预算资金相匹配。以上情况每出现一例不符合要求的扣1分，扣完为止。</w:t>
            </w:r>
          </w:p>
        </w:tc>
        <w:tc>
          <w:tcPr>
            <w:tcW w:w="1595" w:type="pct"/>
            <w:noWrap w:val="0"/>
            <w:vAlign w:val="center"/>
          </w:tcPr>
          <w:p>
            <w:pPr>
              <w:tabs>
                <w:tab w:val="left" w:pos="2604"/>
              </w:tabs>
              <w:spacing w:line="260" w:lineRule="exact"/>
              <w:ind w:right="-4" w:rightChars="-2"/>
              <w:rPr>
                <w:rFonts w:hint="eastAsia" w:ascii="仿宋" w:hAnsi="仿宋" w:eastAsia="仿宋" w:cs="仿宋"/>
                <w:sz w:val="21"/>
                <w:szCs w:val="21"/>
              </w:rPr>
            </w:pPr>
            <w:r>
              <w:rPr>
                <w:rFonts w:hint="eastAsia" w:ascii="仿宋" w:hAnsi="仿宋" w:eastAsia="仿宋" w:cs="仿宋"/>
                <w:sz w:val="21"/>
                <w:szCs w:val="21"/>
              </w:rPr>
              <w:t>部门依据整体绩效目标所设定的绩效指标是否清晰、细化、可衡量，用以反映和考核部门整体绩效目标的明细化情况。</w:t>
            </w:r>
          </w:p>
        </w:tc>
        <w:tc>
          <w:tcPr>
            <w:tcW w:w="286" w:type="pct"/>
            <w:noWrap w:val="0"/>
            <w:vAlign w:val="center"/>
          </w:tcPr>
          <w:p>
            <w:pPr>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26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7" w:type="pct"/>
            <w:vMerge w:val="restar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w:t>
            </w:r>
          </w:p>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配置</w:t>
            </w:r>
          </w:p>
        </w:tc>
        <w:tc>
          <w:tcPr>
            <w:tcW w:w="225" w:type="pct"/>
            <w:vMerge w:val="restar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379" w:type="pct"/>
            <w:noWrap w:val="0"/>
            <w:vAlign w:val="center"/>
          </w:tcPr>
          <w:p>
            <w:pPr>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在职人员控制率</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以100%为标准。在职人员控制率≦100%，计3分；每超过一个百分点扣0.5分，扣完为止。</w:t>
            </w:r>
          </w:p>
        </w:tc>
        <w:tc>
          <w:tcPr>
            <w:tcW w:w="1595"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在职人员控制率=（在职人员数/编制数）×100%，在职人员数：部门（单位）实际在职人数，以财政确定的部门决算编制口径为准。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编制数：机构编制部门核定批复的部门（单位）的人员编制数。</w:t>
            </w:r>
          </w:p>
        </w:tc>
        <w:tc>
          <w:tcPr>
            <w:tcW w:w="286" w:type="pct"/>
            <w:noWrap w:val="0"/>
            <w:vAlign w:val="center"/>
          </w:tcPr>
          <w:p>
            <w:pPr>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“三公经费”变动率≦0,计4分；“三公经费”＞0，每超过一个百分点扣0.4分，扣完为止。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“三公经费”变动率=[（本年度“三公经费”预算数-上年度“三公经费”预算数）/上年度“三公经费”预算数]×100%</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过程</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6</w:t>
            </w:r>
            <w:r>
              <w:rPr>
                <w:rFonts w:hint="eastAsia" w:ascii="仿宋" w:hAnsi="仿宋" w:eastAsia="仿宋" w:cs="仿宋"/>
                <w:kern w:val="0"/>
                <w:sz w:val="21"/>
                <w:szCs w:val="21"/>
                <w:lang w:val="en-US" w:eastAsia="zh-CN"/>
              </w:rPr>
              <w:t>0</w:t>
            </w: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执行</w:t>
            </w:r>
          </w:p>
        </w:tc>
        <w:tc>
          <w:tcPr>
            <w:tcW w:w="225" w:type="pct"/>
            <w:vMerge w:val="restar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34</w:t>
            </w: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预算</w:t>
            </w:r>
            <w:r>
              <w:rPr>
                <w:rFonts w:hint="eastAsia" w:ascii="仿宋" w:hAnsi="仿宋" w:eastAsia="仿宋" w:cs="仿宋"/>
                <w:kern w:val="0"/>
                <w:sz w:val="21"/>
                <w:szCs w:val="21"/>
                <w:lang w:val="en-US" w:eastAsia="zh-CN"/>
              </w:rPr>
              <w:t>执行</w:t>
            </w:r>
            <w:r>
              <w:rPr>
                <w:rFonts w:hint="eastAsia" w:ascii="仿宋" w:hAnsi="仿宋" w:eastAsia="仿宋" w:cs="仿宋"/>
                <w:kern w:val="0"/>
                <w:sz w:val="21"/>
                <w:szCs w:val="21"/>
              </w:rPr>
              <w:t>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100%计满分，每低于5%扣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预算执行率=（预算执行数/预算数）×100%。</w:t>
            </w:r>
            <w:r>
              <w:rPr>
                <w:rFonts w:hint="eastAsia" w:ascii="仿宋" w:hAnsi="仿宋" w:eastAsia="仿宋" w:cs="仿宋"/>
                <w:kern w:val="0"/>
                <w:sz w:val="21"/>
                <w:szCs w:val="21"/>
                <w:lang w:val="en-US" w:eastAsia="zh-CN"/>
              </w:rPr>
              <w:t xml:space="preserve">   </w:t>
            </w:r>
            <w:r>
              <w:rPr>
                <w:rFonts w:hint="eastAsia" w:eastAsia="仿宋_GB2312"/>
                <w:szCs w:val="21"/>
              </w:rPr>
              <w:t>预算执行数：部门本年度实际完成的预算数。</w:t>
            </w:r>
            <w:r>
              <w:rPr>
                <w:rFonts w:hint="eastAsia" w:eastAsia="仿宋_GB2312"/>
                <w:szCs w:val="21"/>
              </w:rPr>
              <w:br w:type="textWrapping"/>
            </w:r>
            <w:r>
              <w:rPr>
                <w:rFonts w:hint="eastAsia" w:eastAsia="仿宋_GB2312"/>
                <w:szCs w:val="21"/>
              </w:rPr>
              <w:t>预算数：财政部门批复的本年度部门预算数。</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预算调整率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预算调整率=0-10%（含），计5分；11-30%（含），计4分；31-60%（含），计3分；61-100%（含），计2分；大于100%不得分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预算调整率=（预算调整数/预算数）×100%。</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预算调整数：部门在本年度内涉及预算的追加、追减或结构调整的资金总和（因落实国家政策、发生不可抗力、上级部门或同级党委政府临时交办而产生的调整除外）。</w:t>
            </w:r>
          </w:p>
        </w:tc>
        <w:tc>
          <w:tcPr>
            <w:tcW w:w="286" w:type="pc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55" w:rightChars="-26"/>
              <w:jc w:val="center"/>
              <w:rPr>
                <w:rFonts w:hint="eastAsia" w:ascii="仿宋" w:hAnsi="仿宋" w:eastAsia="仿宋" w:cs="仿宋"/>
                <w:kern w:val="0"/>
                <w:sz w:val="21"/>
                <w:szCs w:val="21"/>
              </w:rPr>
            </w:pPr>
            <w:r>
              <w:rPr>
                <w:rFonts w:hint="eastAsia" w:ascii="仿宋" w:hAnsi="仿宋" w:eastAsia="仿宋" w:cs="仿宋"/>
                <w:kern w:val="0"/>
                <w:sz w:val="21"/>
                <w:szCs w:val="21"/>
              </w:rPr>
              <w:t>结转</w:t>
            </w:r>
          </w:p>
          <w:p>
            <w:pPr>
              <w:widowControl/>
              <w:spacing w:line="260" w:lineRule="exact"/>
              <w:ind w:right="-55" w:rightChars="-26"/>
              <w:jc w:val="center"/>
              <w:rPr>
                <w:rFonts w:hint="eastAsia" w:ascii="仿宋" w:hAnsi="仿宋" w:eastAsia="仿宋" w:cs="仿宋"/>
                <w:kern w:val="0"/>
                <w:sz w:val="21"/>
                <w:szCs w:val="21"/>
              </w:rPr>
            </w:pPr>
            <w:r>
              <w:rPr>
                <w:rFonts w:hint="eastAsia" w:ascii="仿宋" w:hAnsi="仿宋" w:eastAsia="仿宋" w:cs="仿宋"/>
                <w:kern w:val="0"/>
                <w:sz w:val="21"/>
                <w:szCs w:val="21"/>
              </w:rPr>
              <w:t>结余率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c>
          <w:tcPr>
            <w:tcW w:w="1489" w:type="pct"/>
            <w:noWrap w:val="0"/>
            <w:vAlign w:val="center"/>
          </w:tcPr>
          <w:p>
            <w:pPr>
              <w:widowControl/>
              <w:spacing w:line="260" w:lineRule="exact"/>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结转结余率=</w:t>
            </w:r>
            <w:r>
              <w:rPr>
                <w:rFonts w:hint="eastAsia" w:ascii="仿宋" w:hAnsi="仿宋" w:eastAsia="仿宋" w:cs="仿宋"/>
                <w:kern w:val="0"/>
                <w:sz w:val="21"/>
                <w:szCs w:val="21"/>
              </w:rPr>
              <w:t>0-10%（含），计5分；11-30%（含），计4分；31-60%（含），计3分；61-100%（含），计2分；大于100%不得分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结转结余率=（结转结余总额/支出预算数）×100%。</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结转结余总额：部门本年度的结转资金与结余资金之和（以决算数为准）。                                                    </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55" w:rightChars="-26"/>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公用经费控制率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100%以下（含）计满分，每超出1%扣1分，扣完为止。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公用经费控制率=（实际支出公用经费总额/预算安排公用经费总额）×100%。公用经费支出是指部门基本支出中的一般商品和服务支出。</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“三公经费”控制率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8</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100%以下（含）计满分，每超出1%扣1分，扣完为止。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“三公经费”控制率=（“三公经费”实际支出数/“三公经费”预算安排数）×100%。</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政府采购执行率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6</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100%计满分，每超过（降低）5%扣2分。扣完为止。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政府采购执行率=（实际政府采购金额/政府采购预算数）×100%</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新建楼堂馆所面积控制率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100%以下（含）计满分，每超出5%扣0.2分，扣完为止。没有楼梯馆所项目的部门按满分计算</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楼堂馆所面积控制率=实际建设面积/批准建设面积×100% 。</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该指标以2019年完工的新建楼堂馆所为评价内容。</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63" w:rightChars="-30"/>
              <w:jc w:val="left"/>
              <w:rPr>
                <w:rFonts w:hint="eastAsia" w:ascii="仿宋" w:hAnsi="仿宋" w:eastAsia="仿宋" w:cs="仿宋"/>
                <w:kern w:val="0"/>
                <w:sz w:val="21"/>
                <w:szCs w:val="21"/>
              </w:rPr>
            </w:pPr>
            <w:r>
              <w:rPr>
                <w:rFonts w:hint="eastAsia" w:ascii="仿宋" w:hAnsi="仿宋" w:eastAsia="仿宋" w:cs="仿宋"/>
                <w:kern w:val="0"/>
                <w:sz w:val="21"/>
                <w:szCs w:val="21"/>
              </w:rPr>
              <w:t>新建楼堂馆所投资概算控制率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100%以下（含）计满分，每超出5%扣0.2分，扣完为止。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楼堂馆所投资预算控制率=实际投资金额/批准投资金额×100% 。</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该指标以20</w:t>
            </w:r>
            <w:r>
              <w:rPr>
                <w:rFonts w:hint="eastAsia" w:ascii="仿宋" w:hAnsi="仿宋" w:eastAsia="仿宋" w:cs="仿宋"/>
                <w:kern w:val="0"/>
                <w:sz w:val="21"/>
                <w:szCs w:val="21"/>
                <w:lang w:val="en-US" w:eastAsia="zh-CN"/>
              </w:rPr>
              <w:t>20</w:t>
            </w:r>
            <w:r>
              <w:rPr>
                <w:rFonts w:hint="eastAsia" w:ascii="仿宋" w:hAnsi="仿宋" w:eastAsia="仿宋" w:cs="仿宋"/>
                <w:kern w:val="0"/>
                <w:sz w:val="21"/>
                <w:szCs w:val="21"/>
              </w:rPr>
              <w:t>年完工的新建楼堂馆所为评价内容。</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67" w:type="pct"/>
            <w:vMerge w:val="restart"/>
            <w:noWrap w:val="0"/>
            <w:vAlign w:val="center"/>
          </w:tcPr>
          <w:p>
            <w:pPr>
              <w:spacing w:line="260" w:lineRule="exact"/>
              <w:jc w:val="center"/>
              <w:rPr>
                <w:rFonts w:hint="eastAsia" w:ascii="仿宋" w:hAnsi="仿宋" w:eastAsia="仿宋" w:cs="仿宋"/>
                <w:kern w:val="0"/>
                <w:sz w:val="21"/>
                <w:szCs w:val="21"/>
              </w:rPr>
            </w:pPr>
          </w:p>
          <w:p>
            <w:pPr>
              <w:spacing w:line="260" w:lineRule="exact"/>
              <w:jc w:val="center"/>
              <w:rPr>
                <w:rFonts w:hint="eastAsia" w:ascii="仿宋" w:hAnsi="仿宋" w:eastAsia="仿宋" w:cs="仿宋"/>
                <w:kern w:val="0"/>
                <w:sz w:val="21"/>
                <w:szCs w:val="21"/>
              </w:rPr>
            </w:pPr>
          </w:p>
          <w:p>
            <w:pPr>
              <w:spacing w:line="260" w:lineRule="exact"/>
              <w:jc w:val="center"/>
              <w:rPr>
                <w:rFonts w:hint="eastAsia" w:ascii="仿宋" w:hAnsi="仿宋" w:eastAsia="仿宋" w:cs="仿宋"/>
                <w:kern w:val="0"/>
                <w:sz w:val="21"/>
                <w:szCs w:val="21"/>
              </w:rPr>
            </w:pPr>
          </w:p>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过程</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rPr>
            </w:pPr>
          </w:p>
          <w:p>
            <w:pPr>
              <w:widowControl/>
              <w:spacing w:line="260" w:lineRule="exact"/>
              <w:jc w:val="center"/>
              <w:rPr>
                <w:rFonts w:hint="eastAsia" w:ascii="仿宋" w:hAnsi="仿宋" w:eastAsia="仿宋" w:cs="仿宋"/>
                <w:kern w:val="0"/>
                <w:sz w:val="21"/>
                <w:szCs w:val="21"/>
              </w:rPr>
            </w:pPr>
          </w:p>
          <w:p>
            <w:pPr>
              <w:widowControl/>
              <w:spacing w:line="260" w:lineRule="exact"/>
              <w:jc w:val="center"/>
              <w:rPr>
                <w:rFonts w:hint="eastAsia" w:ascii="仿宋" w:hAnsi="仿宋" w:eastAsia="仿宋" w:cs="仿宋"/>
                <w:kern w:val="0"/>
                <w:sz w:val="21"/>
                <w:szCs w:val="21"/>
              </w:rPr>
            </w:pPr>
          </w:p>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6</w:t>
            </w:r>
            <w:r>
              <w:rPr>
                <w:rFonts w:hint="eastAsia" w:ascii="仿宋" w:hAnsi="仿宋" w:eastAsia="仿宋" w:cs="仿宋"/>
                <w:kern w:val="0"/>
                <w:sz w:val="21"/>
                <w:szCs w:val="21"/>
                <w:lang w:val="en-US" w:eastAsia="zh-CN"/>
              </w:rPr>
              <w:t>0</w:t>
            </w: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管理</w:t>
            </w:r>
          </w:p>
        </w:tc>
        <w:tc>
          <w:tcPr>
            <w:tcW w:w="225" w:type="pct"/>
            <w:vMerge w:val="restar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w:t>
            </w: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管理制度健全性</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8</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①有内部财务管理制度、会计核算制度等管理制度，2分；②有本部门厉行节约制度,2分；③相关管理制度合法、合规、完整，2分；④相关管理制度得到有效执行，2分。</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sz w:val="21"/>
                <w:szCs w:val="21"/>
              </w:rPr>
              <w:t>部门为加强预算管理、规范财务行为而制定的管理制度是否健全完整，用以反映和考核部门预算管理制度对完成主要职责或促进事业发展的保障情况。</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67" w:type="pct"/>
            <w:vMerge w:val="continue"/>
            <w:noWrap w:val="0"/>
            <w:vAlign w:val="center"/>
          </w:tcPr>
          <w:p>
            <w:pPr>
              <w:spacing w:line="260" w:lineRule="exact"/>
              <w:jc w:val="left"/>
              <w:rPr>
                <w:rFonts w:hint="eastAsia" w:ascii="仿宋" w:hAnsi="仿宋" w:eastAsia="仿宋" w:cs="仿宋"/>
                <w:kern w:val="0"/>
                <w:sz w:val="21"/>
                <w:szCs w:val="21"/>
              </w:rPr>
            </w:pPr>
          </w:p>
        </w:tc>
        <w:tc>
          <w:tcPr>
            <w:tcW w:w="239" w:type="pct"/>
            <w:vMerge w:val="continue"/>
            <w:noWrap w:val="0"/>
            <w:vAlign w:val="center"/>
          </w:tcPr>
          <w:p>
            <w:pPr>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资金使用合规性</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5</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以上情况每出现一例不符合要求的扣1分，扣完为止。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sz w:val="21"/>
                <w:szCs w:val="21"/>
              </w:rPr>
              <w:t>部门使用预算资金是否符合相关的预算财务管理制度的规定，用以反映和考核部门预算资金的规范运行情况。</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预决算信息公开性</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5</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规定内容公开预决算信息，1分；②按规定时限公开预决算信息，1分；③基础数据信息和会计信息资料真实，1分；④基础数据信息和会计信息资料完整，1分；⑤基础数据信息和汇集信息资料准确，1分。</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预决算信息是指与部门预算、执行、决算、监督、绩效等管理相关的信息。</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restart"/>
            <w:noWrap w:val="0"/>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资产</w:t>
            </w:r>
          </w:p>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管理</w:t>
            </w:r>
          </w:p>
        </w:tc>
        <w:tc>
          <w:tcPr>
            <w:tcW w:w="225" w:type="pct"/>
            <w:vMerge w:val="restar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7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资产管理制度健全性</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①已制定或具有资产管理制度，且相关资产管理制度合法、合规、完整，1分；②相关资产管理制度得到有效执行，1分。  </w:t>
            </w:r>
          </w:p>
        </w:tc>
        <w:tc>
          <w:tcPr>
            <w:tcW w:w="1595"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部门为加强资产管理、规范资产管理行为而制定的管理制度是否健全完整，用以反映和考核部门资产管理制度对完成主要职责或促进社会发展的保障情况。</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spacing w:line="260" w:lineRule="exact"/>
              <w:jc w:val="left"/>
              <w:rPr>
                <w:rFonts w:hint="eastAsia" w:ascii="仿宋" w:hAnsi="仿宋" w:eastAsia="仿宋" w:cs="仿宋"/>
                <w:kern w:val="0"/>
                <w:sz w:val="21"/>
                <w:szCs w:val="21"/>
              </w:rPr>
            </w:pPr>
          </w:p>
        </w:tc>
        <w:tc>
          <w:tcPr>
            <w:tcW w:w="225" w:type="pct"/>
            <w:vMerge w:val="continue"/>
            <w:noWrap w:val="0"/>
            <w:vAlign w:val="center"/>
          </w:tcPr>
          <w:p>
            <w:pPr>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right="-27" w:rightChars="-13"/>
              <w:jc w:val="left"/>
              <w:rPr>
                <w:rFonts w:hint="eastAsia" w:ascii="仿宋" w:hAnsi="仿宋" w:eastAsia="仿宋" w:cs="仿宋"/>
                <w:kern w:val="0"/>
                <w:sz w:val="21"/>
                <w:szCs w:val="21"/>
              </w:rPr>
            </w:pPr>
            <w:r>
              <w:rPr>
                <w:rFonts w:hint="eastAsia" w:ascii="仿宋" w:hAnsi="仿宋" w:eastAsia="仿宋" w:cs="仿宋"/>
                <w:kern w:val="0"/>
                <w:sz w:val="21"/>
                <w:szCs w:val="21"/>
              </w:rPr>
              <w:t>资产管理安全性</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①资产保存完整；②资产配置合理；③资产处置规范；④资产账务管理合规，帐实相符；⑤资产有偿使用及处置收入及时足额上缴；</w:t>
            </w:r>
          </w:p>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以上情况每出现一例不符合有关要求的扣1分，扣完为止。</w:t>
            </w:r>
          </w:p>
        </w:tc>
        <w:tc>
          <w:tcPr>
            <w:tcW w:w="1595"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部门的资产是否保存完整、使用合规、配置合理、处置规范、收入及时足额上缴，用以反映和考核部门资产安全运行情况。</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spacing w:line="260" w:lineRule="exact"/>
              <w:jc w:val="left"/>
              <w:rPr>
                <w:rFonts w:hint="eastAsia" w:ascii="仿宋" w:hAnsi="仿宋" w:eastAsia="仿宋" w:cs="仿宋"/>
                <w:kern w:val="0"/>
                <w:sz w:val="21"/>
                <w:szCs w:val="21"/>
              </w:rPr>
            </w:pPr>
          </w:p>
        </w:tc>
        <w:tc>
          <w:tcPr>
            <w:tcW w:w="225" w:type="pct"/>
            <w:vMerge w:val="continue"/>
            <w:noWrap w:val="0"/>
            <w:vAlign w:val="center"/>
          </w:tcPr>
          <w:p>
            <w:pPr>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right="-27" w:rightChars="-13"/>
              <w:jc w:val="left"/>
              <w:rPr>
                <w:rFonts w:hint="eastAsia" w:ascii="仿宋" w:hAnsi="仿宋" w:eastAsia="仿宋" w:cs="仿宋"/>
                <w:kern w:val="0"/>
                <w:sz w:val="21"/>
                <w:szCs w:val="21"/>
              </w:rPr>
            </w:pPr>
            <w:r>
              <w:rPr>
                <w:rFonts w:hint="eastAsia" w:ascii="仿宋" w:hAnsi="仿宋" w:eastAsia="仿宋" w:cs="仿宋"/>
                <w:kern w:val="0"/>
                <w:sz w:val="21"/>
                <w:szCs w:val="21"/>
              </w:rPr>
              <w:t>固定资产利用率</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每低于100%一个百分点扣0.1分，扣完为止。</w:t>
            </w:r>
          </w:p>
        </w:tc>
        <w:tc>
          <w:tcPr>
            <w:tcW w:w="1595" w:type="pct"/>
            <w:noWrap w:val="0"/>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固定资产利用率=（实际在用固定资产总额/所有固定资产总额）×100%。</w:t>
            </w:r>
          </w:p>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部门实际在用固定资产总额与所有固定资产总额的比率，用以反映和考核部门固定资产使用效率程度。</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6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产出及效益</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26</w:t>
            </w:r>
          </w:p>
        </w:tc>
        <w:tc>
          <w:tcPr>
            <w:tcW w:w="237"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职责</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履行</w:t>
            </w:r>
          </w:p>
        </w:tc>
        <w:tc>
          <w:tcPr>
            <w:tcW w:w="225"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79" w:type="pct"/>
            <w:noWrap w:val="0"/>
            <w:vAlign w:val="center"/>
          </w:tcPr>
          <w:p>
            <w:pPr>
              <w:widowControl/>
              <w:spacing w:line="260" w:lineRule="exact"/>
              <w:ind w:right="-13" w:rightChars="-6"/>
              <w:jc w:val="left"/>
              <w:rPr>
                <w:rFonts w:hint="eastAsia" w:ascii="仿宋" w:hAnsi="仿宋" w:eastAsia="仿宋" w:cs="仿宋"/>
                <w:kern w:val="0"/>
                <w:sz w:val="21"/>
                <w:szCs w:val="21"/>
              </w:rPr>
            </w:pPr>
            <w:r>
              <w:rPr>
                <w:rFonts w:hint="eastAsia" w:ascii="仿宋" w:hAnsi="仿宋" w:eastAsia="仿宋" w:cs="仿宋"/>
                <w:kern w:val="0"/>
                <w:sz w:val="21"/>
                <w:szCs w:val="21"/>
              </w:rPr>
              <w:t>重点工作</w:t>
            </w:r>
            <w:r>
              <w:rPr>
                <w:rFonts w:hint="eastAsia" w:ascii="仿宋" w:hAnsi="仿宋" w:eastAsia="仿宋" w:cs="仿宋"/>
                <w:kern w:val="0"/>
                <w:sz w:val="21"/>
                <w:szCs w:val="21"/>
                <w:lang w:val="en-US" w:eastAsia="zh-CN"/>
              </w:rPr>
              <w:t>办结</w:t>
            </w:r>
            <w:r>
              <w:rPr>
                <w:rFonts w:hint="eastAsia" w:ascii="仿宋" w:hAnsi="仿宋" w:eastAsia="仿宋" w:cs="仿宋"/>
                <w:kern w:val="0"/>
                <w:sz w:val="21"/>
                <w:szCs w:val="21"/>
              </w:rPr>
              <w:t>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085" w:type="pct"/>
            <w:gridSpan w:val="2"/>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根据绩效办20</w:t>
            </w:r>
            <w:r>
              <w:rPr>
                <w:rFonts w:hint="eastAsia" w:ascii="仿宋" w:hAnsi="仿宋" w:eastAsia="仿宋" w:cs="仿宋"/>
                <w:kern w:val="0"/>
                <w:sz w:val="21"/>
                <w:szCs w:val="21"/>
                <w:lang w:val="en-US" w:eastAsia="zh-CN"/>
              </w:rPr>
              <w:t>20</w:t>
            </w:r>
            <w:r>
              <w:rPr>
                <w:rFonts w:hint="eastAsia" w:ascii="仿宋" w:hAnsi="仿宋" w:eastAsia="仿宋" w:cs="仿宋"/>
                <w:kern w:val="0"/>
                <w:sz w:val="21"/>
                <w:szCs w:val="21"/>
              </w:rPr>
              <w:t>年对各部门为民办实事和部门重点工程与重点工作考核分数折算。</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该项得分=（绩效办对应部分考核得分/100）*8</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7.</w:t>
            </w:r>
            <w:r>
              <w:rPr>
                <w:rFonts w:hint="eastAsia" w:ascii="仿宋" w:hAnsi="仿宋" w:eastAsia="仿宋" w:cs="仿宋"/>
                <w:kern w:val="0"/>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履职</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效益</w:t>
            </w:r>
          </w:p>
        </w:tc>
        <w:tc>
          <w:tcPr>
            <w:tcW w:w="225"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379" w:type="pct"/>
            <w:noWrap w:val="0"/>
            <w:vAlign w:val="center"/>
          </w:tcPr>
          <w:p>
            <w:pPr>
              <w:spacing w:line="260" w:lineRule="exact"/>
              <w:ind w:left="4" w:leftChars="-33" w:hanging="73" w:hangingChars="35"/>
              <w:jc w:val="center"/>
              <w:rPr>
                <w:rFonts w:hint="eastAsia" w:ascii="仿宋" w:hAnsi="仿宋" w:eastAsia="仿宋" w:cs="仿宋"/>
                <w:kern w:val="0"/>
                <w:sz w:val="21"/>
                <w:szCs w:val="21"/>
              </w:rPr>
            </w:pPr>
            <w:r>
              <w:rPr>
                <w:rFonts w:hint="eastAsia" w:ascii="仿宋" w:hAnsi="仿宋" w:eastAsia="仿宋" w:cs="仿宋"/>
                <w:kern w:val="0"/>
                <w:sz w:val="21"/>
                <w:szCs w:val="21"/>
              </w:rPr>
              <w:t>社会效益</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85" w:type="pct"/>
            <w:gridSpan w:val="2"/>
            <w:noWrap w:val="0"/>
            <w:vAlign w:val="center"/>
          </w:tcPr>
          <w:p>
            <w:pPr>
              <w:autoSpaceDN w:val="0"/>
              <w:spacing w:line="320" w:lineRule="exact"/>
              <w:jc w:val="left"/>
              <w:textAlignment w:val="center"/>
              <w:rPr>
                <w:rFonts w:hint="eastAsia" w:ascii="仿宋" w:hAnsi="仿宋" w:eastAsia="仿宋" w:cs="仿宋"/>
                <w:kern w:val="0"/>
                <w:sz w:val="21"/>
                <w:szCs w:val="21"/>
              </w:rPr>
            </w:pPr>
            <w:r>
              <w:rPr>
                <w:rFonts w:hint="eastAsia" w:eastAsia="仿宋_GB2312" w:cs="仿宋_GB2312"/>
                <w:sz w:val="24"/>
              </w:rPr>
              <w:t>协同推进经济高质量发展</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left="4" w:leftChars="-33" w:hanging="73" w:hangingChars="35"/>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生态效益</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85" w:type="pct"/>
            <w:gridSpan w:val="2"/>
            <w:noWrap w:val="0"/>
            <w:vAlign w:val="center"/>
          </w:tcPr>
          <w:p>
            <w:pPr>
              <w:autoSpaceDN w:val="0"/>
              <w:spacing w:line="320" w:lineRule="exact"/>
              <w:jc w:val="left"/>
              <w:textAlignment w:val="center"/>
              <w:rPr>
                <w:rFonts w:hint="eastAsia" w:ascii="仿宋" w:hAnsi="仿宋" w:eastAsia="仿宋" w:cs="仿宋"/>
                <w:kern w:val="0"/>
                <w:sz w:val="21"/>
                <w:szCs w:val="21"/>
                <w:highlight w:val="yellow"/>
              </w:rPr>
            </w:pPr>
            <w:r>
              <w:rPr>
                <w:rFonts w:hint="eastAsia" w:eastAsia="仿宋_GB2312" w:cs="仿宋_GB2312"/>
                <w:sz w:val="24"/>
              </w:rPr>
              <w:t>环境质量达标、完成污染防治任务</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left="4" w:leftChars="-33" w:hanging="73" w:hangingChars="35"/>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可持续影响</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85" w:type="pct"/>
            <w:gridSpan w:val="2"/>
            <w:noWrap w:val="0"/>
            <w:vAlign w:val="center"/>
          </w:tcPr>
          <w:p>
            <w:pPr>
              <w:autoSpaceDN w:val="0"/>
              <w:spacing w:line="320" w:lineRule="exact"/>
              <w:jc w:val="left"/>
              <w:textAlignment w:val="center"/>
              <w:rPr>
                <w:rFonts w:hint="eastAsia" w:ascii="仿宋" w:hAnsi="仿宋" w:eastAsia="仿宋" w:cs="仿宋"/>
                <w:kern w:val="0"/>
                <w:sz w:val="21"/>
                <w:szCs w:val="21"/>
                <w:highlight w:val="yellow"/>
              </w:rPr>
            </w:pPr>
            <w:r>
              <w:rPr>
                <w:rFonts w:hint="eastAsia" w:eastAsia="仿宋_GB2312" w:cs="仿宋_GB2312"/>
                <w:sz w:val="24"/>
              </w:rPr>
              <w:t>促进生态环境持续改善</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379" w:type="pct"/>
            <w:noWrap w:val="0"/>
            <w:vAlign w:val="center"/>
          </w:tcPr>
          <w:p>
            <w:pPr>
              <w:widowControl/>
              <w:spacing w:line="260" w:lineRule="exact"/>
              <w:ind w:right="-38" w:rightChars="-18"/>
              <w:jc w:val="left"/>
              <w:rPr>
                <w:rFonts w:hint="eastAsia" w:ascii="仿宋" w:hAnsi="仿宋" w:eastAsia="仿宋" w:cs="仿宋"/>
                <w:kern w:val="0"/>
                <w:sz w:val="21"/>
                <w:szCs w:val="21"/>
              </w:rPr>
            </w:pPr>
            <w:r>
              <w:rPr>
                <w:rFonts w:hint="eastAsia" w:ascii="仿宋" w:hAnsi="仿宋" w:eastAsia="仿宋" w:cs="仿宋"/>
                <w:kern w:val="0"/>
                <w:sz w:val="21"/>
                <w:szCs w:val="21"/>
              </w:rPr>
              <w:t>行政效能</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促进部门改进文风会风，加强经费及资产管理，推动网上办事，提高行政效率，降低行政成本效果较好的计6分；一般3分；无效果或者效果不明显0分。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根据部门自评材料评定。</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社会公众或服务对象满意度</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90%（含）以上计6分；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80%（含）-90%，计4分；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70%（含）-80%，计2分；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低于70%计0分。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社会公众或服务对象是指部门（单位）履行职责而影响到的部门、群体或个人，一般采取社会调查的方式。</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3" w:type="pct"/>
            <w:gridSpan w:val="3"/>
            <w:noWrap w:val="0"/>
            <w:vAlign w:val="center"/>
          </w:tcPr>
          <w:p>
            <w:pPr>
              <w:spacing w:line="26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合计</w:t>
            </w:r>
          </w:p>
        </w:tc>
        <w:tc>
          <w:tcPr>
            <w:tcW w:w="225" w:type="pct"/>
            <w:noWrap w:val="0"/>
            <w:vAlign w:val="center"/>
          </w:tcPr>
          <w:p>
            <w:pPr>
              <w:widowControl/>
              <w:spacing w:line="26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100</w:t>
            </w:r>
          </w:p>
        </w:tc>
        <w:tc>
          <w:tcPr>
            <w:tcW w:w="379" w:type="pct"/>
            <w:noWrap w:val="0"/>
            <w:vAlign w:val="center"/>
          </w:tcPr>
          <w:p>
            <w:pPr>
              <w:widowControl/>
              <w:spacing w:line="260" w:lineRule="exact"/>
              <w:jc w:val="center"/>
              <w:rPr>
                <w:rFonts w:hint="eastAsia" w:ascii="仿宋" w:hAnsi="仿宋" w:eastAsia="仿宋" w:cs="仿宋"/>
                <w:b/>
                <w:bCs/>
                <w:kern w:val="0"/>
                <w:sz w:val="21"/>
                <w:szCs w:val="21"/>
              </w:rPr>
            </w:pPr>
          </w:p>
        </w:tc>
        <w:tc>
          <w:tcPr>
            <w:tcW w:w="281" w:type="pct"/>
            <w:noWrap w:val="0"/>
            <w:vAlign w:val="center"/>
          </w:tcPr>
          <w:p>
            <w:pPr>
              <w:widowControl/>
              <w:spacing w:line="26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100</w:t>
            </w:r>
          </w:p>
        </w:tc>
        <w:tc>
          <w:tcPr>
            <w:tcW w:w="3085" w:type="pct"/>
            <w:gridSpan w:val="2"/>
            <w:noWrap w:val="0"/>
            <w:vAlign w:val="center"/>
          </w:tcPr>
          <w:p>
            <w:pPr>
              <w:widowControl/>
              <w:spacing w:line="260" w:lineRule="exact"/>
              <w:jc w:val="center"/>
              <w:rPr>
                <w:rFonts w:hint="eastAsia" w:ascii="仿宋" w:hAnsi="仿宋" w:eastAsia="仿宋" w:cs="仿宋"/>
                <w:b/>
                <w:bCs/>
                <w:kern w:val="0"/>
                <w:sz w:val="21"/>
                <w:szCs w:val="21"/>
              </w:rPr>
            </w:pPr>
          </w:p>
        </w:tc>
        <w:tc>
          <w:tcPr>
            <w:tcW w:w="286" w:type="pct"/>
            <w:noWrap w:val="0"/>
            <w:vAlign w:val="center"/>
          </w:tcPr>
          <w:p>
            <w:pPr>
              <w:widowControl/>
              <w:spacing w:line="260" w:lineRule="exact"/>
              <w:jc w:val="center"/>
              <w:rPr>
                <w:rFonts w:hint="default"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87.31</w:t>
            </w:r>
          </w:p>
        </w:tc>
      </w:tr>
    </w:tbl>
    <w:p>
      <w:pPr>
        <w:sectPr>
          <w:pgSz w:w="16838" w:h="11906" w:orient="landscape"/>
          <w:pgMar w:top="1803" w:right="1440" w:bottom="1803" w:left="1440" w:header="851" w:footer="992" w:gutter="0"/>
          <w:cols w:space="0" w:num="1"/>
          <w:rtlGutter w:val="0"/>
          <w:docGrid w:type="lines" w:linePitch="319" w:charSpace="0"/>
        </w:sectPr>
      </w:pPr>
    </w:p>
    <w:p>
      <w:pPr>
        <w:spacing w:line="240" w:lineRule="auto"/>
        <w:jc w:val="left"/>
        <w:rPr>
          <w:rFonts w:hint="eastAsia" w:eastAsia="黑体"/>
          <w:sz w:val="32"/>
          <w:szCs w:val="32"/>
        </w:rPr>
      </w:pPr>
      <w:r>
        <w:rPr>
          <w:rFonts w:eastAsia="黑体"/>
          <w:sz w:val="32"/>
          <w:szCs w:val="32"/>
        </w:rPr>
        <w:t>附件2</w:t>
      </w:r>
      <w:r>
        <w:rPr>
          <w:rFonts w:hint="eastAsia" w:eastAsia="黑体"/>
          <w:sz w:val="32"/>
          <w:szCs w:val="32"/>
        </w:rPr>
        <w:t>：</w:t>
      </w:r>
    </w:p>
    <w:p>
      <w:pPr>
        <w:spacing w:line="240" w:lineRule="auto"/>
        <w:jc w:val="left"/>
        <w:rPr>
          <w:rFonts w:hint="eastAsia" w:ascii="方正小标宋简体" w:hAnsi="方正小标宋简体" w:eastAsia="方正小标宋简体" w:cs="方正小标宋简体"/>
          <w:sz w:val="44"/>
          <w:szCs w:val="44"/>
        </w:rPr>
      </w:pPr>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p>
      <w:pPr>
        <w:spacing w:after="120" w:afterLines="50" w:line="240" w:lineRule="auto"/>
        <w:ind w:left="91"/>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（以2021年对2020年度部门整体支出绩效自评为例）</w:t>
      </w:r>
      <w:r>
        <w:rPr>
          <w:rFonts w:hint="eastAsia" w:ascii="楷体_GB2312" w:hAnsi="楷体_GB2312" w:eastAsia="楷体_GB2312" w:cs="楷体_GB2312"/>
          <w:sz w:val="32"/>
          <w:szCs w:val="32"/>
        </w:rPr>
        <w:tab/>
      </w:r>
    </w:p>
    <w:tbl>
      <w:tblPr>
        <w:tblStyle w:val="3"/>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607"/>
        <w:gridCol w:w="1146"/>
        <w:gridCol w:w="832"/>
        <w:gridCol w:w="1633"/>
        <w:gridCol w:w="612"/>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财政供养人员情况</w:t>
            </w:r>
          </w:p>
        </w:tc>
        <w:tc>
          <w:tcPr>
            <w:tcW w:w="175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2020年末编制数</w:t>
            </w:r>
          </w:p>
        </w:tc>
        <w:tc>
          <w:tcPr>
            <w:tcW w:w="246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2020年末实际在职人数</w:t>
            </w:r>
          </w:p>
        </w:tc>
        <w:tc>
          <w:tcPr>
            <w:tcW w:w="147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175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501　</w:t>
            </w:r>
          </w:p>
        </w:tc>
        <w:tc>
          <w:tcPr>
            <w:tcW w:w="246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455</w:t>
            </w:r>
          </w:p>
        </w:tc>
        <w:tc>
          <w:tcPr>
            <w:tcW w:w="147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rPr>
              <w:t>　</w:t>
            </w:r>
            <w:r>
              <w:rPr>
                <w:rFonts w:hint="default" w:ascii="Times New Roman" w:hAnsi="Times New Roman" w:eastAsia="仿宋_GB2312" w:cs="Times New Roman"/>
                <w:szCs w:val="21"/>
                <w:lang w:val="en-US" w:eastAsia="zh-CN"/>
              </w:rPr>
              <w:t>90.82%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经费控制情况</w:t>
            </w:r>
          </w:p>
        </w:tc>
        <w:tc>
          <w:tcPr>
            <w:tcW w:w="175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2019年决算数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c>
          <w:tcPr>
            <w:tcW w:w="246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2020年预算数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c>
          <w:tcPr>
            <w:tcW w:w="147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2020年决算数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三公经费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162.16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182.87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1、公务用车购置和运行维护费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120.24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104.53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其中：公务用车购置费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27.7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公务用车运行维护费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92.54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104.53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2、因公出国（境）费用</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3、公务接待费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项目支出：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1、州级专项资金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 xml:space="preserve">826.90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1,002.20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1,188.90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highlight w:val="none"/>
              </w:rPr>
            </w:pPr>
            <w:bookmarkStart w:id="19" w:name="OLE_LINK11" w:colFirst="3" w:colLast="3"/>
            <w:bookmarkStart w:id="20" w:name="OLE_LINK16" w:colFirst="3" w:colLast="3"/>
            <w:bookmarkStart w:id="21" w:name="OLE_LINK14" w:colFirst="2" w:colLast="2"/>
            <w:r>
              <w:rPr>
                <w:rFonts w:hint="default" w:ascii="仿宋_GB2312" w:hAnsi="宋体" w:eastAsia="仿宋_GB2312" w:cs="仿宋_GB2312"/>
                <w:i w:val="0"/>
                <w:iCs w:val="0"/>
                <w:color w:val="000000"/>
                <w:kern w:val="0"/>
                <w:sz w:val="21"/>
                <w:szCs w:val="21"/>
                <w:highlight w:val="none"/>
                <w:u w:val="none"/>
                <w:lang w:val="en-US" w:eastAsia="zh-CN" w:bidi="ar"/>
              </w:rPr>
              <w:t>建设类规划、建设项目的环境影响评价、评审等方面的支出经费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highlight w:val="none"/>
              </w:rPr>
            </w:pPr>
            <w:r>
              <w:rPr>
                <w:rFonts w:hint="default" w:ascii="仿宋_GB2312" w:hAnsi="宋体" w:eastAsia="仿宋_GB2312" w:cs="仿宋_GB2312"/>
                <w:i w:val="0"/>
                <w:iCs w:val="0"/>
                <w:color w:val="000000"/>
                <w:kern w:val="0"/>
                <w:sz w:val="21"/>
                <w:szCs w:val="21"/>
                <w:highlight w:val="none"/>
                <w:u w:val="none"/>
                <w:lang w:val="en-US" w:eastAsia="zh-CN" w:bidi="ar"/>
              </w:rPr>
              <w:t>环境保护与管理、环境监测与监察、环境执法等支出经费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176.08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105.00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highlight w:val="none"/>
              </w:rPr>
            </w:pPr>
            <w:r>
              <w:rPr>
                <w:rFonts w:hint="default" w:ascii="仿宋_GB2312" w:hAnsi="宋体" w:eastAsia="仿宋_GB2312" w:cs="仿宋_GB2312"/>
                <w:i w:val="0"/>
                <w:iCs w:val="0"/>
                <w:color w:val="000000"/>
                <w:kern w:val="0"/>
                <w:sz w:val="21"/>
                <w:szCs w:val="21"/>
                <w:highlight w:val="none"/>
                <w:u w:val="none"/>
                <w:lang w:val="en-US" w:eastAsia="zh-CN" w:bidi="ar"/>
              </w:rPr>
              <w:t>州医疗废物处置中心运转补贴等经费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25.00</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22.50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46.50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离退休人员管理经费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0.70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环境监测与监察</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112.00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115.44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环境监察执法工作</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68.00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生态环境测评经费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国家重点生态功能区县级配套资金及环保能力建设资金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空气站自动维护</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农村环境整治项目前期及间接费用</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环境监测经费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国家重点生态功能区县域生态环境质量考核资金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85</w:t>
            </w:r>
            <w:r>
              <w:rPr>
                <w:rFonts w:hint="default" w:ascii="Arial Narrow" w:hAnsi="Arial Narrow" w:eastAsia="Arial Narrow" w:cs="Arial Narrow"/>
                <w:i w:val="0"/>
                <w:iCs w:val="0"/>
                <w:color w:val="000000"/>
                <w:kern w:val="0"/>
                <w:sz w:val="18"/>
                <w:szCs w:val="18"/>
                <w:u w:val="none"/>
                <w:lang w:val="en-US" w:eastAsia="zh-CN" w:bidi="ar"/>
              </w:rPr>
              <w:t xml:space="preserve">.00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县域生态质量考核工作经费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61.41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芙蓉镇地质公园空气自动站建设</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环境空气自动站运行经费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108.00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83.56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环境监察大队专项工作经费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永顺县第二次污染源普查工作经费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104.30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151.63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环境监测站工作经费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123.71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63.00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43.05 </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县城饮用水源保护及乡镇集中饮水划定工作经费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租车费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3.00</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本级三线一单编制经费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州本级污普专项工作经费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尾矿库渗滤液监测井建设项目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矿区扬尘监测站建设项目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70.76</w:t>
            </w:r>
          </w:p>
        </w:tc>
      </w:tr>
      <w:bookmarkEnd w:id="20"/>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2、其他项目支出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10,564.22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11,599.26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bookmarkStart w:id="22" w:name="OLE_LINK10" w:colFirst="3" w:colLast="3"/>
            <w:bookmarkStart w:id="23" w:name="OLE_LINK12" w:colFirst="1" w:colLast="1"/>
            <w:bookmarkStart w:id="24" w:name="OLE_LINK19" w:colFirst="0" w:colLast="0"/>
            <w:bookmarkStart w:id="25" w:name="OLE_LINK17" w:colFirst="3" w:colLast="3"/>
            <w:r>
              <w:rPr>
                <w:rFonts w:hint="default" w:ascii="仿宋_GB2312" w:hAnsi="宋体" w:eastAsia="仿宋_GB2312" w:cs="仿宋_GB2312"/>
                <w:i w:val="0"/>
                <w:iCs w:val="0"/>
                <w:color w:val="000000"/>
                <w:kern w:val="0"/>
                <w:sz w:val="21"/>
                <w:szCs w:val="21"/>
                <w:u w:val="none"/>
                <w:lang w:val="en-US" w:eastAsia="zh-CN" w:bidi="ar"/>
              </w:rPr>
              <w:t>十四五规划编制经费（州重点项目专项）、公务用车购置经费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州目标管理奖励资金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重金属污染治理、尾矿库治理</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2,832.98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重点工作经费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187.94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194.60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土壤污染防治项目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88.97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水污染治理</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1,447.78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2,487.87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执法设备购置、富余排污权指标经费、太丰中锦公司调查经费、环保协会经费、环境规划编制经费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99.78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230.77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酉水河猛洞专项行动</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一般行政管理经费支出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项目前期费用及县级拨付污染治理工作经费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53.34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污水处理厂应急改造</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94.90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79.03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污染源整治项目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456.72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污染减排</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污染防治支出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304.87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污普专项工作经费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105.60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未达账项（州清源环保公司）</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尾矿库监测井等污染专项治理项目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3,744.00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 xml:space="preserve">062.57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尾矿库风险评估</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王家棚煤矿污染生态修复</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水质站建设项目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0.58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水源保护报告编制</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省级环保专项资金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6.31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省拨环境质量监测保障补助经费、省级水质自动站运营管理经费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省拨ABS项目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20.65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26.46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生物多样性宣传</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生态考核缺口资金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生态环境监测费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城市建设支出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319.04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大气污染防治资金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304.97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1,215.86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全州生态保护工作会议费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其他节能环保支出工作经费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17.64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其他环境保护支出经费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农村环境整治项目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945.44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587.24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节能减排工作经费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18.50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监测站毒物津贴</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19.17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环境监测监察</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25.00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花垣县山福矿业拆除补偿</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扶贫工作队生活费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56.75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第二批省级生态环境保护督察“回头看”专项经费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传统村落保护</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291.41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城区锅炉配套除尘设施</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茶田油麦湾尾矿库整治专项经费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2016年重金属重点防控区综合防治项目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38.61 </w:t>
            </w:r>
          </w:p>
        </w:tc>
      </w:tr>
      <w:bookmarkEnd w:id="22"/>
      <w:bookmarkEnd w:id="23"/>
      <w:bookmarkEnd w:id="24"/>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公用经费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1,130.85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1,005.23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1,404.33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其中：办公费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159.05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80.10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163.37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水费、电费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31.48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28.30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50" w:firstLineChars="500"/>
              <w:jc w:val="left"/>
              <w:rPr>
                <w:rFonts w:hint="eastAsia" w:ascii="仿宋_GB2312" w:hAnsi="仿宋" w:eastAsia="仿宋_GB2312" w:cs="仿宋"/>
                <w:szCs w:val="21"/>
              </w:rPr>
            </w:pPr>
            <w:r>
              <w:rPr>
                <w:rFonts w:hint="eastAsia" w:ascii="仿宋_GB2312" w:hAnsi="仿宋" w:eastAsia="仿宋_GB2312" w:cs="仿宋"/>
                <w:szCs w:val="21"/>
              </w:rPr>
              <w:t>差旅费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78.03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69.50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114.28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会议费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50" w:firstLineChars="500"/>
              <w:jc w:val="left"/>
              <w:rPr>
                <w:rFonts w:hint="eastAsia" w:ascii="仿宋_GB2312" w:hAnsi="仿宋" w:eastAsia="仿宋_GB2312" w:cs="仿宋"/>
                <w:szCs w:val="21"/>
              </w:rPr>
            </w:pPr>
            <w:r>
              <w:rPr>
                <w:rFonts w:hint="eastAsia" w:ascii="仿宋_GB2312" w:hAnsi="仿宋" w:eastAsia="仿宋_GB2312" w:cs="仿宋"/>
                <w:szCs w:val="21"/>
              </w:rPr>
              <w:t>培训费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1.68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政府采购金额</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721.30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270.03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252.04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部门基本支出预算调整 </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2,104.31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936"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楼堂馆所控制情况</w:t>
            </w:r>
            <w:r>
              <w:rPr>
                <w:rFonts w:hint="eastAsia" w:ascii="仿宋_GB2312" w:hAnsi="仿宋" w:eastAsia="仿宋_GB2312" w:cs="仿宋"/>
                <w:szCs w:val="21"/>
              </w:rPr>
              <w:br w:type="textWrapping"/>
            </w:r>
            <w:r>
              <w:rPr>
                <w:rFonts w:hint="eastAsia" w:ascii="仿宋_GB2312" w:hAnsi="仿宋" w:eastAsia="仿宋_GB2312" w:cs="仿宋"/>
                <w:szCs w:val="21"/>
              </w:rPr>
              <w:t>（2020年完工项目）</w:t>
            </w:r>
          </w:p>
        </w:tc>
        <w:tc>
          <w:tcPr>
            <w:tcW w:w="60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批复规模</w:t>
            </w:r>
            <w:r>
              <w:rPr>
                <w:rFonts w:hint="eastAsia" w:ascii="仿宋_GB2312" w:hAnsi="仿宋" w:eastAsia="仿宋_GB2312" w:cs="仿宋"/>
                <w:szCs w:val="21"/>
              </w:rPr>
              <w:br w:type="textWrapping"/>
            </w:r>
            <w:r>
              <w:rPr>
                <w:rFonts w:hint="eastAsia" w:ascii="仿宋_GB2312" w:hAnsi="仿宋" w:eastAsia="仿宋_GB2312" w:cs="仿宋"/>
                <w:szCs w:val="21"/>
              </w:rPr>
              <w:t>（㎡）</w:t>
            </w:r>
          </w:p>
        </w:tc>
        <w:tc>
          <w:tcPr>
            <w:tcW w:w="114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实际规模（㎡）</w:t>
            </w:r>
          </w:p>
        </w:tc>
        <w:tc>
          <w:tcPr>
            <w:tcW w:w="83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规模控制率</w:t>
            </w:r>
          </w:p>
        </w:tc>
        <w:tc>
          <w:tcPr>
            <w:tcW w:w="163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预算投资（万元）</w:t>
            </w:r>
          </w:p>
        </w:tc>
        <w:tc>
          <w:tcPr>
            <w:tcW w:w="61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实际投资（万元）</w:t>
            </w:r>
          </w:p>
        </w:tc>
        <w:tc>
          <w:tcPr>
            <w:tcW w:w="8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6" w:type="dxa"/>
            <w:vMerge w:val="continue"/>
            <w:tcBorders>
              <w:top w:val="nil"/>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60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1146"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832"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1633"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612"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86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厉行节约保障措施</w:t>
            </w:r>
          </w:p>
        </w:tc>
        <w:tc>
          <w:tcPr>
            <w:tcW w:w="5697"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rPr>
            </w:pPr>
            <w:r>
              <w:rPr>
                <w:rFonts w:hint="eastAsia" w:ascii="仿宋_GB2312" w:hAnsi="仿宋" w:eastAsia="仿宋_GB2312" w:cs="仿宋"/>
                <w:szCs w:val="21"/>
                <w:lang w:val="en-US" w:eastAsia="zh-CN"/>
              </w:rPr>
              <w:t>严格执行</w:t>
            </w:r>
            <w:r>
              <w:rPr>
                <w:rFonts w:hint="eastAsia" w:ascii="仿宋_GB2312" w:hAnsi="仿宋" w:eastAsia="仿宋_GB2312" w:cs="仿宋"/>
                <w:szCs w:val="21"/>
              </w:rPr>
              <w:t>《党政机关厉行节约反对浪费条例》</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中共中央八项规定</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中共湖南省委关于改进工作作风密切联系群众的九项规定</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中共湘西自治州委关于改进工作作风密切联系群众的七项规定</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等文件规定，严控各项支出。</w:t>
            </w:r>
          </w:p>
        </w:tc>
      </w:tr>
    </w:tbl>
    <w:p>
      <w:pPr>
        <w:spacing w:line="360" w:lineRule="exact"/>
        <w:rPr>
          <w:rFonts w:hint="eastAsia" w:ascii="仿宋_GB2312" w:hAnsi="仿宋" w:eastAsia="仿宋_GB2312" w:cs="仿宋"/>
          <w:szCs w:val="21"/>
        </w:rPr>
      </w:pPr>
      <w:r>
        <w:rPr>
          <w:rFonts w:hint="eastAsia" w:ascii="仿宋_GB2312" w:hAnsi="仿宋" w:eastAsia="仿宋_GB2312" w:cs="仿宋"/>
          <w:szCs w:val="21"/>
        </w:rPr>
        <w:t>说明：项目支出需要填报除基本支出以外的所有项目支出情况，公用经费填报基本支出中的一般商品和服务支出。</w:t>
      </w:r>
    </w:p>
    <w:p>
      <w:pPr>
        <w:spacing w:before="120" w:beforeLines="5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附件3</w:t>
      </w:r>
      <w:r>
        <w:rPr>
          <w:rFonts w:hint="eastAsia" w:eastAsia="黑体"/>
          <w:sz w:val="32"/>
          <w:szCs w:val="32"/>
        </w:rPr>
        <w:t>：</w:t>
      </w:r>
    </w:p>
    <w:p>
      <w:pPr>
        <w:spacing w:before="120" w:beforeLines="50"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1066"/>
        <w:gridCol w:w="1229"/>
        <w:gridCol w:w="271"/>
        <w:gridCol w:w="982"/>
        <w:gridCol w:w="1384"/>
        <w:gridCol w:w="834"/>
        <w:gridCol w:w="863"/>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olor w:val="000000"/>
              </w:rPr>
              <w:t>州</w:t>
            </w:r>
            <w:r>
              <w:rPr>
                <w:rFonts w:eastAsia="仿宋_GB2312"/>
                <w:color w:val="000000"/>
              </w:rPr>
              <w:t>级预算部门名</w:t>
            </w:r>
            <w:r>
              <w:rPr>
                <w:rFonts w:hint="eastAsia" w:cs="宋体"/>
                <w:color w:val="000000"/>
              </w:rPr>
              <w:t>称</w:t>
            </w:r>
          </w:p>
        </w:tc>
        <w:tc>
          <w:tcPr>
            <w:tcW w:w="9040" w:type="dxa"/>
            <w:gridSpan w:val="9"/>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ascii="仿宋" w:hAnsi="仿宋" w:eastAsia="仿宋" w:cs="仿宋"/>
                <w:color w:val="000000"/>
              </w:rPr>
              <w:t>湘西土家族苗族自治州生态环境局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1229"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年</w:t>
            </w:r>
            <w:r>
              <w:rPr>
                <w:rFonts w:hint="eastAsia" w:cs="宋体"/>
              </w:rPr>
              <w:t>初</w:t>
            </w:r>
          </w:p>
          <w:p>
            <w:pPr>
              <w:spacing w:line="260" w:lineRule="exact"/>
              <w:jc w:val="center"/>
              <w:rPr>
                <w:rFonts w:hint="eastAsia"/>
              </w:rPr>
            </w:pPr>
            <w:r>
              <w:rPr>
                <w:rFonts w:eastAsia="仿宋_GB2312"/>
              </w:rPr>
              <w:t>预算</w:t>
            </w:r>
            <w:r>
              <w:rPr>
                <w:rFonts w:hint="eastAsia" w:cs="宋体"/>
              </w:rPr>
              <w:t>数</w:t>
            </w:r>
          </w:p>
        </w:tc>
        <w:tc>
          <w:tcPr>
            <w:tcW w:w="1253"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全年</w:t>
            </w:r>
          </w:p>
          <w:p>
            <w:pPr>
              <w:spacing w:line="260" w:lineRule="exact"/>
              <w:jc w:val="center"/>
              <w:rPr>
                <w:rFonts w:hint="eastAsia"/>
              </w:rPr>
            </w:pPr>
            <w:r>
              <w:rPr>
                <w:rFonts w:eastAsia="仿宋_GB2312"/>
              </w:rPr>
              <w:t>预算</w:t>
            </w:r>
            <w:r>
              <w:rPr>
                <w:rFonts w:hint="eastAsia" w:cs="宋体"/>
              </w:rPr>
              <w:t>数</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全</w:t>
            </w:r>
            <w:r>
              <w:rPr>
                <w:rFonts w:hint="eastAsia" w:cs="宋体"/>
              </w:rPr>
              <w:t>年</w:t>
            </w:r>
          </w:p>
          <w:p>
            <w:pPr>
              <w:spacing w:line="260" w:lineRule="exact"/>
              <w:jc w:val="center"/>
              <w:rPr>
                <w:rFonts w:hint="eastAsia"/>
              </w:rPr>
            </w:pPr>
            <w:r>
              <w:rPr>
                <w:rFonts w:eastAsia="仿宋_GB2312"/>
              </w:rPr>
              <w:t>执行</w:t>
            </w:r>
            <w:r>
              <w:rPr>
                <w:rFonts w:hint="eastAsia" w:cs="宋体"/>
              </w:rPr>
              <w:t>数</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分</w:t>
            </w:r>
            <w:r>
              <w:rPr>
                <w:rFonts w:hint="eastAsia" w:cs="宋体"/>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执行</w:t>
            </w:r>
            <w:r>
              <w:rPr>
                <w:rFonts w:hint="eastAsia" w:cs="宋体"/>
              </w:rPr>
              <w:t>率</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eastAsia="仿宋_GB2312"/>
              </w:rPr>
            </w:pPr>
            <w:r>
              <w:rPr>
                <w:rFonts w:eastAsia="仿宋_GB2312"/>
                <w:color w:val="000000"/>
              </w:rPr>
              <w:t>年度资金总</w:t>
            </w:r>
            <w:r>
              <w:rPr>
                <w:rFonts w:hint="eastAsia" w:cs="宋体"/>
                <w:color w:val="000000"/>
              </w:rPr>
              <w:t>额</w:t>
            </w: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5,899.09</w:t>
            </w:r>
          </w:p>
        </w:tc>
        <w:tc>
          <w:tcPr>
            <w:tcW w:w="12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22,026.20</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19,844.5</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90.09%</w:t>
            </w:r>
          </w:p>
        </w:tc>
        <w:tc>
          <w:tcPr>
            <w:tcW w:w="10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 xml:space="preserve">  一般公共预算</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5,899.09</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18,440.54</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17,657.62</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297.03</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297.03</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3,288.63</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1,889.85</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pStyle w:val="2"/>
              <w:snapToGrid/>
              <w:spacing w:line="260" w:lineRule="exact"/>
              <w:rPr>
                <w:rFonts w:eastAsia="仿宋_GB2312"/>
                <w:color w:val="000000"/>
                <w:kern w:val="2"/>
                <w:sz w:val="21"/>
                <w:szCs w:val="21"/>
              </w:rPr>
            </w:pPr>
            <w:r>
              <w:rPr>
                <w:rFonts w:eastAsia="仿宋_GB2312"/>
                <w:color w:val="000000"/>
                <w:kern w:val="2"/>
              </w:rPr>
              <w:t>按支出性质分</w:t>
            </w:r>
            <w:r>
              <w:rPr>
                <w:rFonts w:hint="eastAsia" w:cs="宋体"/>
                <w:color w:val="000000"/>
                <w:kern w:val="2"/>
              </w:rPr>
              <w:t>：</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基本支出</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4,896.89</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7,001.20</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7,056.33</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1,002.20</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1,5025.00</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12,788.17</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年度总体目</w:t>
            </w:r>
            <w:r>
              <w:rPr>
                <w:rFonts w:hint="eastAsia" w:cs="宋体"/>
                <w:color w:val="000000"/>
              </w:rPr>
              <w:t>标</w:t>
            </w:r>
          </w:p>
        </w:tc>
        <w:tc>
          <w:tcPr>
            <w:tcW w:w="4900" w:type="dxa"/>
            <w:gridSpan w:val="5"/>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预期目</w:t>
            </w:r>
            <w:r>
              <w:rPr>
                <w:rFonts w:hint="eastAsia" w:cs="宋体"/>
                <w:color w:val="000000"/>
              </w:rPr>
              <w:t>标</w:t>
            </w:r>
          </w:p>
        </w:tc>
        <w:tc>
          <w:tcPr>
            <w:tcW w:w="4140" w:type="dxa"/>
            <w:gridSpan w:val="4"/>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4900" w:type="dxa"/>
            <w:gridSpan w:val="5"/>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eastAsia="仿宋_GB2312"/>
                <w:color w:val="000000"/>
              </w:rPr>
              <w:t xml:space="preserve">目标1：城市环境空气质量优良率达到90%以上，地表水监测断面水质优良率达到93.3%以上，集中饮用水水源水质达到或优于Ⅲ类比例高于96.4％；全面完成主要污染物总量减排目标；防止较大及以上环境污染事件。                                                                      目标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                                  目标3：持续抓好突出环境问题整改。抓紧抓好中央、省环保督察交办反馈问题。                                                                目标4：服务经济高质量发展，完成全州“三线一单”成果编制，科学编制“十四五”规划。  </w:t>
            </w:r>
            <w:r>
              <w:rPr>
                <w:rFonts w:eastAsia="仿宋_GB2312"/>
                <w:color w:val="000000"/>
              </w:rPr>
              <w:t xml:space="preserve">  </w:t>
            </w:r>
          </w:p>
        </w:tc>
        <w:tc>
          <w:tcPr>
            <w:tcW w:w="4140"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ascii="仿宋" w:hAnsi="仿宋" w:eastAsia="仿宋" w:cs="仿宋"/>
                <w:color w:val="000000"/>
              </w:rPr>
              <w:t>1、城市环境空气质量优良率达到99.5%；地表水监测断面水质达标率97.1%，集中式饮用水水质达标率100%；实施重点减排项目6个、水污染防治项目11个、土壤污染治理项目7个；未发生较大及以上环境污染事件。                                                          2、完成2个地级、12个县级、20个“千吨万人”、163个“千人以上”饮用水水源地保护区划分工作，实施农村污水治理153个村，淘汰老旧柴油货车35辆，全面调查排查涉危险废物单位779家、111个尾矿库，完成“夏季攻势”任务清单43项，已建空气环境自动站10座、地表水环境自动站16座，安装重点污染源废水、废气在线监控设施91套。                                                               3、完成中央、省环保督察交办问题357个，省生态环保督察“回头看”工作已办结31件。                                            4、已形成湘西州“三线一单”成果，数据应用平台开发基本完成，科学编制“十四五”生态环境保护规划，纳入重点项目116个。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6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三级指</w:t>
            </w:r>
            <w:r>
              <w:rPr>
                <w:rFonts w:hint="eastAsia" w:cs="宋体"/>
                <w:color w:val="000000"/>
              </w:rPr>
              <w:t>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eastAsia="仿宋_GB2312"/>
                <w:color w:val="000000"/>
              </w:rPr>
            </w:pPr>
            <w:r>
              <w:rPr>
                <w:rFonts w:eastAsia="仿宋_GB2312"/>
                <w:color w:val="000000"/>
              </w:rPr>
              <w:t>指标</w:t>
            </w:r>
            <w:r>
              <w:rPr>
                <w:rFonts w:hint="eastAsia" w:cs="宋体"/>
                <w:color w:val="000000"/>
              </w:rPr>
              <w:t>值</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eastAsia="仿宋_GB2312"/>
                <w:color w:val="000000"/>
              </w:rPr>
            </w:pPr>
            <w:r>
              <w:rPr>
                <w:rFonts w:eastAsia="仿宋_GB2312"/>
                <w:color w:val="000000"/>
              </w:rPr>
              <w:t>完成</w:t>
            </w:r>
            <w:r>
              <w:rPr>
                <w:rFonts w:hint="eastAsia" w:cs="宋体"/>
                <w:color w:val="000000"/>
              </w:rPr>
              <w:t>值</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分</w:t>
            </w:r>
            <w:r>
              <w:rPr>
                <w:rFonts w:hint="eastAsia" w:cs="宋体"/>
                <w:color w:val="000000"/>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得</w:t>
            </w:r>
            <w:r>
              <w:rPr>
                <w:rFonts w:hint="eastAsia" w:cs="宋体"/>
                <w:color w:val="000000"/>
              </w:rPr>
              <w:t>分</w:t>
            </w:r>
          </w:p>
        </w:tc>
        <w:tc>
          <w:tcPr>
            <w:tcW w:w="1059"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8"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right w:val="single" w:color="auto" w:sz="4" w:space="0"/>
            </w:tcBorders>
            <w:noWrap w:val="0"/>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066"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数</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完成“千吨万人”集中式饮用水水源问题清单20个、完成农村生活污水治理村3个、淘汰老旧柴油货车35辆</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ind w:left="210" w:hanging="210" w:hanging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　20个                       3个                      35辆</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完成2个地级、12个县级、20个“千吨万人”、163个“千人以上”饮用水水源地保护区划分工作；实施农村污水治理153个村；淘汰老旧柴油货车35辆</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8</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8</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完成“夏季攻势”任务清单44项，完成中央、省环保督察交办问题362个，省生态环保督察“回头看”工作37件</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ind w:left="210" w:hanging="210" w:hanging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　44项                           362个                          37件</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完成“夏季攻势”任务清单43项、中央、省环保督察交办问题357个、省生态环保督察“回头看”工作31件</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5</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vMerge w:val="restart"/>
            <w:tcBorders>
              <w:top w:val="nil"/>
              <w:left w:val="nil"/>
              <w:right w:val="single" w:color="auto" w:sz="4" w:space="0"/>
            </w:tcBorders>
            <w:noWrap w:val="0"/>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空气质量优良率达到90%以上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xml:space="preserve">　≥90%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空气质量优良率达到99.5%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地表水监测断面水质优良率达到93.3%以上，集中饮用水水源水质达到或优于Ⅲ类比例高于96.4％</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≥93.3%                     ≥96.4%</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地表水断面水质达标率97.1%，集中式饮用水水质达标率100%</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完成全州“三线一单”成果编制，科学编制“十四五”规划</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完成全州“三线一单”成果编制，科学编制“十四五”规划</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已形成湘西州“三线一单”成果，数据应用平台开发基本完成，科学编制“十四五”生态环境保护规划，纳入重点项目116个。</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4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6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 w:val="21"/>
                <w:szCs w:val="24"/>
              </w:rPr>
            </w:pPr>
            <w:r>
              <w:rPr>
                <w:rFonts w:eastAsia="仿宋_GB2312"/>
                <w:color w:val="000000"/>
              </w:rPr>
              <w:t>三级指</w:t>
            </w:r>
            <w:r>
              <w:rPr>
                <w:rFonts w:hint="eastAsia" w:cs="宋体"/>
                <w:color w:val="000000"/>
              </w:rPr>
              <w:t>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hint="eastAsia" w:ascii="仿宋" w:hAnsi="仿宋" w:eastAsia="仿宋" w:cs="仿宋"/>
                <w:color w:val="000000"/>
                <w:sz w:val="21"/>
                <w:szCs w:val="24"/>
              </w:rPr>
            </w:pPr>
            <w:r>
              <w:rPr>
                <w:rFonts w:eastAsia="仿宋_GB2312"/>
                <w:color w:val="000000"/>
              </w:rPr>
              <w:t>指标</w:t>
            </w:r>
            <w:r>
              <w:rPr>
                <w:rFonts w:hint="eastAsia" w:cs="宋体"/>
                <w:color w:val="000000"/>
              </w:rPr>
              <w:t>值</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hint="eastAsia" w:ascii="仿宋" w:hAnsi="仿宋" w:eastAsia="仿宋" w:cs="仿宋"/>
                <w:color w:val="000000"/>
                <w:sz w:val="21"/>
                <w:szCs w:val="24"/>
              </w:rPr>
            </w:pPr>
            <w:r>
              <w:rPr>
                <w:rFonts w:eastAsia="仿宋_GB2312"/>
                <w:color w:val="000000"/>
              </w:rPr>
              <w:t>完成</w:t>
            </w:r>
            <w:r>
              <w:rPr>
                <w:rFonts w:hint="eastAsia" w:cs="宋体"/>
                <w:color w:val="000000"/>
              </w:rPr>
              <w:t>值</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eastAsia="仿宋_GB2312"/>
                <w:color w:val="000000"/>
              </w:rPr>
              <w:t>分</w:t>
            </w:r>
            <w:r>
              <w:rPr>
                <w:rFonts w:hint="eastAsia" w:cs="宋体"/>
                <w:color w:val="000000"/>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eastAsia="仿宋_GB2312"/>
                <w:color w:val="000000"/>
              </w:rPr>
              <w:t>得</w:t>
            </w:r>
            <w:r>
              <w:rPr>
                <w:rFonts w:hint="eastAsia" w:cs="宋体"/>
                <w:color w:val="000000"/>
              </w:rPr>
              <w:t>分</w:t>
            </w:r>
          </w:p>
        </w:tc>
        <w:tc>
          <w:tcPr>
            <w:tcW w:w="1059"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right w:val="single" w:color="auto" w:sz="4" w:space="0"/>
            </w:tcBorders>
            <w:noWrap w:val="0"/>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全面调查排查涉危险废物，加快补齐环境治理基础设施，持续改善水环境质量</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全面调查排查涉危险废物，加快补齐环境治理基础设施，持续改善水环境质量</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全面调查排查涉危险废物单位779家、111个尾矿库；建空气环境自动站10座、地表水环境自动站16座，安装重点污染源废水、废气在线监控设施91套。</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时</w:t>
            </w:r>
            <w:r>
              <w:rPr>
                <w:rFonts w:hint="eastAsia" w:cs="宋体"/>
                <w:color w:val="000000"/>
              </w:rPr>
              <w:t>效</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全面完成年度工作任务</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2020年12月31日前完成</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完成</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6</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成</w:t>
            </w:r>
            <w:r>
              <w:rPr>
                <w:rFonts w:hint="eastAsia" w:cs="宋体"/>
                <w:color w:val="000000"/>
              </w:rPr>
              <w:t>本</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eastAsia="仿宋_GB2312"/>
                <w:color w:val="000000"/>
              </w:rPr>
              <w:t xml:space="preserve">（30分） </w:t>
            </w:r>
          </w:p>
        </w:tc>
        <w:tc>
          <w:tcPr>
            <w:tcW w:w="1066"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经济</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社会</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协同推进经济高质量发展</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协同推进经济高质量发展</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提高了环评审批质量和效率，提升服务经济发展水平无较大及以上环境污染事件，保证群众环境权益和环境安全</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生态</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完成环境治理目标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环境质量达标、完成污染防治任务</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全面完成水、气、土环境治理目标，促进环境质量改善</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可持续影响指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促进生态环境持续改善</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促进生态环境持续改善</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通过严格执法、强化工作调度、强化环保宣传、提升全社会环保意识、促进生态环境质量持续改善</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6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 w:val="21"/>
                <w:szCs w:val="24"/>
              </w:rPr>
            </w:pPr>
            <w:r>
              <w:rPr>
                <w:rFonts w:eastAsia="仿宋_GB2312"/>
                <w:color w:val="000000"/>
              </w:rPr>
              <w:t>三级指</w:t>
            </w:r>
            <w:r>
              <w:rPr>
                <w:rFonts w:hint="eastAsia" w:cs="宋体"/>
                <w:color w:val="000000"/>
              </w:rPr>
              <w:t>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hint="eastAsia" w:ascii="仿宋" w:hAnsi="仿宋" w:eastAsia="仿宋" w:cs="仿宋"/>
                <w:color w:val="000000"/>
                <w:sz w:val="21"/>
                <w:szCs w:val="24"/>
              </w:rPr>
            </w:pPr>
            <w:r>
              <w:rPr>
                <w:rFonts w:eastAsia="仿宋_GB2312"/>
                <w:color w:val="000000"/>
              </w:rPr>
              <w:t>指标</w:t>
            </w:r>
            <w:r>
              <w:rPr>
                <w:rFonts w:hint="eastAsia" w:cs="宋体"/>
                <w:color w:val="000000"/>
              </w:rPr>
              <w:t>值</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hint="eastAsia" w:ascii="仿宋" w:hAnsi="仿宋" w:eastAsia="仿宋" w:cs="仿宋"/>
                <w:color w:val="000000"/>
                <w:sz w:val="21"/>
                <w:szCs w:val="24"/>
              </w:rPr>
            </w:pPr>
            <w:r>
              <w:rPr>
                <w:rFonts w:eastAsia="仿宋_GB2312"/>
                <w:color w:val="000000"/>
              </w:rPr>
              <w:t>完成</w:t>
            </w:r>
            <w:r>
              <w:rPr>
                <w:rFonts w:hint="eastAsia" w:cs="宋体"/>
                <w:color w:val="000000"/>
              </w:rPr>
              <w:t>值</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_GB2312" w:cs="Arial Narrow"/>
                <w:color w:val="000000"/>
              </w:rPr>
              <w:t>分</w:t>
            </w:r>
            <w:r>
              <w:rPr>
                <w:rFonts w:hint="default" w:ascii="Arial Narrow" w:hAnsi="Arial Narrow" w:cs="Arial Narrow"/>
                <w:color w:val="000000"/>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_GB2312" w:cs="Arial Narrow"/>
                <w:color w:val="000000"/>
              </w:rPr>
              <w:t>得</w:t>
            </w:r>
            <w:r>
              <w:rPr>
                <w:rFonts w:hint="default" w:ascii="Arial Narrow" w:hAnsi="Arial Narrow" w:cs="Arial Narrow"/>
                <w:color w:val="000000"/>
              </w:rPr>
              <w:t>分</w:t>
            </w:r>
          </w:p>
        </w:tc>
        <w:tc>
          <w:tcPr>
            <w:tcW w:w="1059"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满意</w:t>
            </w:r>
            <w:r>
              <w:rPr>
                <w:rFonts w:hint="eastAsia" w:cs="宋体"/>
                <w:color w:val="000000"/>
              </w:rPr>
              <w:t>度</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p>
            <w:pPr>
              <w:spacing w:line="260" w:lineRule="exact"/>
              <w:jc w:val="center"/>
              <w:rPr>
                <w:rFonts w:eastAsia="仿宋_GB2312"/>
                <w:color w:val="000000"/>
              </w:rPr>
            </w:pPr>
            <w:r>
              <w:rPr>
                <w:rFonts w:eastAsia="仿宋_GB2312"/>
                <w:color w:val="000000"/>
              </w:rPr>
              <w:t>（10分</w:t>
            </w:r>
            <w:r>
              <w:rPr>
                <w:rFonts w:hint="eastAsia" w:cs="宋体"/>
                <w:color w:val="000000"/>
              </w:rPr>
              <w:t>）</w:t>
            </w:r>
          </w:p>
        </w:tc>
        <w:tc>
          <w:tcPr>
            <w:tcW w:w="1066" w:type="dxa"/>
            <w:vMerge w:val="restart"/>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服务对象满意度指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部门履行职责而影响到的部门内部员工满意度95%以上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部门履行职责而影响到的社会群众满意度95%以上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≥95%</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4</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4</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部门履行职责而影响到的服务对象满意度95%以上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330" w:type="dxa"/>
            <w:gridSpan w:val="7"/>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b/>
                <w:bCs/>
                <w:color w:val="000000"/>
              </w:rPr>
            </w:pPr>
            <w:r>
              <w:rPr>
                <w:rFonts w:eastAsia="仿宋_GB2312"/>
                <w:b/>
                <w:bCs/>
                <w:color w:val="000000"/>
              </w:rPr>
              <w:t>总</w:t>
            </w:r>
            <w:r>
              <w:rPr>
                <w:rFonts w:hint="eastAsia" w:cs="宋体"/>
                <w:b/>
                <w:bCs/>
                <w:color w:val="000000"/>
              </w:rPr>
              <w:t>分</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_GB2312" w:cs="Arial Narrow"/>
                <w:b/>
                <w:bCs/>
                <w:color w:val="000000"/>
              </w:rPr>
            </w:pPr>
            <w:r>
              <w:rPr>
                <w:rFonts w:hint="default" w:ascii="Arial Narrow" w:hAnsi="Arial Narrow" w:eastAsia="仿宋_GB2312" w:cs="Arial Narrow"/>
                <w:b/>
                <w:bCs/>
                <w:color w:val="000000"/>
              </w:rPr>
              <w:t>100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_GB2312" w:cs="Arial Narrow"/>
                <w:color w:val="000000"/>
                <w:lang w:val="en-US" w:eastAsia="zh-CN"/>
              </w:rPr>
            </w:pPr>
            <w:r>
              <w:rPr>
                <w:rFonts w:hint="default" w:ascii="Arial Narrow" w:hAnsi="Arial Narrow" w:eastAsia="仿宋_GB2312" w:cs="Arial Narrow"/>
                <w:b/>
                <w:bCs/>
                <w:color w:val="000000"/>
                <w:lang w:val="en-US" w:eastAsia="zh-CN"/>
              </w:rPr>
              <w:t>96</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bl>
    <w:p>
      <w:pPr>
        <w:spacing w:before="120" w:beforeLines="50"/>
        <w:ind w:left="-619" w:leftChars="-295" w:right="-195" w:rightChars="-93" w:firstLine="192" w:firstLineChars="80"/>
        <w:jc w:val="left"/>
        <w:rPr>
          <w:rFonts w:eastAsia="黑体"/>
          <w:sz w:val="32"/>
          <w:szCs w:val="32"/>
        </w:rPr>
      </w:pPr>
      <w:r>
        <w:rPr>
          <w:rFonts w:eastAsia="仿宋_GB2312"/>
          <w:sz w:val="24"/>
        </w:rPr>
        <w:t>单位负责人签字：</w:t>
      </w:r>
      <w:r>
        <w:rPr>
          <w:rFonts w:hint="eastAsia" w:eastAsia="仿宋_GB2312"/>
          <w:sz w:val="24"/>
        </w:rPr>
        <w:t xml:space="preserve">      </w:t>
      </w:r>
      <w:r>
        <w:rPr>
          <w:rFonts w:hint="eastAsia" w:eastAsia="仿宋_GB2312"/>
          <w:sz w:val="24"/>
          <w:lang w:val="en-US" w:eastAsia="zh-CN"/>
        </w:rPr>
        <w:t xml:space="preserve"> </w:t>
      </w:r>
      <w:r>
        <w:rPr>
          <w:rFonts w:eastAsia="仿宋_GB2312"/>
          <w:sz w:val="24"/>
        </w:rPr>
        <w:t xml:space="preserve">填表人：   </w:t>
      </w:r>
      <w:r>
        <w:rPr>
          <w:rFonts w:hint="eastAsia" w:eastAsia="仿宋_GB2312"/>
          <w:sz w:val="24"/>
          <w:lang w:val="en-US" w:eastAsia="zh-CN"/>
        </w:rPr>
        <w:t xml:space="preserve"> </w:t>
      </w:r>
      <w:r>
        <w:rPr>
          <w:rFonts w:eastAsia="仿宋_GB2312"/>
          <w:sz w:val="24"/>
        </w:rPr>
        <w:t xml:space="preserve">  联系电话：</w:t>
      </w: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 xml:space="preserve">  </w:t>
      </w:r>
      <w:r>
        <w:rPr>
          <w:rFonts w:eastAsia="仿宋_GB2312"/>
          <w:sz w:val="24"/>
        </w:rPr>
        <w:t xml:space="preserve">填报日期： </w:t>
      </w:r>
      <w:r>
        <w:rPr>
          <w:rFonts w:hint="eastAsia" w:eastAsia="仿宋_GB2312"/>
          <w:sz w:val="24"/>
          <w:lang w:val="en-US" w:eastAsia="zh-CN"/>
        </w:rPr>
        <w:t xml:space="preserve"> </w:t>
      </w:r>
      <w:r>
        <w:rPr>
          <w:rFonts w:hint="eastAsia" w:eastAsia="仿宋_GB2312"/>
          <w:sz w:val="24"/>
        </w:rPr>
        <w:t xml:space="preserve">年 </w:t>
      </w:r>
      <w:r>
        <w:rPr>
          <w:rFonts w:hint="eastAsia" w:eastAsia="仿宋_GB2312"/>
          <w:sz w:val="24"/>
          <w:lang w:val="en-US" w:eastAsia="zh-CN"/>
        </w:rPr>
        <w:t xml:space="preserve"> </w:t>
      </w:r>
      <w:r>
        <w:rPr>
          <w:rFonts w:hint="eastAsia" w:eastAsia="仿宋_GB2312"/>
          <w:sz w:val="24"/>
        </w:rPr>
        <w:t xml:space="preserve">  月 </w:t>
      </w:r>
      <w:r>
        <w:rPr>
          <w:rFonts w:hint="eastAsia" w:eastAsia="仿宋_GB2312"/>
          <w:sz w:val="24"/>
          <w:lang w:val="en-US" w:eastAsia="zh-CN"/>
        </w:rPr>
        <w:t xml:space="preserve"> </w:t>
      </w:r>
      <w:r>
        <w:rPr>
          <w:rFonts w:hint="eastAsia" w:eastAsia="仿宋_GB2312"/>
          <w:sz w:val="24"/>
        </w:rPr>
        <w:t xml:space="preserve">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建设类规划、建设项目的环境影响评价、评审等方面的支出经费</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eastAsia="仿宋"/>
                <w:color w:val="000000"/>
                <w:lang w:val="en-US" w:eastAsia="zh-CN"/>
              </w:rPr>
            </w:pPr>
            <w:r>
              <w:rPr>
                <w:rFonts w:hint="eastAsia" w:ascii="仿宋" w:hAnsi="仿宋" w:eastAsia="仿宋" w:cs="仿宋"/>
                <w:color w:val="000000"/>
              </w:rPr>
              <w:t>　湘西土家族苗族自治州生态环境局</w:t>
            </w:r>
            <w:r>
              <w:rPr>
                <w:rFonts w:hint="eastAsia" w:ascii="仿宋" w:hAnsi="仿宋" w:eastAsia="仿宋" w:cs="仿宋"/>
                <w:color w:val="000000"/>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29.99</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99.97%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29.99</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1、按计划开展全州土壤污染防治、修复督察工作；</w:t>
            </w:r>
            <w:r>
              <w:rPr>
                <w:rFonts w:hint="eastAsia" w:eastAsia="仿宋_GB2312"/>
                <w:color w:val="000000"/>
                <w:lang w:val="en-US" w:eastAsia="zh-CN"/>
              </w:rPr>
              <w:t xml:space="preserve">                                           </w:t>
            </w:r>
            <w:r>
              <w:rPr>
                <w:rFonts w:hint="eastAsia" w:eastAsia="仿宋_GB2312"/>
                <w:color w:val="000000"/>
              </w:rPr>
              <w:t>2、按计划开展全州大气污染防治督察工作 ；</w:t>
            </w:r>
            <w:r>
              <w:rPr>
                <w:rFonts w:hint="eastAsia" w:eastAsia="仿宋_GB2312"/>
                <w:color w:val="000000"/>
                <w:lang w:val="en-US" w:eastAsia="zh-CN"/>
              </w:rPr>
              <w:t xml:space="preserve">    </w:t>
            </w:r>
            <w:r>
              <w:rPr>
                <w:rFonts w:hint="eastAsia" w:eastAsia="仿宋_GB2312"/>
                <w:color w:val="000000"/>
              </w:rPr>
              <w:t>3、按计划开展水污染防治督察工作等；</w:t>
            </w:r>
            <w:r>
              <w:rPr>
                <w:rFonts w:hint="eastAsia" w:eastAsia="仿宋_GB2312"/>
                <w:color w:val="000000"/>
                <w:lang w:val="en-US" w:eastAsia="zh-CN"/>
              </w:rPr>
              <w:t xml:space="preserve">             </w:t>
            </w:r>
            <w:r>
              <w:rPr>
                <w:rFonts w:hint="eastAsia" w:eastAsia="仿宋_GB2312"/>
                <w:color w:val="000000"/>
              </w:rPr>
              <w:t>4、完成建设项目环评审查与监督等工作。</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　完成了建设类规划、建设项目的环境影响评价、评审等方面的工作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vMerge w:val="restart"/>
            <w:tcBorders>
              <w:top w:val="nil"/>
              <w:left w:val="nil"/>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开展全州土壤污染防治、修复督察工作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开展全州土壤污染防治、修复督察工作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全面调查排查涉危险废物单位779家、111个尾矿库。</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开展全州大气污染防治督察工作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空气质量优良率达到90%以上</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空气质量优良率达到99.5%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color w:val="000000"/>
                <w:lang w:val="en-US" w:eastAsia="zh-CN"/>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color w:val="000000"/>
                <w:lang w:val="en-US" w:eastAsia="zh-CN"/>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vMerge w:val="restart"/>
            <w:tcBorders>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展水污染防治督察工作</w:t>
            </w:r>
          </w:p>
        </w:tc>
        <w:tc>
          <w:tcPr>
            <w:tcW w:w="1202"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地表水监测断面水质优良率达到93.3%以上，集中饮用水水源水质达到比例高于96.4％</w:t>
            </w:r>
          </w:p>
        </w:tc>
        <w:tc>
          <w:tcPr>
            <w:tcW w:w="1129"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地表水断面水质达标率97.1%，集中式饮用水水质达标率100%</w:t>
            </w:r>
          </w:p>
        </w:tc>
        <w:tc>
          <w:tcPr>
            <w:tcW w:w="824" w:type="dxa"/>
            <w:tcBorders>
              <w:top w:val="single" w:color="auto" w:sz="4" w:space="0"/>
              <w:left w:val="nil"/>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1411"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全年按时完成以上任务</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2020年1-12月</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完成建设项目环评审查与监督等工作。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完成建设项目环评审查与监督等工作。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提高环境质量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提高环境质量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lang w:val="en-US" w:eastAsia="zh-CN"/>
              </w:rPr>
            </w:pPr>
            <w:r>
              <w:rPr>
                <w:rFonts w:hint="eastAsia" w:eastAsia="仿宋_GB2312"/>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民生保障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可持续</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lang w:val="en-US" w:eastAsia="zh-CN"/>
              </w:rPr>
            </w:pPr>
            <w:r>
              <w:rPr>
                <w:rFonts w:hint="eastAsia" w:eastAsia="仿宋_GB2312"/>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default" w:ascii="仿宋" w:hAnsi="仿宋" w:eastAsia="仿宋" w:cs="仿宋"/>
                <w:color w:val="000000"/>
                <w:lang w:val="en-US" w:eastAsia="zh-CN"/>
              </w:rPr>
              <w:t>≥90%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90%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lang w:val="en-US" w:eastAsia="zh-CN"/>
              </w:rPr>
            </w:pPr>
            <w:r>
              <w:rPr>
                <w:rFonts w:hint="default" w:ascii="Times New Roman" w:hAnsi="Times New Roman" w:eastAsia="仿宋_GB2312" w:cs="Times New Roman"/>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-2</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216"/>
        <w:gridCol w:w="1129"/>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环境保护与管理、环境监测与监察、环境执法等支出经费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湘西土家族苗族自治州生态环境局</w:t>
            </w:r>
            <w:r>
              <w:rPr>
                <w:rFonts w:hint="eastAsia" w:ascii="仿宋" w:hAnsi="仿宋" w:eastAsia="仿宋" w:cs="仿宋"/>
                <w:color w:val="000000"/>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16"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105.00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109.31</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109.31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105.00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105.00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color w:val="000000"/>
                <w:kern w:val="2"/>
                <w:sz w:val="21"/>
                <w:szCs w:val="24"/>
                <w:lang w:val="en-US" w:eastAsia="zh-CN" w:bidi="ar-SA"/>
              </w:rPr>
            </w:pPr>
            <w:r>
              <w:rPr>
                <w:rFonts w:hint="eastAsia" w:cs="宋体"/>
                <w:color w:val="000000"/>
              </w:rPr>
              <w:t>　</w:t>
            </w:r>
            <w:r>
              <w:rPr>
                <w:rFonts w:hint="eastAsia" w:cs="宋体"/>
                <w:color w:val="000000"/>
                <w:lang w:val="en-US" w:eastAsia="zh-CN"/>
              </w:rPr>
              <w:t>105.00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21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4.31</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4.31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21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rPr>
            </w:pPr>
            <w:r>
              <w:rPr>
                <w:rFonts w:eastAsia="仿宋_GB2312"/>
                <w:color w:val="000000"/>
              </w:rPr>
              <w:t xml:space="preserve"> </w:t>
            </w:r>
            <w:r>
              <w:rPr>
                <w:rFonts w:hint="eastAsia" w:eastAsia="仿宋_GB2312"/>
                <w:color w:val="000000"/>
              </w:rPr>
              <w:t>一、按计划完成全州环境污染防治的现场监督管理；</w:t>
            </w:r>
          </w:p>
          <w:p>
            <w:pPr>
              <w:jc w:val="left"/>
              <w:rPr>
                <w:rFonts w:hint="eastAsia" w:eastAsia="仿宋_GB2312"/>
                <w:color w:val="000000"/>
              </w:rPr>
            </w:pPr>
            <w:r>
              <w:rPr>
                <w:rFonts w:hint="eastAsia" w:eastAsia="仿宋_GB2312"/>
                <w:color w:val="000000"/>
              </w:rPr>
              <w:t>二、依法开展自然生态保护的环境监察工作；</w:t>
            </w:r>
          </w:p>
          <w:p>
            <w:pPr>
              <w:jc w:val="left"/>
              <w:rPr>
                <w:rFonts w:hint="eastAsia" w:eastAsia="仿宋_GB2312"/>
                <w:color w:val="000000"/>
              </w:rPr>
            </w:pPr>
            <w:r>
              <w:rPr>
                <w:rFonts w:hint="eastAsia" w:eastAsia="仿宋_GB2312"/>
                <w:color w:val="000000"/>
              </w:rPr>
              <w:t>三、依法开展生态环境监察工作；</w:t>
            </w:r>
          </w:p>
          <w:p>
            <w:pPr>
              <w:jc w:val="left"/>
              <w:rPr>
                <w:rFonts w:hint="eastAsia" w:eastAsia="仿宋_GB2312"/>
                <w:color w:val="000000"/>
              </w:rPr>
            </w:pPr>
            <w:r>
              <w:rPr>
                <w:rFonts w:hint="eastAsia" w:eastAsia="仿宋_GB2312"/>
                <w:color w:val="000000"/>
              </w:rPr>
              <w:t>四、按计划完成较大的环境污染事故的查处工作；</w:t>
            </w:r>
          </w:p>
          <w:p>
            <w:pPr>
              <w:jc w:val="left"/>
              <w:rPr>
                <w:rFonts w:hint="eastAsia" w:eastAsia="仿宋_GB2312"/>
                <w:color w:val="000000"/>
              </w:rPr>
            </w:pPr>
            <w:r>
              <w:rPr>
                <w:rFonts w:hint="eastAsia" w:eastAsia="仿宋_GB2312"/>
                <w:color w:val="000000"/>
              </w:rPr>
              <w:t>五、按计划完成对县、市环境监察行政执法情况进行简单、检查；</w:t>
            </w:r>
          </w:p>
          <w:p>
            <w:pPr>
              <w:jc w:val="left"/>
              <w:rPr>
                <w:rFonts w:eastAsia="仿宋_GB2312"/>
                <w:color w:val="000000"/>
              </w:rPr>
            </w:pPr>
            <w:r>
              <w:rPr>
                <w:rFonts w:hint="eastAsia" w:eastAsia="仿宋_GB2312"/>
                <w:color w:val="000000"/>
              </w:rPr>
              <w:t>六、按计划完成环境监察人员的业务培训和环境监督信息管理工作。</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　完成了环境污染防治现场监督管理、环境监察人员业务培训和环境监督信息管理工作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eastAsia="仿宋_GB2312"/>
                <w:color w:val="000000"/>
              </w:rPr>
              <w:t>完成较大的环境污染事故的查处工作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完成较大的环境污染事故的查处工作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10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完成县、市环境监察行政执法情况进行简单、检查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完成对县、市环境监察行政执法情况进行简单、检查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216" w:type="dxa"/>
            <w:tcBorders>
              <w:top w:val="single" w:color="auto" w:sz="4" w:space="0"/>
              <w:left w:val="nil"/>
              <w:right w:val="single" w:color="auto" w:sz="4" w:space="0"/>
            </w:tcBorders>
            <w:noWrap w:val="0"/>
            <w:vAlign w:val="center"/>
          </w:tcPr>
          <w:p>
            <w:pPr>
              <w:spacing w:line="240" w:lineRule="exact"/>
              <w:jc w:val="center"/>
              <w:rPr>
                <w:rFonts w:hint="eastAsia" w:eastAsia="仿宋_GB2312"/>
                <w:color w:val="000000"/>
                <w:sz w:val="16"/>
                <w:szCs w:val="20"/>
              </w:rPr>
            </w:pPr>
            <w:r>
              <w:rPr>
                <w:rFonts w:eastAsia="仿宋_GB2312"/>
                <w:color w:val="000000"/>
              </w:rPr>
              <w:t>三级指</w:t>
            </w:r>
            <w:r>
              <w:rPr>
                <w:rFonts w:hint="eastAsia" w:cs="宋体"/>
                <w:color w:val="000000"/>
              </w:rPr>
              <w:t>标</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color w:val="000000"/>
                <w:sz w:val="18"/>
                <w:szCs w:val="21"/>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216"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sz w:val="21"/>
                <w:szCs w:val="21"/>
              </w:rPr>
            </w:pPr>
            <w:r>
              <w:rPr>
                <w:rFonts w:hint="eastAsia" w:ascii="仿宋" w:hAnsi="仿宋" w:eastAsia="仿宋" w:cs="仿宋"/>
                <w:color w:val="000000"/>
                <w:sz w:val="21"/>
                <w:szCs w:val="21"/>
              </w:rPr>
              <w:t>完成全州环境污染防治的现场监督管理</w:t>
            </w:r>
          </w:p>
        </w:tc>
        <w:tc>
          <w:tcPr>
            <w:tcW w:w="1129"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大气、水、土壤污染防治</w:t>
            </w:r>
            <w:r>
              <w:rPr>
                <w:rFonts w:hint="eastAsia" w:ascii="仿宋" w:hAnsi="仿宋" w:eastAsia="仿宋" w:cs="仿宋"/>
                <w:color w:val="000000"/>
                <w:sz w:val="21"/>
                <w:szCs w:val="21"/>
                <w:lang w:val="en-US" w:eastAsia="zh-CN"/>
              </w:rPr>
              <w:t>达到要求</w:t>
            </w:r>
          </w:p>
        </w:tc>
        <w:tc>
          <w:tcPr>
            <w:tcW w:w="1129"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开展自然生态保护的环境监察工作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开展自然生态保护的环境监察工作</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按时完成</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2020年12月31日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保障人体健康</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保障人体健康</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保护和改善生态环境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保护和改善生态环境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社会公众或服务对象满意度</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90%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b/>
                <w:bCs/>
                <w:color w:val="000000"/>
                <w:lang w:val="en-US" w:eastAsia="zh-CN"/>
              </w:rPr>
            </w:pPr>
            <w:r>
              <w:rPr>
                <w:rFonts w:hint="eastAsia" w:ascii="仿宋" w:hAnsi="仿宋" w:eastAsia="仿宋" w:cs="仿宋"/>
                <w:b/>
                <w:bCs/>
                <w:color w:val="000000"/>
              </w:rPr>
              <w:t>　</w:t>
            </w:r>
            <w:r>
              <w:rPr>
                <w:rFonts w:hint="eastAsia" w:ascii="仿宋" w:hAnsi="仿宋" w:eastAsia="仿宋" w:cs="仿宋"/>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b/>
                <w:bCs/>
                <w:color w:val="000000"/>
              </w:rPr>
            </w:pPr>
            <w:r>
              <w:rPr>
                <w:rFonts w:hint="eastAsia" w:ascii="仿宋" w:hAnsi="仿宋" w:eastAsia="仿宋" w:cs="仿宋"/>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240" w:firstLineChars="10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 xml:space="preserve">填表人：    </w:t>
      </w:r>
      <w:r>
        <w:rPr>
          <w:rFonts w:hint="eastAsia" w:eastAsia="仿宋_GB2312"/>
          <w:sz w:val="24"/>
          <w:lang w:val="en-US" w:eastAsia="zh-CN"/>
        </w:rPr>
        <w:t xml:space="preserve"> </w:t>
      </w:r>
      <w:r>
        <w:rPr>
          <w:rFonts w:eastAsia="仿宋_GB2312"/>
          <w:sz w:val="24"/>
        </w:rPr>
        <w:t xml:space="preserve">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-3</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537"/>
        <w:gridCol w:w="794"/>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环境保护与管理、环境监测与监察、环境执法等支出经费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829"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湘西土家族苗族自治州生态环境局</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湘西土家族苗族自治州生态环境局</w:t>
            </w:r>
            <w:r>
              <w:rPr>
                <w:rFonts w:hint="eastAsia" w:ascii="仿宋" w:hAnsi="仿宋" w:eastAsia="仿宋" w:cs="仿宋"/>
                <w:color w:val="000000"/>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537"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794"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22.50</w:t>
            </w:r>
          </w:p>
        </w:tc>
        <w:tc>
          <w:tcPr>
            <w:tcW w:w="1537"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22.50</w:t>
            </w:r>
          </w:p>
        </w:tc>
        <w:tc>
          <w:tcPr>
            <w:tcW w:w="1537"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829"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3898"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829"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eastAsia="仿宋_GB2312"/>
                <w:color w:val="000000"/>
              </w:rPr>
              <w:t>医疗废物集中处置覆盖8县市城区医疗卫生机构（含城区个体诊所）和收运干道远途乡镇卫生医院。</w:t>
            </w:r>
            <w:r>
              <w:rPr>
                <w:rFonts w:eastAsia="仿宋_GB2312"/>
                <w:color w:val="000000"/>
              </w:rPr>
              <w:t xml:space="preserve">  </w:t>
            </w:r>
          </w:p>
        </w:tc>
        <w:tc>
          <w:tcPr>
            <w:tcW w:w="3898"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ascii="仿宋" w:hAnsi="仿宋" w:eastAsia="仿宋" w:cs="仿宋"/>
                <w:color w:val="000000"/>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37"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794"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医疗废物年处置量900吨，合每天2.5吨/天</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≥900吨</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微生物灭活率大于99.99%</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＞99.99%</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18"/>
                <w:szCs w:val="21"/>
              </w:rPr>
            </w:pPr>
            <w:r>
              <w:rPr>
                <w:rFonts w:hint="eastAsia" w:eastAsia="仿宋_GB2312"/>
                <w:color w:val="000000"/>
                <w:sz w:val="20"/>
                <w:szCs w:val="22"/>
              </w:rPr>
              <w:t>拨付上半年补贴，计划完成时间：2020年6月</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2020年6月</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7</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074" w:type="dxa"/>
            <w:vMerge w:val="restart"/>
            <w:tcBorders>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37"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794"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拨付下半年补贴，计划完成时间：2020年10月</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2020年10月</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8</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逐步降低年度亏顺，医疗废物相关重大公共卫生安全事故0起</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医疗卫生机构满意度80%</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≥80%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80%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b/>
                <w:bCs/>
                <w:color w:val="000000"/>
                <w:lang w:val="en-US" w:eastAsia="zh-CN"/>
              </w:rPr>
            </w:pPr>
            <w:r>
              <w:rPr>
                <w:rFonts w:hint="eastAsia" w:cs="宋体"/>
                <w:b/>
                <w:bCs/>
                <w:color w:val="000000"/>
              </w:rPr>
              <w:t>　</w:t>
            </w:r>
            <w:r>
              <w:rPr>
                <w:rFonts w:hint="eastAsia" w:cs="宋体"/>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240" w:firstLineChars="10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-4</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环境监测与监察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湘西土家族苗族自治州生态环境局凤凰分局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115.44</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115.44</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115.44</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115.44</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eastAsia="仿宋_GB2312"/>
                <w:color w:val="000000"/>
              </w:rPr>
              <w:t>检查各类污染源企事业、掌握辖区内企业违法事实和污染隐患，对饮用水源和沱江河管理工作</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ascii="仿宋" w:hAnsi="仿宋" w:eastAsia="仿宋" w:cs="仿宋"/>
                <w:color w:val="000000"/>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产出指标</w:t>
            </w:r>
          </w:p>
          <w:p>
            <w:pPr>
              <w:jc w:val="center"/>
              <w:rPr>
                <w:rFonts w:hint="eastAsia" w:ascii="仿宋" w:hAnsi="仿宋" w:eastAsia="仿宋" w:cs="仿宋"/>
                <w:color w:val="000000"/>
              </w:rPr>
            </w:pPr>
            <w:r>
              <w:rPr>
                <w:rFonts w:hint="eastAsia" w:ascii="仿宋" w:hAnsi="仿宋" w:eastAsia="仿宋" w:cs="仿宋"/>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检查各类污染源企事业</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检查各类污染源企事业</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掌握辖区内企业违法事实和污染隐患</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掌握辖区内企业违法事实和污染隐患</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eastAsia="仿宋_GB2312"/>
                <w:color w:val="000000"/>
              </w:rPr>
              <w:t>饮用水源</w:t>
            </w:r>
            <w:r>
              <w:rPr>
                <w:rFonts w:hint="eastAsia" w:ascii="仿宋" w:hAnsi="仿宋" w:eastAsia="仿宋" w:cs="仿宋"/>
                <w:color w:val="000000"/>
                <w:lang w:val="en-US" w:eastAsia="zh-CN"/>
              </w:rPr>
              <w:t>质量达标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eastAsia="仿宋_GB2312"/>
                <w:color w:val="000000"/>
              </w:rPr>
              <w:t>饮用水源</w:t>
            </w:r>
            <w:r>
              <w:rPr>
                <w:rFonts w:hint="eastAsia" w:ascii="仿宋" w:hAnsi="仿宋" w:eastAsia="仿宋" w:cs="仿宋"/>
                <w:color w:val="000000"/>
                <w:lang w:val="en-US" w:eastAsia="zh-CN"/>
              </w:rPr>
              <w:t>质量达标</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20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按时完成工作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2020年12月31日</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hint="eastAsia" w:ascii="仿宋" w:hAnsi="仿宋" w:eastAsia="仿宋" w:cs="仿宋"/>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lang w:val="en-US" w:eastAsia="zh-CN"/>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color w:val="000000"/>
                <w:lang w:val="en-US" w:eastAsia="zh-CN"/>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lang w:val="en-US" w:eastAsia="zh-CN"/>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lang w:val="en-US" w:eastAsia="zh-CN"/>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效益指标</w:t>
            </w:r>
          </w:p>
          <w:p>
            <w:pPr>
              <w:jc w:val="left"/>
              <w:rPr>
                <w:rFonts w:hint="eastAsia" w:ascii="仿宋" w:hAnsi="仿宋" w:eastAsia="仿宋" w:cs="仿宋"/>
                <w:color w:val="000000"/>
              </w:rPr>
            </w:pPr>
            <w:r>
              <w:rPr>
                <w:rFonts w:hint="eastAsia" w:ascii="仿宋" w:hAnsi="仿宋" w:eastAsia="仿宋" w:cs="仿宋"/>
                <w:color w:val="000000"/>
              </w:rPr>
              <w:t>（30分）</w:t>
            </w:r>
          </w:p>
        </w:tc>
        <w:tc>
          <w:tcPr>
            <w:tcW w:w="1075" w:type="dxa"/>
            <w:vMerge w:val="restart"/>
            <w:tcBorders>
              <w:top w:val="nil"/>
              <w:left w:val="nil"/>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经济效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社会效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改善水资源环境</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使人民</w:t>
            </w:r>
            <w:r>
              <w:rPr>
                <w:rFonts w:hint="eastAsia" w:ascii="仿宋" w:hAnsi="仿宋" w:eastAsia="仿宋" w:cs="仿宋"/>
                <w:color w:val="000000"/>
                <w:lang w:val="en-US" w:eastAsia="zh-CN"/>
              </w:rPr>
              <w:t>饮用水</w:t>
            </w:r>
            <w:r>
              <w:rPr>
                <w:rFonts w:hint="eastAsia" w:ascii="仿宋" w:hAnsi="仿宋" w:eastAsia="仿宋" w:cs="仿宋"/>
                <w:color w:val="000000"/>
              </w:rPr>
              <w:t>得以大幅改观</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生态效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提高生态环境质量</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lang w:val="en-US" w:eastAsia="zh-CN"/>
              </w:rPr>
              <w:t>提高生态环境质量</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满意度</w:t>
            </w:r>
          </w:p>
          <w:p>
            <w:pPr>
              <w:jc w:val="center"/>
              <w:rPr>
                <w:rFonts w:hint="eastAsia" w:ascii="仿宋" w:hAnsi="仿宋" w:eastAsia="仿宋" w:cs="仿宋"/>
                <w:color w:val="000000"/>
              </w:rPr>
            </w:pPr>
            <w:r>
              <w:rPr>
                <w:rFonts w:hint="eastAsia" w:ascii="仿宋" w:hAnsi="仿宋" w:eastAsia="仿宋" w:cs="仿宋"/>
                <w:color w:val="000000"/>
              </w:rPr>
              <w:t>指标</w:t>
            </w:r>
          </w:p>
          <w:p>
            <w:pPr>
              <w:jc w:val="center"/>
              <w:rPr>
                <w:rFonts w:hint="eastAsia" w:ascii="仿宋" w:hAnsi="仿宋" w:eastAsia="仿宋" w:cs="仿宋"/>
                <w:color w:val="000000"/>
              </w:rPr>
            </w:pPr>
            <w:r>
              <w:rPr>
                <w:rFonts w:hint="eastAsia" w:ascii="仿宋" w:hAnsi="仿宋" w:eastAsia="仿宋" w:cs="仿宋"/>
                <w:color w:val="000000"/>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社会公众或服务对象满意度</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90%以上</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b/>
                <w:bCs/>
                <w:color w:val="000000"/>
                <w:lang w:val="en-US" w:eastAsia="zh-CN"/>
              </w:rPr>
            </w:pPr>
            <w:r>
              <w:rPr>
                <w:rFonts w:hint="eastAsia" w:ascii="仿宋" w:hAnsi="仿宋" w:eastAsia="仿宋" w:cs="仿宋"/>
                <w:b/>
                <w:bCs/>
                <w:color w:val="000000"/>
              </w:rPr>
              <w:t>　</w:t>
            </w:r>
            <w:r>
              <w:rPr>
                <w:rFonts w:hint="eastAsia" w:ascii="仿宋" w:hAnsi="仿宋" w:eastAsia="仿宋" w:cs="仿宋"/>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b/>
                <w:bCs/>
                <w:color w:val="000000"/>
              </w:rPr>
            </w:pPr>
            <w:r>
              <w:rPr>
                <w:rFonts w:hint="eastAsia" w:ascii="仿宋" w:hAnsi="仿宋" w:eastAsia="仿宋" w:cs="仿宋"/>
                <w:b/>
                <w:bCs/>
                <w:color w:val="000000"/>
              </w:rPr>
              <w:t>　</w:t>
            </w:r>
          </w:p>
        </w:tc>
      </w:tr>
    </w:tbl>
    <w:p>
      <w:pPr>
        <w:spacing w:before="120" w:beforeLines="50"/>
        <w:ind w:left="-420" w:leftChars="-200" w:firstLine="0" w:firstLineChars="0"/>
        <w:jc w:val="left"/>
        <w:rPr>
          <w:rFonts w:eastAsia="仿宋_GB2312"/>
          <w:sz w:val="24"/>
        </w:rPr>
      </w:pPr>
      <w:r>
        <w:rPr>
          <w:rFonts w:hint="eastAsia" w:ascii="仿宋" w:hAnsi="仿宋" w:eastAsia="仿宋" w:cs="仿宋"/>
          <w:sz w:val="24"/>
        </w:rPr>
        <w:t>说明：此表项目支出不包括财政部门要求单独进行项目支出绩效自评项目，每个一级</w:t>
      </w:r>
      <w:r>
        <w:rPr>
          <w:rFonts w:hint="eastAsia" w:eastAsia="仿宋_GB2312"/>
          <w:sz w:val="24"/>
        </w:rPr>
        <w:t>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-5</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996"/>
        <w:gridCol w:w="1092"/>
        <w:gridCol w:w="1164"/>
        <w:gridCol w:w="1548"/>
        <w:gridCol w:w="878"/>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82"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环境监察执法工作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800"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　湘西土家族苗族自治州生态环境局</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湘西土家族苗族自治州生态环境局凤凰分局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19"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088"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64"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548"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878"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68.00</w:t>
            </w:r>
          </w:p>
        </w:tc>
        <w:tc>
          <w:tcPr>
            <w:tcW w:w="1548"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rPr>
              <w:t>65</w:t>
            </w:r>
            <w:r>
              <w:rPr>
                <w:rFonts w:hint="eastAsia" w:cs="宋体"/>
                <w:color w:val="000000"/>
                <w:lang w:val="en-US" w:eastAsia="zh-CN"/>
              </w:rPr>
              <w:t>.00</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s="宋体"/>
                <w:color w:val="000000"/>
              </w:rPr>
              <w:t>65</w:t>
            </w:r>
            <w:r>
              <w:rPr>
                <w:rFonts w:hint="eastAsia" w:cs="宋体"/>
                <w:color w:val="000000"/>
                <w:lang w:val="en-US" w:eastAsia="zh-CN"/>
              </w:rPr>
              <w:t>.00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68.00</w:t>
            </w:r>
          </w:p>
        </w:tc>
        <w:tc>
          <w:tcPr>
            <w:tcW w:w="1548"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rPr>
              <w:t>65</w:t>
            </w:r>
            <w:r>
              <w:rPr>
                <w:rFonts w:hint="eastAsia" w:cs="宋体"/>
                <w:color w:val="000000"/>
                <w:lang w:val="en-US" w:eastAsia="zh-CN"/>
              </w:rPr>
              <w:t>.00</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s="宋体"/>
                <w:color w:val="000000"/>
              </w:rPr>
              <w:t>65</w:t>
            </w:r>
            <w:r>
              <w:rPr>
                <w:rFonts w:hint="eastAsia" w:cs="宋体"/>
                <w:color w:val="000000"/>
                <w:lang w:val="en-US" w:eastAsia="zh-CN"/>
              </w:rPr>
              <w:t>.00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54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54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800"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3982"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800"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完成企事业单位污染隐患整改，及时掌握水质状况，定期巡查，完成年度减排任务</w:t>
            </w:r>
          </w:p>
        </w:tc>
        <w:tc>
          <w:tcPr>
            <w:tcW w:w="3982"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完成企事业单位污染隐患整改，及时掌握水质状况，定期巡查，完成年度减排任务</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19"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99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9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48"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878"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业务工作经费、日常公用经费、人员经费</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183万元</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完成年初指标任务</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完成时间</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2020年12月31日</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按年初预算控制支出</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按年初预算控制支出</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019"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019"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pPr>
            <w:r>
              <w:rPr>
                <w:rFonts w:hint="eastAsia" w:cs="宋体"/>
                <w:color w:val="000000"/>
              </w:rPr>
              <w:t>标</w:t>
            </w:r>
          </w:p>
        </w:tc>
        <w:tc>
          <w:tcPr>
            <w:tcW w:w="996" w:type="dxa"/>
            <w:tcBorders>
              <w:top w:val="single" w:color="auto" w:sz="4" w:space="0"/>
              <w:left w:val="nil"/>
              <w:right w:val="single" w:color="auto" w:sz="4" w:space="0"/>
            </w:tcBorders>
            <w:noWrap w:val="0"/>
            <w:vAlign w:val="center"/>
          </w:tcPr>
          <w:p>
            <w:pPr>
              <w:spacing w:line="240" w:lineRule="exact"/>
              <w:jc w:val="center"/>
            </w:pPr>
            <w:r>
              <w:rPr>
                <w:rFonts w:eastAsia="仿宋_GB2312"/>
                <w:color w:val="000000"/>
              </w:rPr>
              <w:t>一级指</w:t>
            </w:r>
            <w:r>
              <w:rPr>
                <w:rFonts w:hint="eastAsia" w:cs="宋体"/>
                <w:color w:val="000000"/>
              </w:rPr>
              <w:t>标</w:t>
            </w:r>
          </w:p>
        </w:tc>
        <w:tc>
          <w:tcPr>
            <w:tcW w:w="109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6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48"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878"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019" w:type="dxa"/>
            <w:vMerge w:val="continue"/>
            <w:tcBorders>
              <w:left w:val="single" w:color="auto" w:sz="4" w:space="0"/>
              <w:right w:val="single" w:color="auto" w:sz="4" w:space="0"/>
            </w:tcBorders>
            <w:noWrap w:val="0"/>
            <w:vAlign w:val="center"/>
          </w:tcPr>
          <w:p>
            <w:pPr>
              <w:jc w:val="center"/>
              <w:rPr>
                <w:rFonts w:eastAsia="仿宋_GB2312"/>
                <w:color w:val="000000"/>
              </w:rPr>
            </w:pPr>
          </w:p>
        </w:tc>
        <w:tc>
          <w:tcPr>
            <w:tcW w:w="996" w:type="dxa"/>
            <w:vMerge w:val="restart"/>
            <w:tcBorders>
              <w:left w:val="nil"/>
              <w:right w:val="single" w:color="auto" w:sz="4" w:space="0"/>
            </w:tcBorders>
            <w:noWrap w:val="0"/>
            <w:vAlign w:val="center"/>
          </w:tcPr>
          <w:p>
            <w:pPr>
              <w:jc w:val="center"/>
              <w:rPr>
                <w:rFonts w:eastAsia="仿宋_GB2312"/>
                <w:color w:val="000000"/>
              </w:rPr>
            </w:pPr>
            <w:r>
              <w:rPr>
                <w:rFonts w:eastAsia="仿宋_GB2312"/>
                <w:color w:val="000000"/>
              </w:rPr>
              <w:t>效益指</w:t>
            </w:r>
            <w:r>
              <w:rPr>
                <w:rFonts w:hint="eastAsia" w:cs="宋体"/>
                <w:color w:val="000000"/>
              </w:rPr>
              <w:t>标</w:t>
            </w:r>
          </w:p>
          <w:p>
            <w:pPr>
              <w:jc w:val="center"/>
              <w:rPr>
                <w:rFonts w:eastAsia="仿宋_GB2312"/>
                <w:color w:val="000000"/>
              </w:rPr>
            </w:pPr>
            <w:r>
              <w:rPr>
                <w:rFonts w:eastAsia="仿宋_GB2312"/>
                <w:color w:val="000000"/>
              </w:rPr>
              <w:t>（30分</w:t>
            </w:r>
            <w:r>
              <w:rPr>
                <w:rFonts w:hint="eastAsia" w:cs="宋体"/>
                <w:color w:val="000000"/>
              </w:rPr>
              <w:t>）</w:t>
            </w:r>
          </w:p>
        </w:tc>
        <w:tc>
          <w:tcPr>
            <w:tcW w:w="1092"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64"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1548"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878"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left w:val="nil"/>
              <w:bottom w:val="single" w:color="auto" w:sz="4" w:space="0"/>
              <w:right w:val="single" w:color="auto" w:sz="4" w:space="0"/>
            </w:tcBorders>
            <w:noWrap w:val="0"/>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改善生态环境</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使人民生活环境和城市生态环境都得以大幅改观</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大大提高县域生态环境质量</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提高县域生态环境质量</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可持续</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社会公众或服务对象满意度</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社会公众或服务对象满意度</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19"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eastAsia" w:ascii="仿宋" w:hAnsi="仿宋" w:eastAsia="仿宋" w:cs="仿宋"/>
                <w:b/>
                <w:bCs/>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-6</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环境监测经费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6.00</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6.00</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日常环境常规监测和国控断面监测工作</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完成了日常环境常规监测和国控断面监测工作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全面完成以上各项任务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全程质量控制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达标率100%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监控我县环境质量、及时采取防治措施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按时环境质量简报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6万元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促进社会和谐发</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促进社会和谐发</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b/>
                <w:bCs/>
                <w:color w:val="000000"/>
                <w:lang w:val="en-US" w:eastAsia="zh-CN"/>
              </w:rPr>
            </w:pPr>
            <w:r>
              <w:rPr>
                <w:rFonts w:hint="eastAsia" w:cs="宋体"/>
                <w:b/>
                <w:bCs/>
                <w:color w:val="000000"/>
              </w:rPr>
              <w:t>　</w:t>
            </w:r>
            <w:r>
              <w:rPr>
                <w:rFonts w:hint="eastAsia" w:cs="宋体"/>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-7</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国家重点生态功能区县级配套资金及环保能力建设资金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Style w:val="6"/>
                <w:rFonts w:hint="eastAsia" w:ascii="仿宋" w:hAnsi="仿宋" w:eastAsia="仿宋" w:cs="仿宋"/>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Style w:val="6"/>
                <w:rFonts w:hint="eastAsia" w:ascii="仿宋" w:hAnsi="仿宋" w:eastAsia="仿宋" w:cs="仿宋"/>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Style w:val="6"/>
                <w:rFonts w:hint="eastAsia" w:ascii="仿宋" w:hAnsi="仿宋" w:eastAsia="仿宋" w:cs="仿宋"/>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45.23</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90.46%</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45.23</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全县县域生态环境质量考核各项工作 </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完成全县县域生态环境质量考核各项工作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全面完成环境质量考核工作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全面完成环境质量考核工作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改善我县生态环境质量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达到预期目标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50</w:t>
            </w:r>
            <w:r>
              <w:rPr>
                <w:rStyle w:val="7"/>
                <w:rFonts w:hint="eastAsia" w:ascii="仿宋" w:hAnsi="仿宋" w:eastAsia="仿宋" w:cs="仿宋"/>
                <w:lang w:val="en-US" w:eastAsia="zh-CN" w:bidi="ar"/>
              </w:rPr>
              <w:t>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增加转移支付</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不扣减转移支付资金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大大提高我县县域生态环境质量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-8</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生态环境测评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加强国家生态功能区县域生态环境质量监测评价与考核工作  </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完成全县县域生态环境质量考核各项工作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按照国家要求保质按时上报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改善我县生态环境质量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达到预期目标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增加转移支付</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不扣减转移支付资金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大大提高我县县域生态环境质量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-9</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农村环境整治项目前期及间接费用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完成实施方案编制</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成功申报专项资金</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按时上报上级部门</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促进县域经济发展</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改善生态环境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大大提高我县县域生态环境质量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提高生态环境质量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r>
              <w:rPr>
                <w:rFonts w:hint="eastAsia" w:ascii="宋体" w:hAnsi="宋体" w:eastAsia="宋体" w:cs="宋体"/>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r>
              <w:rPr>
                <w:rFonts w:hint="default" w:ascii="Arial Narrow" w:hAnsi="Arial Narrow" w:eastAsia="Arial Narrow" w:cs="Arial Narrow"/>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-10</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空气自动站维护</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完成2021年农村污水治理项目申报</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完成全县城镇空气环境质量监测各项工作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全面完成我县城镇空气环境质量监测工作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按照国家要求保质按时上报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了解我县城镇空气环境质量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达到预期目标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了解我县城镇空气环境质量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改善城镇空气环境质量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了解我县城镇空气环境质量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改善城镇空气环境质量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-11</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971"/>
        <w:gridCol w:w="1388"/>
        <w:gridCol w:w="1061"/>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国家重点生态功能区县域生态环境质量考核资金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Style w:val="8"/>
                <w:rFonts w:hint="eastAsia" w:ascii="仿宋" w:hAnsi="仿宋" w:eastAsia="仿宋" w:cs="仿宋"/>
                <w:lang w:val="en-US" w:eastAsia="zh-CN" w:bidi="ar"/>
              </w:rPr>
              <w:t>实施单</w:t>
            </w:r>
            <w:r>
              <w:rPr>
                <w:rFonts w:hint="eastAsia" w:ascii="仿宋" w:hAnsi="仿宋" w:eastAsia="仿宋" w:cs="仿宋"/>
                <w:i w:val="0"/>
                <w:iCs w:val="0"/>
                <w:color w:val="000000"/>
                <w:kern w:val="0"/>
                <w:sz w:val="21"/>
                <w:szCs w:val="21"/>
                <w:u w:val="none"/>
                <w:lang w:val="en-US" w:eastAsia="zh-CN" w:bidi="ar"/>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湘西土家族苗族自治州生态环境局保靖分局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045"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388"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061"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100.00</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105.00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96.61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92.01%</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100.00</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60.00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51.61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38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以服务民生为宗旨，以提高环境质量为核心，凝聚各级各方面力量齐抓共管环保工作，完成生态功能区县域生态环境质量考核工作。</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完成2020年度地表水监测任务，365天对城区环境空气监测任务；完成全年饮用水66项4次109项分析任务2次；完成全年度污染源监测任务；促进保靖县生态环境发展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7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06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971"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5个断面12个月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完成2020年度饮用水监测任务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2个点12个月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完成1-12月</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完成2020年度城区环境空气监测任务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365天</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完成2020年度污染源监测</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3家污染源</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完成3家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考核执法工作</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完成考核执法工作</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71"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06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971"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考核执法工作</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完成考核执法工作</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完成全年饮用水监测任务66项和109项分析任务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66项4次109项2次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完成全年度城区环境空气监 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340天以上</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340天</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完成全年度污染源监测任务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每月20日前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完成2020年度饮用水监测作任务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每月20日前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完成2020年度城区环境空气监测任务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每天</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365天</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完成2020年度污染源监测</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每季度最后一月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每季度完成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每季度最后一月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每季度完成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p>
            <w:pPr>
              <w:spacing w:line="240" w:lineRule="exact"/>
              <w:jc w:val="center"/>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spacing w:line="240" w:lineRule="exact"/>
              <w:jc w:val="center"/>
              <w:rPr>
                <w:rFonts w:eastAsia="仿宋_GB2312"/>
                <w:color w:val="000000"/>
              </w:rPr>
            </w:pPr>
          </w:p>
        </w:tc>
        <w:tc>
          <w:tcPr>
            <w:tcW w:w="971" w:type="dxa"/>
            <w:vMerge w:val="continue"/>
            <w:tcBorders>
              <w:left w:val="nil"/>
              <w:right w:val="single" w:color="auto" w:sz="4" w:space="0"/>
            </w:tcBorders>
            <w:noWrap w:val="0"/>
            <w:vAlign w:val="center"/>
          </w:tcPr>
          <w:p>
            <w:pPr>
              <w:spacing w:line="240" w:lineRule="exact"/>
              <w:jc w:val="center"/>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完成2020年度饮用水临测任务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10万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完成2020年度饮用水临测任务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10万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074" w:type="dxa"/>
            <w:vMerge w:val="restart"/>
            <w:tcBorders>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71" w:type="dxa"/>
            <w:tcBorders>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06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971" w:type="dxa"/>
            <w:vMerge w:val="restart"/>
            <w:tcBorders>
              <w:left w:val="nil"/>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完成2020的度城区环境空气监测任务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完成2020年度污染源监测</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971"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国家对我县生态转移支付资金拨付  </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6204万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0"/>
                <w:szCs w:val="20"/>
                <w:u w:val="none"/>
                <w:lang w:val="en-US" w:eastAsia="zh-CN" w:bidi="ar"/>
              </w:rPr>
              <w:t>6204万元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促进保靖县生态环境发展</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全面完成</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生态环境质量达标率</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生态环境比上年有所改善</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生态环境比上年有所改善</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确保资金使用效率，保障各项工作进展顺利，服务大众</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长期保障工作平稳进行</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项目区群众满意度</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lang w:val="en-US" w:eastAsia="zh-CN"/>
              </w:rPr>
              <w:t>99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-12</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环境监测工作经费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63.00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63.00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为监督全县排污企业，第三产业“三废”达标排放状况提供准确数据，指导企业科学运行，改善人民的居住环境。  </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为监督全县排污企业，第三产业“三废”达标排放状况提供准确数据，指导企业科学运行，改善人民的居住环境。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监测地表水水质及企业废水</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5600个数据/年</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5600个数据/年</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监测仪器设备正常运行台数</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74套（台）</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74套（台）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环境监测站工作正常开展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空气自动正常运转</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随时保证监测工作正常开展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监测仪器维护</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差旅费，办公费等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63万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pPr>
            <w:r>
              <w:rPr>
                <w:rFonts w:eastAsia="仿宋_GB2312"/>
                <w:color w:val="000000"/>
              </w:rPr>
              <w:t>一级指</w:t>
            </w:r>
            <w:r>
              <w:rPr>
                <w:rFonts w:hint="eastAsia" w:cs="宋体"/>
                <w:color w:val="000000"/>
              </w:rPr>
              <w:t>标</w:t>
            </w:r>
          </w:p>
        </w:tc>
        <w:tc>
          <w:tcPr>
            <w:tcW w:w="1075"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促进社会进步与发展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为保护人类健康、保护环境、合理使用自然资源、制订环境法规、标准、规划等服务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lang w:val="en-US" w:eastAsia="zh-CN"/>
              </w:rPr>
            </w:pPr>
            <w:r>
              <w:rPr>
                <w:rFonts w:hint="eastAsia" w:eastAsia="仿宋_GB2312" w:cs="Times New Roman"/>
                <w:b/>
                <w:bCs/>
                <w:color w:val="000000"/>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-13</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959"/>
        <w:gridCol w:w="1332"/>
        <w:gridCol w:w="1236"/>
        <w:gridCol w:w="1284"/>
        <w:gridCol w:w="804"/>
        <w:gridCol w:w="840"/>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永顺县第二次污染源普查工作经费</w:t>
            </w:r>
            <w:r>
              <w:rPr>
                <w:rFonts w:hint="eastAsia" w:ascii="仿宋" w:hAnsi="仿宋" w:eastAsia="仿宋" w:cs="仿宋"/>
                <w:color w:val="000000"/>
              </w:rPr>
              <w:tab/>
            </w:r>
            <w:r>
              <w:rPr>
                <w:rFonts w:hint="eastAsia" w:ascii="仿宋" w:hAnsi="仿宋" w:eastAsia="仿宋" w:cs="仿宋"/>
                <w:color w:val="000000"/>
              </w:rPr>
              <w:tab/>
            </w:r>
            <w:r>
              <w:rPr>
                <w:rFonts w:hint="eastAsia" w:ascii="仿宋" w:hAnsi="仿宋" w:eastAsia="仿宋" w:cs="仿宋"/>
                <w:color w:val="000000"/>
              </w:rPr>
              <w:tab/>
            </w:r>
            <w:r>
              <w:rPr>
                <w:rFonts w:hint="eastAsia" w:cs="宋体"/>
                <w:color w:val="000000"/>
              </w:rPr>
              <w:tab/>
            </w:r>
            <w:r>
              <w:rPr>
                <w:rFonts w:hint="eastAsia" w:cs="宋体"/>
                <w:color w:val="000000"/>
              </w:rPr>
              <w:tab/>
            </w:r>
            <w:r>
              <w:rPr>
                <w:rFonts w:hint="eastAsia" w:cs="宋体"/>
                <w:color w:val="000000"/>
              </w:rPr>
              <w:tab/>
            </w:r>
            <w:r>
              <w:rPr>
                <w:rFonts w:hint="eastAsia" w:cs="宋体"/>
                <w:color w:val="000000"/>
              </w:rPr>
              <w:tab/>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601"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284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033"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33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36"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284"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33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36"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8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33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36"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8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601"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126"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601"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永顺县第二次全国污染源普查工作圆满完成。</w:t>
            </w:r>
          </w:p>
        </w:tc>
        <w:tc>
          <w:tcPr>
            <w:tcW w:w="4126"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永顺县第二次全国污染源普查工作圆满完成。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5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36"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4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198"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2020年按照国家、省、州第二次全国污染源普查工作要求，完成了整体、档案验收、归档工作</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全部归档，验收通过</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全部归档，验收通过</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确保通过国家、省级核查</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合格</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合格</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13</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33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2020年度完成污染源普查工作任务</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验收合格</w:t>
            </w:r>
          </w:p>
        </w:tc>
        <w:tc>
          <w:tcPr>
            <w:tcW w:w="128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合格</w:t>
            </w:r>
          </w:p>
        </w:tc>
        <w:tc>
          <w:tcPr>
            <w:tcW w:w="80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074" w:type="dxa"/>
            <w:vMerge w:val="restart"/>
            <w:tcBorders>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hint="eastAsia" w:ascii="仿宋" w:hAnsi="仿宋" w:eastAsia="仿宋" w:cs="仿宋"/>
                <w:i w:val="0"/>
                <w:iCs w:val="0"/>
                <w:color w:val="000000"/>
                <w:kern w:val="0"/>
                <w:sz w:val="21"/>
                <w:szCs w:val="21"/>
                <w:u w:val="none"/>
                <w:lang w:val="en-US" w:eastAsia="zh-CN" w:bidi="ar"/>
              </w:rPr>
            </w:pPr>
            <w:r>
              <w:rPr>
                <w:rFonts w:hint="eastAsia" w:cs="宋体"/>
                <w:color w:val="000000"/>
              </w:rPr>
              <w:t>标</w:t>
            </w:r>
          </w:p>
        </w:tc>
        <w:tc>
          <w:tcPr>
            <w:tcW w:w="1074"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一级指</w:t>
            </w:r>
            <w:r>
              <w:rPr>
                <w:rFonts w:hint="eastAsia" w:cs="宋体"/>
                <w:color w:val="000000"/>
              </w:rPr>
              <w:t>标</w:t>
            </w:r>
          </w:p>
        </w:tc>
        <w:tc>
          <w:tcPr>
            <w:tcW w:w="959"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二级指</w:t>
            </w:r>
            <w:r>
              <w:rPr>
                <w:rFonts w:hint="eastAsia" w:cs="宋体"/>
                <w:color w:val="000000"/>
              </w:rPr>
              <w:t>标</w:t>
            </w:r>
          </w:p>
        </w:tc>
        <w:tc>
          <w:tcPr>
            <w:tcW w:w="1332"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36"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284" w:type="dxa"/>
            <w:tcBorders>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04"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40"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198" w:type="dxa"/>
            <w:tcBorders>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其他商品服务支出、委托业务费等</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50</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促进永顺社会进步与发展</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为决策提供依据，确保环境质量良好</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为决策提供依据，确保环境质量良好</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为“十三五”期间永顺县环境管理、污染源控制、环境规划等提供科学依据，改善人类居住环境</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为“十三五”期间永顺县环境管理、污染源控制、环境规划等提供科学依据，改善人类居住环境</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为保护人类健康、保护环境、合理使用自然资源等服务</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5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18" w:leftChars="-199" w:firstLine="216" w:firstLineChars="9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-14</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县域生态质量考核工作经费　</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及时完成县域生态考核任务，不影响生态转移支付。</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及时完成县域生态考核任务，不影响生态转移支付。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全县生态环境质量调查批次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30批次</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30批次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县域生态环境质量考核</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合格</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合格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县域生态环境质量业务培训</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1-3月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按时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县域生态环境质量调查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3-12月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按时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县域生态环境质量调查资料汇总与考核</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每季度一次资料汇总</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按时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差旅费，办公费等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28</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促进社会进步与发展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为政府决策提供依据，确保生态转移支付资金及时足额到位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为政府决策提供依据，确保生态转移支付资金及时足额到位</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0"/>
                <w:szCs w:val="20"/>
                <w:u w:val="none"/>
                <w:lang w:val="en-US" w:eastAsia="zh-CN" w:bidi="ar"/>
              </w:rPr>
              <w:t>为保护人类健康、保护环境、合理使用自然资源、制订环境法规、标准、规划等服务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-15</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环境监察大队专项工作经费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1129"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1129"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1、环境监察次数不少于50次；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2、区域环境监察覆盖面达到100%；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3、案件查处大于10起；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4.保障信访件办结率100%，群众满意度90%以上；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5、保障较大以上环境污染事故发生数低于2起；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6、保障中央（省、州）环保督查交办任务顺利完成。</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行政执法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120次</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170次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纠纷调处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20件</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行政处罚案</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8件</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12件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案件处理</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全年工作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适时开展</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适时开展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办公费、差旅费等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28万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28万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center"/>
              <w:rPr>
                <w:rFonts w:hint="eastAsia" w:cs="宋体"/>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center"/>
              <w:rPr>
                <w:rFonts w:hint="eastAsia" w:cs="宋体"/>
                <w:color w:val="000000"/>
              </w:rPr>
            </w:pPr>
          </w:p>
        </w:tc>
        <w:tc>
          <w:tcPr>
            <w:tcW w:w="1074" w:type="dxa"/>
            <w:vMerge w:val="continue"/>
            <w:tcBorders>
              <w:left w:val="nil"/>
              <w:right w:val="single" w:color="auto" w:sz="4" w:space="0"/>
            </w:tcBorders>
            <w:noWrap w:val="0"/>
            <w:vAlign w:val="center"/>
          </w:tcPr>
          <w:p>
            <w:pPr>
              <w:spacing w:line="240" w:lineRule="exact"/>
              <w:jc w:val="center"/>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全县排污企业得到科学管理最大限度节能减排</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减少排污，改善全县人民居住环境</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减少排污，改善全县人民居住环境</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解决关系群众切身利益的环境污染问题</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切实保障群众的环境权益</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切实保障群众的环境权益</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为环境管理、污染源控制、环境规划等提10供科学依据，改善人类居住环境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为环境管理、污染源控制、环境规划等提10供科学依据，改善人类居住环境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减轻环境污染</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保护环境，遏制生态恶化趋势</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保护环境，遏制生态恶化趋势</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b/>
                <w:bCs/>
                <w:color w:val="000000"/>
              </w:rPr>
              <w:t>　</w:t>
            </w:r>
            <w:r>
              <w:rPr>
                <w:rFonts w:hint="eastAsia" w:cs="宋体"/>
                <w:b/>
                <w:bCs/>
                <w:color w:val="000000"/>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-16</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环境空气自动站运行经费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该专项资金全部用于环境空气自动站所有专用实验设备74台、空气自动站专用设备一套维护等。</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监测空气质量数据</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1,576,800.00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1,576,800.00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空气自动正常运转</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监测数据</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空气自动正常运转</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随时保证监测工作正常开展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监测仪器维护</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差旅费等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110.00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83.56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促进社会进步与发展</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为保护人类健康、保护环境、合理使用自然资源、制订环境法规、标准、规划等服务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sectPr>
      <w:pgSz w:w="11906" w:h="16838"/>
      <w:pgMar w:top="1417" w:right="1531" w:bottom="1984" w:left="153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Narrow">
    <w:altName w:val="Arial"/>
    <w:panose1 w:val="020B0606020202030204"/>
    <w:charset w:val="00"/>
    <w:family w:val="auto"/>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39A98"/>
    <w:multiLevelType w:val="singleLevel"/>
    <w:tmpl w:val="85739A98"/>
    <w:lvl w:ilvl="0" w:tentative="0">
      <w:start w:val="1"/>
      <w:numFmt w:val="decimal"/>
      <w:suff w:val="nothing"/>
      <w:lvlText w:val="%1、"/>
      <w:lvlJc w:val="left"/>
      <w:pPr>
        <w:ind w:left="701" w:leftChars="0" w:firstLine="0" w:firstLineChars="0"/>
      </w:pPr>
    </w:lvl>
  </w:abstractNum>
  <w:abstractNum w:abstractNumId="1">
    <w:nsid w:val="01AE6E64"/>
    <w:multiLevelType w:val="singleLevel"/>
    <w:tmpl w:val="01AE6E6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11440"/>
    <w:rsid w:val="06F61312"/>
    <w:rsid w:val="076B7D00"/>
    <w:rsid w:val="099329EF"/>
    <w:rsid w:val="0B0B2BEB"/>
    <w:rsid w:val="0B61180A"/>
    <w:rsid w:val="0B8E4F61"/>
    <w:rsid w:val="0EEF0A98"/>
    <w:rsid w:val="0FF53C42"/>
    <w:rsid w:val="13B42E27"/>
    <w:rsid w:val="230A71E2"/>
    <w:rsid w:val="23C36E13"/>
    <w:rsid w:val="27B92723"/>
    <w:rsid w:val="28D55468"/>
    <w:rsid w:val="2AB85469"/>
    <w:rsid w:val="2D902298"/>
    <w:rsid w:val="2E25159E"/>
    <w:rsid w:val="318A7B8C"/>
    <w:rsid w:val="37C87F7F"/>
    <w:rsid w:val="3D435559"/>
    <w:rsid w:val="3FA214B8"/>
    <w:rsid w:val="41AC5733"/>
    <w:rsid w:val="422708BB"/>
    <w:rsid w:val="4247558D"/>
    <w:rsid w:val="43F165D1"/>
    <w:rsid w:val="471575D9"/>
    <w:rsid w:val="472D16FB"/>
    <w:rsid w:val="49E4492F"/>
    <w:rsid w:val="4EA52A6B"/>
    <w:rsid w:val="4FFE11F8"/>
    <w:rsid w:val="548B53F1"/>
    <w:rsid w:val="5509059D"/>
    <w:rsid w:val="554D0FE8"/>
    <w:rsid w:val="59E83480"/>
    <w:rsid w:val="5A5F04A1"/>
    <w:rsid w:val="5D5312F9"/>
    <w:rsid w:val="5E9674B2"/>
    <w:rsid w:val="5EB9157A"/>
    <w:rsid w:val="60111CE0"/>
    <w:rsid w:val="639D4975"/>
    <w:rsid w:val="6690369E"/>
    <w:rsid w:val="680F3284"/>
    <w:rsid w:val="686726DA"/>
    <w:rsid w:val="6D8407BD"/>
    <w:rsid w:val="6FBC5509"/>
    <w:rsid w:val="7141162A"/>
    <w:rsid w:val="743F00D8"/>
    <w:rsid w:val="75816AF0"/>
    <w:rsid w:val="7647546B"/>
    <w:rsid w:val="7980362B"/>
    <w:rsid w:val="79C1126D"/>
    <w:rsid w:val="79D62DED"/>
    <w:rsid w:val="7BED1F45"/>
    <w:rsid w:val="7D4A5332"/>
    <w:rsid w:val="7DAC1001"/>
    <w:rsid w:val="7E781C28"/>
    <w:rsid w:val="7E79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21"/>
    <w:basedOn w:val="5"/>
    <w:qFormat/>
    <w:uiPriority w:val="0"/>
    <w:rPr>
      <w:rFonts w:hint="eastAsia" w:ascii="宋体" w:hAnsi="宋体" w:eastAsia="宋体" w:cs="宋体"/>
      <w:color w:val="000000"/>
      <w:sz w:val="21"/>
      <w:szCs w:val="21"/>
      <w:u w:val="none"/>
    </w:rPr>
  </w:style>
  <w:style w:type="character" w:customStyle="1" w:styleId="7">
    <w:name w:val="font11"/>
    <w:basedOn w:val="5"/>
    <w:qFormat/>
    <w:uiPriority w:val="0"/>
    <w:rPr>
      <w:rFonts w:hint="eastAsia" w:ascii="宋体" w:hAnsi="宋体" w:eastAsia="宋体" w:cs="宋体"/>
      <w:color w:val="000000"/>
      <w:sz w:val="21"/>
      <w:szCs w:val="21"/>
      <w:u w:val="none"/>
    </w:rPr>
  </w:style>
  <w:style w:type="character" w:customStyle="1" w:styleId="8">
    <w:name w:val="font01"/>
    <w:basedOn w:val="5"/>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2021-06-10T01:13:00Z</dcterms:created>
  <dc:creator>shiyaoli</dc:creator>
  <cp:lastModifiedBy>阿友</cp:lastModifiedBy>
  <cp:lastPrinted>2021-07-05T01:22:00Z</cp:lastPrinted>
  <dcterms:modified xsi:type="dcterms:W3CDTF">2021-09-22T03:33:42Z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2F571D7D510B47CEB94108DCC85C91BE</vt:lpwstr>
  </property>
</Properties>
</file>